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6790B8" w14:textId="25B6197A" w:rsidR="008D372B" w:rsidRPr="0003552A" w:rsidRDefault="008D372B" w:rsidP="00D7331F">
      <w:pPr>
        <w:spacing w:line="240" w:lineRule="auto"/>
        <w:jc w:val="center"/>
        <w:rPr>
          <w:rFonts w:asciiTheme="majorBidi" w:hAnsiTheme="majorBidi" w:cstheme="majorBidi"/>
          <w:b/>
          <w:bCs/>
          <w:sz w:val="24"/>
          <w:szCs w:val="24"/>
          <w:lang w:val="en-US"/>
        </w:rPr>
      </w:pPr>
      <w:bookmarkStart w:id="0" w:name="_Hlk180413200"/>
      <w:bookmarkStart w:id="1" w:name="_Hlk176886931"/>
      <w:bookmarkEnd w:id="0"/>
      <w:r w:rsidRPr="0003552A">
        <w:rPr>
          <w:rFonts w:asciiTheme="majorBidi" w:hAnsiTheme="majorBidi" w:cstheme="majorBidi"/>
          <w:b/>
          <w:bCs/>
          <w:sz w:val="24"/>
          <w:szCs w:val="24"/>
          <w:lang w:val="en-US"/>
        </w:rPr>
        <w:t xml:space="preserve">ANALISIS KESAKSIAN </w:t>
      </w:r>
      <w:r w:rsidRPr="00B71A7D">
        <w:rPr>
          <w:rFonts w:asciiTheme="majorBidi" w:hAnsiTheme="majorBidi" w:cstheme="majorBidi"/>
          <w:b/>
          <w:bCs/>
          <w:i/>
          <w:iCs/>
          <w:sz w:val="24"/>
          <w:szCs w:val="24"/>
          <w:lang w:val="en-US"/>
        </w:rPr>
        <w:t>TESTIMONIUM DE AUDITU</w:t>
      </w:r>
      <w:r w:rsidRPr="0003552A">
        <w:rPr>
          <w:rFonts w:asciiTheme="majorBidi" w:hAnsiTheme="majorBidi" w:cstheme="majorBidi"/>
          <w:b/>
          <w:bCs/>
          <w:sz w:val="24"/>
          <w:szCs w:val="24"/>
          <w:lang w:val="en-US"/>
        </w:rPr>
        <w:t xml:space="preserve"> </w:t>
      </w:r>
      <w:r>
        <w:rPr>
          <w:rFonts w:asciiTheme="majorBidi" w:hAnsiTheme="majorBidi" w:cstheme="majorBidi"/>
          <w:b/>
          <w:bCs/>
          <w:sz w:val="24"/>
          <w:szCs w:val="24"/>
          <w:lang w:val="en-US"/>
        </w:rPr>
        <w:t>PADA</w:t>
      </w:r>
      <w:r w:rsidRPr="0003552A">
        <w:rPr>
          <w:rFonts w:asciiTheme="majorBidi" w:hAnsiTheme="majorBidi" w:cstheme="majorBidi"/>
          <w:b/>
          <w:bCs/>
          <w:sz w:val="24"/>
          <w:szCs w:val="24"/>
          <w:lang w:val="en-US"/>
        </w:rPr>
        <w:t xml:space="preserve"> TINDAK PIDANA PELECEHAN SEKSUAL TERHADAP ANAK DALAM PERSPEKTIF</w:t>
      </w:r>
      <w:r w:rsidR="005F497E">
        <w:rPr>
          <w:rFonts w:asciiTheme="majorBidi" w:hAnsiTheme="majorBidi" w:cstheme="majorBidi"/>
          <w:b/>
          <w:bCs/>
          <w:sz w:val="24"/>
          <w:szCs w:val="24"/>
          <w:lang w:val="en-US"/>
        </w:rPr>
        <w:t xml:space="preserve"> KITAB UNDANG-UNDANG HUKUM ACARA PIDANA (KUHAP) </w:t>
      </w:r>
      <w:r w:rsidRPr="0003552A">
        <w:rPr>
          <w:rFonts w:asciiTheme="majorBidi" w:hAnsiTheme="majorBidi" w:cstheme="majorBidi"/>
          <w:b/>
          <w:bCs/>
          <w:sz w:val="24"/>
          <w:szCs w:val="24"/>
          <w:lang w:val="en-US"/>
        </w:rPr>
        <w:t xml:space="preserve">DAN </w:t>
      </w:r>
      <w:r w:rsidR="005F497E">
        <w:rPr>
          <w:rFonts w:asciiTheme="majorBidi" w:hAnsiTheme="majorBidi" w:cstheme="majorBidi"/>
          <w:b/>
          <w:bCs/>
          <w:sz w:val="24"/>
          <w:szCs w:val="24"/>
          <w:lang w:val="en-US"/>
        </w:rPr>
        <w:t xml:space="preserve">QANUN </w:t>
      </w:r>
      <w:r w:rsidRPr="0003552A">
        <w:rPr>
          <w:rFonts w:asciiTheme="majorBidi" w:hAnsiTheme="majorBidi" w:cstheme="majorBidi"/>
          <w:b/>
          <w:bCs/>
          <w:sz w:val="24"/>
          <w:szCs w:val="24"/>
          <w:lang w:val="en-US"/>
        </w:rPr>
        <w:t xml:space="preserve">HUKUM ACARA </w:t>
      </w:r>
      <w:r w:rsidRPr="00AB1CB5">
        <w:rPr>
          <w:rFonts w:asciiTheme="majorBidi" w:hAnsiTheme="majorBidi" w:cstheme="majorBidi"/>
          <w:b/>
          <w:bCs/>
          <w:i/>
          <w:iCs/>
          <w:sz w:val="24"/>
          <w:szCs w:val="24"/>
          <w:lang w:val="en-US"/>
        </w:rPr>
        <w:t xml:space="preserve">JINAYAT  </w:t>
      </w:r>
    </w:p>
    <w:p w14:paraId="2E27D735" w14:textId="77777777" w:rsidR="008D372B" w:rsidRPr="00D7331F" w:rsidRDefault="008D372B" w:rsidP="00D7331F">
      <w:pPr>
        <w:spacing w:line="240" w:lineRule="auto"/>
        <w:jc w:val="center"/>
        <w:rPr>
          <w:rFonts w:asciiTheme="majorBidi" w:hAnsiTheme="majorBidi" w:cstheme="majorBidi"/>
          <w:b/>
          <w:bCs/>
          <w:sz w:val="18"/>
          <w:szCs w:val="18"/>
          <w:lang w:val="en-US"/>
        </w:rPr>
      </w:pPr>
      <w:r w:rsidRPr="00D7331F">
        <w:rPr>
          <w:rFonts w:asciiTheme="majorBidi" w:hAnsiTheme="majorBidi" w:cstheme="majorBidi"/>
          <w:b/>
          <w:bCs/>
          <w:sz w:val="18"/>
          <w:szCs w:val="18"/>
          <w:lang w:val="en-US"/>
        </w:rPr>
        <w:t>(Studi Putusan Mahkamah Syariah Takengon Nomor 9/JN/2023/MS.Tkn)</w:t>
      </w:r>
    </w:p>
    <w:p w14:paraId="4977E977" w14:textId="77777777" w:rsidR="008D372B" w:rsidRDefault="008D372B" w:rsidP="00D7331F">
      <w:pPr>
        <w:spacing w:line="240" w:lineRule="auto"/>
        <w:jc w:val="center"/>
        <w:rPr>
          <w:rFonts w:asciiTheme="majorBidi" w:hAnsiTheme="majorBidi" w:cstheme="majorBidi"/>
          <w:b/>
          <w:bCs/>
          <w:sz w:val="24"/>
          <w:szCs w:val="24"/>
          <w:lang w:val="en-US"/>
        </w:rPr>
      </w:pPr>
      <w:r w:rsidRPr="0003552A">
        <w:rPr>
          <w:rFonts w:asciiTheme="majorBidi" w:hAnsiTheme="majorBidi" w:cstheme="majorBidi"/>
          <w:b/>
          <w:bCs/>
          <w:sz w:val="24"/>
          <w:szCs w:val="24"/>
          <w:lang w:val="en-US"/>
        </w:rPr>
        <w:t>SKRIPSI</w:t>
      </w:r>
    </w:p>
    <w:p w14:paraId="47566B7B" w14:textId="4037C3A5" w:rsidR="00790D0D" w:rsidRPr="00790D0D" w:rsidRDefault="00790D0D" w:rsidP="00790D0D">
      <w:pPr>
        <w:spacing w:line="240" w:lineRule="auto"/>
        <w:jc w:val="center"/>
        <w:rPr>
          <w:rFonts w:asciiTheme="majorBidi" w:hAnsiTheme="majorBidi" w:cstheme="majorBidi"/>
          <w:sz w:val="24"/>
          <w:szCs w:val="24"/>
          <w:lang w:val="en-US"/>
        </w:rPr>
      </w:pPr>
      <w:r w:rsidRPr="0003552A">
        <w:rPr>
          <w:rFonts w:asciiTheme="majorBidi" w:hAnsiTheme="majorBidi" w:cstheme="majorBidi"/>
          <w:sz w:val="24"/>
          <w:szCs w:val="24"/>
          <w:lang w:val="en-US"/>
        </w:rPr>
        <w:t xml:space="preserve">Diajukan </w:t>
      </w:r>
      <w:r>
        <w:rPr>
          <w:rFonts w:asciiTheme="majorBidi" w:hAnsiTheme="majorBidi" w:cstheme="majorBidi"/>
          <w:sz w:val="24"/>
          <w:szCs w:val="24"/>
          <w:lang w:val="en-US"/>
        </w:rPr>
        <w:t>u</w:t>
      </w:r>
      <w:r w:rsidRPr="0003552A">
        <w:rPr>
          <w:rFonts w:asciiTheme="majorBidi" w:hAnsiTheme="majorBidi" w:cstheme="majorBidi"/>
          <w:sz w:val="24"/>
          <w:szCs w:val="24"/>
          <w:lang w:val="en-US"/>
        </w:rPr>
        <w:t>ntuk Memenuhi Tugas</w:t>
      </w:r>
      <w:r>
        <w:rPr>
          <w:rFonts w:asciiTheme="majorBidi" w:hAnsiTheme="majorBidi" w:cstheme="majorBidi"/>
          <w:sz w:val="24"/>
          <w:szCs w:val="24"/>
          <w:lang w:val="en-US"/>
        </w:rPr>
        <w:t xml:space="preserve"> Akhir </w:t>
      </w:r>
      <w:r w:rsidRPr="0003552A">
        <w:rPr>
          <w:rFonts w:asciiTheme="majorBidi" w:hAnsiTheme="majorBidi" w:cstheme="majorBidi"/>
          <w:sz w:val="24"/>
          <w:szCs w:val="24"/>
          <w:lang w:val="en-US"/>
        </w:rPr>
        <w:t xml:space="preserve"> dan Melengkapi Syarat </w:t>
      </w:r>
      <w:r>
        <w:rPr>
          <w:rFonts w:asciiTheme="majorBidi" w:hAnsiTheme="majorBidi" w:cstheme="majorBidi"/>
          <w:sz w:val="24"/>
          <w:szCs w:val="24"/>
          <w:lang w:val="en-US"/>
        </w:rPr>
        <w:t>g</w:t>
      </w:r>
      <w:r w:rsidRPr="0003552A">
        <w:rPr>
          <w:rFonts w:asciiTheme="majorBidi" w:hAnsiTheme="majorBidi" w:cstheme="majorBidi"/>
          <w:sz w:val="24"/>
          <w:szCs w:val="24"/>
          <w:lang w:val="en-US"/>
        </w:rPr>
        <w:t>una Memperoleh Gelar Sarjana Program Strata 1 (S.1)</w:t>
      </w:r>
      <w:r>
        <w:rPr>
          <w:rFonts w:asciiTheme="majorBidi" w:hAnsiTheme="majorBidi" w:cstheme="majorBidi"/>
          <w:sz w:val="24"/>
          <w:szCs w:val="24"/>
          <w:lang w:val="en-US"/>
        </w:rPr>
        <w:t xml:space="preserve"> pada Fakultas Syariah dan Hukum </w:t>
      </w:r>
    </w:p>
    <w:p w14:paraId="10208ACD" w14:textId="77777777" w:rsidR="008D372B" w:rsidRPr="00267A02" w:rsidRDefault="008D372B" w:rsidP="00D7331F">
      <w:pPr>
        <w:spacing w:line="240" w:lineRule="auto"/>
        <w:jc w:val="center"/>
        <w:rPr>
          <w:rFonts w:asciiTheme="majorBidi" w:hAnsiTheme="majorBidi" w:cstheme="majorBidi"/>
          <w:b/>
          <w:bCs/>
          <w:sz w:val="32"/>
          <w:szCs w:val="32"/>
          <w:lang w:val="en-US"/>
        </w:rPr>
      </w:pPr>
      <w:r w:rsidRPr="00267A02">
        <w:rPr>
          <w:rFonts w:asciiTheme="majorBidi" w:hAnsiTheme="majorBidi" w:cstheme="majorBidi"/>
          <w:noProof/>
          <w:sz w:val="32"/>
          <w:szCs w:val="32"/>
          <w:lang w:eastAsia="id-ID"/>
        </w:rPr>
        <w:drawing>
          <wp:inline distT="0" distB="0" distL="0" distR="0" wp14:anchorId="5490881F" wp14:editId="59E92BE6">
            <wp:extent cx="2095500" cy="1250950"/>
            <wp:effectExtent l="0" t="0" r="0" b="0"/>
            <wp:docPr id="1973600527" name="Picture 1973600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2095500" cy="1250950"/>
                    </a:xfrm>
                    <a:prstGeom prst="rect">
                      <a:avLst/>
                    </a:prstGeom>
                  </pic:spPr>
                </pic:pic>
              </a:graphicData>
            </a:graphic>
          </wp:inline>
        </w:drawing>
      </w:r>
    </w:p>
    <w:p w14:paraId="4B799331" w14:textId="77777777" w:rsidR="008D372B" w:rsidRPr="0003552A" w:rsidRDefault="008D372B" w:rsidP="00D7331F">
      <w:pPr>
        <w:spacing w:line="240" w:lineRule="auto"/>
        <w:jc w:val="center"/>
        <w:rPr>
          <w:rFonts w:asciiTheme="majorBidi" w:hAnsiTheme="majorBidi" w:cstheme="majorBidi"/>
          <w:b/>
          <w:bCs/>
          <w:sz w:val="24"/>
          <w:szCs w:val="24"/>
          <w:lang w:val="en-US"/>
        </w:rPr>
      </w:pPr>
      <w:r w:rsidRPr="0003552A">
        <w:rPr>
          <w:rFonts w:asciiTheme="majorBidi" w:hAnsiTheme="majorBidi" w:cstheme="majorBidi"/>
          <w:b/>
          <w:bCs/>
          <w:sz w:val="24"/>
          <w:szCs w:val="24"/>
          <w:lang w:val="en-US"/>
        </w:rPr>
        <w:t>Disusun oleh :</w:t>
      </w:r>
    </w:p>
    <w:p w14:paraId="1210ABE6" w14:textId="77777777" w:rsidR="008D372B" w:rsidRPr="0003552A" w:rsidRDefault="008D372B" w:rsidP="00D7331F">
      <w:pPr>
        <w:spacing w:line="240" w:lineRule="auto"/>
        <w:jc w:val="center"/>
        <w:rPr>
          <w:rFonts w:asciiTheme="majorBidi" w:hAnsiTheme="majorBidi" w:cstheme="majorBidi"/>
          <w:b/>
          <w:bCs/>
          <w:sz w:val="24"/>
          <w:szCs w:val="24"/>
          <w:u w:val="single"/>
          <w:lang w:val="en-US"/>
        </w:rPr>
      </w:pPr>
      <w:r w:rsidRPr="0003552A">
        <w:rPr>
          <w:rFonts w:asciiTheme="majorBidi" w:hAnsiTheme="majorBidi" w:cstheme="majorBidi"/>
          <w:b/>
          <w:bCs/>
          <w:sz w:val="24"/>
          <w:szCs w:val="24"/>
          <w:u w:val="single"/>
          <w:lang w:val="en-US"/>
        </w:rPr>
        <w:t>HAMID REZA ASEFI</w:t>
      </w:r>
    </w:p>
    <w:p w14:paraId="249F5C04" w14:textId="77777777" w:rsidR="008D372B" w:rsidRDefault="008D372B" w:rsidP="00D7331F">
      <w:pPr>
        <w:spacing w:line="240" w:lineRule="auto"/>
        <w:jc w:val="center"/>
        <w:rPr>
          <w:rFonts w:asciiTheme="majorBidi" w:hAnsiTheme="majorBidi" w:cstheme="majorBidi"/>
          <w:b/>
          <w:bCs/>
          <w:sz w:val="24"/>
          <w:szCs w:val="24"/>
          <w:lang w:val="en-US"/>
        </w:rPr>
      </w:pPr>
      <w:r w:rsidRPr="0003552A">
        <w:rPr>
          <w:rFonts w:asciiTheme="majorBidi" w:hAnsiTheme="majorBidi" w:cstheme="majorBidi"/>
          <w:b/>
          <w:bCs/>
          <w:sz w:val="24"/>
          <w:szCs w:val="24"/>
          <w:lang w:val="en-US"/>
        </w:rPr>
        <w:t>2102026031</w:t>
      </w:r>
    </w:p>
    <w:p w14:paraId="1099C78B" w14:textId="77777777" w:rsidR="008D372B" w:rsidRPr="0003552A" w:rsidRDefault="008D372B" w:rsidP="009F7719">
      <w:pPr>
        <w:spacing w:line="240" w:lineRule="auto"/>
        <w:rPr>
          <w:rFonts w:asciiTheme="majorBidi" w:hAnsiTheme="majorBidi" w:cstheme="majorBidi"/>
          <w:b/>
          <w:bCs/>
          <w:sz w:val="24"/>
          <w:szCs w:val="24"/>
          <w:lang w:val="en-US"/>
        </w:rPr>
      </w:pPr>
    </w:p>
    <w:p w14:paraId="7688DAE9" w14:textId="77777777" w:rsidR="008D372B" w:rsidRPr="0003552A" w:rsidRDefault="008D372B" w:rsidP="00D7331F">
      <w:pPr>
        <w:spacing w:line="240" w:lineRule="auto"/>
        <w:jc w:val="center"/>
        <w:rPr>
          <w:rFonts w:asciiTheme="majorBidi" w:hAnsiTheme="majorBidi" w:cstheme="majorBidi"/>
          <w:b/>
          <w:bCs/>
          <w:sz w:val="24"/>
          <w:szCs w:val="24"/>
          <w:lang w:val="en-US"/>
        </w:rPr>
      </w:pPr>
      <w:r w:rsidRPr="0003552A">
        <w:rPr>
          <w:rFonts w:asciiTheme="majorBidi" w:hAnsiTheme="majorBidi" w:cstheme="majorBidi"/>
          <w:b/>
          <w:bCs/>
          <w:sz w:val="24"/>
          <w:szCs w:val="24"/>
          <w:lang w:val="en-US"/>
        </w:rPr>
        <w:t xml:space="preserve">PROGRAM STUDI HUKUM PIDANA ISLAM </w:t>
      </w:r>
    </w:p>
    <w:p w14:paraId="7B431E6B" w14:textId="77777777" w:rsidR="008D372B" w:rsidRPr="0003552A" w:rsidRDefault="008D372B" w:rsidP="00D7331F">
      <w:pPr>
        <w:spacing w:line="240" w:lineRule="auto"/>
        <w:jc w:val="center"/>
        <w:rPr>
          <w:rFonts w:asciiTheme="majorBidi" w:hAnsiTheme="majorBidi" w:cstheme="majorBidi"/>
          <w:b/>
          <w:bCs/>
          <w:sz w:val="24"/>
          <w:szCs w:val="24"/>
          <w:lang w:val="en-US"/>
        </w:rPr>
      </w:pPr>
      <w:r w:rsidRPr="0003552A">
        <w:rPr>
          <w:rFonts w:asciiTheme="majorBidi" w:hAnsiTheme="majorBidi" w:cstheme="majorBidi"/>
          <w:b/>
          <w:bCs/>
          <w:sz w:val="24"/>
          <w:szCs w:val="24"/>
          <w:lang w:val="en-US"/>
        </w:rPr>
        <w:t>FAKULTAS SYARIAH DAN HUKUM</w:t>
      </w:r>
    </w:p>
    <w:p w14:paraId="58F2DFC9" w14:textId="77777777" w:rsidR="008D372B" w:rsidRPr="0003552A" w:rsidRDefault="008D372B" w:rsidP="00D7331F">
      <w:pPr>
        <w:spacing w:line="240" w:lineRule="auto"/>
        <w:jc w:val="center"/>
        <w:rPr>
          <w:rFonts w:asciiTheme="majorBidi" w:hAnsiTheme="majorBidi" w:cstheme="majorBidi"/>
          <w:b/>
          <w:bCs/>
          <w:sz w:val="24"/>
          <w:szCs w:val="24"/>
          <w:lang w:val="en-US"/>
        </w:rPr>
      </w:pPr>
      <w:r w:rsidRPr="0003552A">
        <w:rPr>
          <w:rFonts w:asciiTheme="majorBidi" w:hAnsiTheme="majorBidi" w:cstheme="majorBidi"/>
          <w:b/>
          <w:bCs/>
          <w:sz w:val="24"/>
          <w:szCs w:val="24"/>
          <w:lang w:val="en-US"/>
        </w:rPr>
        <w:t>UNIVERSITAS ISLAM NEGERI WALISONGO</w:t>
      </w:r>
    </w:p>
    <w:p w14:paraId="78801807" w14:textId="77777777" w:rsidR="008D372B" w:rsidRPr="0003552A" w:rsidRDefault="008D372B" w:rsidP="00D7331F">
      <w:pPr>
        <w:spacing w:line="240" w:lineRule="auto"/>
        <w:jc w:val="center"/>
        <w:rPr>
          <w:rFonts w:asciiTheme="majorBidi" w:hAnsiTheme="majorBidi" w:cstheme="majorBidi"/>
          <w:b/>
          <w:bCs/>
          <w:sz w:val="24"/>
          <w:szCs w:val="24"/>
          <w:lang w:val="en-US"/>
        </w:rPr>
      </w:pPr>
      <w:r w:rsidRPr="0003552A">
        <w:rPr>
          <w:rFonts w:asciiTheme="majorBidi" w:hAnsiTheme="majorBidi" w:cstheme="majorBidi"/>
          <w:b/>
          <w:bCs/>
          <w:sz w:val="24"/>
          <w:szCs w:val="24"/>
          <w:lang w:val="en-US"/>
        </w:rPr>
        <w:t>SEMARANG</w:t>
      </w:r>
    </w:p>
    <w:p w14:paraId="6526C7F7" w14:textId="77777777" w:rsidR="008D372B" w:rsidRPr="0003552A" w:rsidRDefault="008D372B" w:rsidP="00D7331F">
      <w:pPr>
        <w:spacing w:line="240" w:lineRule="auto"/>
        <w:jc w:val="center"/>
        <w:rPr>
          <w:rFonts w:asciiTheme="majorBidi" w:hAnsiTheme="majorBidi" w:cstheme="majorBidi"/>
          <w:b/>
          <w:bCs/>
          <w:sz w:val="24"/>
          <w:szCs w:val="24"/>
          <w:lang w:val="en-US"/>
        </w:rPr>
      </w:pPr>
      <w:r w:rsidRPr="0003552A">
        <w:rPr>
          <w:rFonts w:asciiTheme="majorBidi" w:hAnsiTheme="majorBidi" w:cstheme="majorBidi"/>
          <w:b/>
          <w:bCs/>
          <w:sz w:val="24"/>
          <w:szCs w:val="24"/>
          <w:lang w:val="en-US"/>
        </w:rPr>
        <w:t>2024</w:t>
      </w:r>
    </w:p>
    <w:p w14:paraId="1BD23FA6" w14:textId="129209B3" w:rsidR="008D372B" w:rsidRDefault="008D372B">
      <w:pPr>
        <w:rPr>
          <w:rFonts w:asciiTheme="majorBidi" w:hAnsiTheme="majorBidi" w:cstheme="majorBidi"/>
          <w:b/>
          <w:bCs/>
          <w:sz w:val="24"/>
          <w:szCs w:val="24"/>
          <w:lang w:val="en-US"/>
        </w:rPr>
      </w:pPr>
      <w:bookmarkStart w:id="2" w:name="_Toc115952745"/>
    </w:p>
    <w:p w14:paraId="6BE092E0" w14:textId="77777777" w:rsidR="008D372B" w:rsidRDefault="008D372B" w:rsidP="00D7331F">
      <w:pPr>
        <w:pStyle w:val="Heading1"/>
        <w:spacing w:line="240" w:lineRule="auto"/>
      </w:pPr>
      <w:bookmarkStart w:id="3" w:name="_Toc185961321"/>
      <w:r>
        <w:t>HALAMAN JUDUL</w:t>
      </w:r>
      <w:bookmarkEnd w:id="3"/>
      <w:r>
        <w:t xml:space="preserve"> </w:t>
      </w:r>
    </w:p>
    <w:p w14:paraId="216F97D5" w14:textId="77777777" w:rsidR="008D372B" w:rsidRPr="0003552A" w:rsidRDefault="008D372B" w:rsidP="00D7331F">
      <w:pPr>
        <w:spacing w:line="240" w:lineRule="auto"/>
        <w:jc w:val="center"/>
        <w:rPr>
          <w:rFonts w:asciiTheme="majorBidi" w:hAnsiTheme="majorBidi" w:cstheme="majorBidi"/>
          <w:b/>
          <w:bCs/>
          <w:sz w:val="24"/>
          <w:szCs w:val="24"/>
          <w:lang w:val="en-US"/>
        </w:rPr>
      </w:pPr>
      <w:r w:rsidRPr="0003552A">
        <w:rPr>
          <w:rFonts w:asciiTheme="majorBidi" w:hAnsiTheme="majorBidi" w:cstheme="majorBidi"/>
          <w:b/>
          <w:bCs/>
          <w:sz w:val="24"/>
          <w:szCs w:val="24"/>
          <w:lang w:val="en-US"/>
        </w:rPr>
        <w:t xml:space="preserve">ANALISIS KESAKSIAN </w:t>
      </w:r>
      <w:r w:rsidRPr="00B71A7D">
        <w:rPr>
          <w:rFonts w:asciiTheme="majorBidi" w:hAnsiTheme="majorBidi" w:cstheme="majorBidi"/>
          <w:b/>
          <w:bCs/>
          <w:i/>
          <w:iCs/>
          <w:sz w:val="24"/>
          <w:szCs w:val="24"/>
          <w:lang w:val="en-US"/>
        </w:rPr>
        <w:t>TESTIMONIUMN DE AUDITU</w:t>
      </w:r>
      <w:r>
        <w:rPr>
          <w:rFonts w:asciiTheme="majorBidi" w:hAnsiTheme="majorBidi" w:cstheme="majorBidi"/>
          <w:b/>
          <w:bCs/>
          <w:sz w:val="24"/>
          <w:szCs w:val="24"/>
          <w:lang w:val="en-US"/>
        </w:rPr>
        <w:t xml:space="preserve"> PADA </w:t>
      </w:r>
      <w:r w:rsidRPr="0003552A">
        <w:rPr>
          <w:rFonts w:asciiTheme="majorBidi" w:hAnsiTheme="majorBidi" w:cstheme="majorBidi"/>
          <w:b/>
          <w:bCs/>
          <w:sz w:val="24"/>
          <w:szCs w:val="24"/>
          <w:lang w:val="en-US"/>
        </w:rPr>
        <w:t xml:space="preserve">TINDAK PIDANA PELECEHAN SEKSUAL TERHADAP ANAK DI BAWAH UMUR DALAM PERSPEKTIF HUKUM POSITIF DAN HUKUM ACARA </w:t>
      </w:r>
      <w:r w:rsidRPr="00AB1CB5">
        <w:rPr>
          <w:rFonts w:asciiTheme="majorBidi" w:hAnsiTheme="majorBidi" w:cstheme="majorBidi"/>
          <w:b/>
          <w:bCs/>
          <w:i/>
          <w:iCs/>
          <w:sz w:val="24"/>
          <w:szCs w:val="24"/>
          <w:lang w:val="en-US"/>
        </w:rPr>
        <w:t xml:space="preserve">JINAYAT </w:t>
      </w:r>
      <w:r w:rsidRPr="0003552A">
        <w:rPr>
          <w:rFonts w:asciiTheme="majorBidi" w:hAnsiTheme="majorBidi" w:cstheme="majorBidi"/>
          <w:b/>
          <w:bCs/>
          <w:sz w:val="24"/>
          <w:szCs w:val="24"/>
          <w:lang w:val="en-US"/>
        </w:rPr>
        <w:t xml:space="preserve"> </w:t>
      </w:r>
    </w:p>
    <w:p w14:paraId="512094FA" w14:textId="77777777" w:rsidR="008D372B" w:rsidRPr="000248B5" w:rsidRDefault="008D372B" w:rsidP="00D7331F">
      <w:pPr>
        <w:spacing w:line="240" w:lineRule="auto"/>
        <w:jc w:val="center"/>
        <w:rPr>
          <w:rFonts w:asciiTheme="majorBidi" w:hAnsiTheme="majorBidi" w:cstheme="majorBidi"/>
          <w:b/>
          <w:bCs/>
          <w:sz w:val="18"/>
          <w:szCs w:val="18"/>
          <w:lang w:val="en-US"/>
        </w:rPr>
      </w:pPr>
      <w:r w:rsidRPr="000248B5">
        <w:rPr>
          <w:rFonts w:asciiTheme="majorBidi" w:hAnsiTheme="majorBidi" w:cstheme="majorBidi"/>
          <w:b/>
          <w:bCs/>
          <w:sz w:val="18"/>
          <w:szCs w:val="18"/>
          <w:lang w:val="en-US"/>
        </w:rPr>
        <w:t>(Studi Putusan Mahkamah Syariah Takengon Nomor 9/JN/2023/MS.Tkn)</w:t>
      </w:r>
    </w:p>
    <w:p w14:paraId="6A00296A" w14:textId="77777777" w:rsidR="008D372B" w:rsidRPr="0003552A" w:rsidRDefault="008D372B" w:rsidP="00D7331F">
      <w:pPr>
        <w:spacing w:line="240" w:lineRule="auto"/>
        <w:jc w:val="center"/>
        <w:rPr>
          <w:rFonts w:asciiTheme="majorBidi" w:hAnsiTheme="majorBidi" w:cstheme="majorBidi"/>
          <w:b/>
          <w:bCs/>
          <w:sz w:val="24"/>
          <w:szCs w:val="24"/>
          <w:lang w:val="en-US"/>
        </w:rPr>
      </w:pPr>
      <w:r w:rsidRPr="0003552A">
        <w:rPr>
          <w:rFonts w:asciiTheme="majorBidi" w:hAnsiTheme="majorBidi" w:cstheme="majorBidi"/>
          <w:b/>
          <w:bCs/>
          <w:sz w:val="24"/>
          <w:szCs w:val="24"/>
          <w:lang w:val="en-US"/>
        </w:rPr>
        <w:t>SKRIPSI</w:t>
      </w:r>
    </w:p>
    <w:p w14:paraId="2341A53F" w14:textId="16EE2CEE" w:rsidR="008D372B" w:rsidRPr="0003552A" w:rsidRDefault="008D372B" w:rsidP="00D7331F">
      <w:pPr>
        <w:spacing w:line="240" w:lineRule="auto"/>
        <w:jc w:val="center"/>
        <w:rPr>
          <w:rFonts w:asciiTheme="majorBidi" w:hAnsiTheme="majorBidi" w:cstheme="majorBidi"/>
          <w:sz w:val="24"/>
          <w:szCs w:val="24"/>
          <w:lang w:val="en-US"/>
        </w:rPr>
      </w:pPr>
      <w:r w:rsidRPr="0003552A">
        <w:rPr>
          <w:rFonts w:asciiTheme="majorBidi" w:hAnsiTheme="majorBidi" w:cstheme="majorBidi"/>
          <w:sz w:val="24"/>
          <w:szCs w:val="24"/>
          <w:lang w:val="en-US"/>
        </w:rPr>
        <w:t xml:space="preserve">Diajukan </w:t>
      </w:r>
      <w:r w:rsidR="00790D0D">
        <w:rPr>
          <w:rFonts w:asciiTheme="majorBidi" w:hAnsiTheme="majorBidi" w:cstheme="majorBidi"/>
          <w:sz w:val="24"/>
          <w:szCs w:val="24"/>
          <w:lang w:val="en-US"/>
        </w:rPr>
        <w:t>u</w:t>
      </w:r>
      <w:r w:rsidRPr="0003552A">
        <w:rPr>
          <w:rFonts w:asciiTheme="majorBidi" w:hAnsiTheme="majorBidi" w:cstheme="majorBidi"/>
          <w:sz w:val="24"/>
          <w:szCs w:val="24"/>
          <w:lang w:val="en-US"/>
        </w:rPr>
        <w:t>ntuk Memenuhi Tugas</w:t>
      </w:r>
      <w:r w:rsidR="00790D0D">
        <w:rPr>
          <w:rFonts w:asciiTheme="majorBidi" w:hAnsiTheme="majorBidi" w:cstheme="majorBidi"/>
          <w:sz w:val="24"/>
          <w:szCs w:val="24"/>
          <w:lang w:val="en-US"/>
        </w:rPr>
        <w:t xml:space="preserve"> Akhir </w:t>
      </w:r>
      <w:r w:rsidRPr="0003552A">
        <w:rPr>
          <w:rFonts w:asciiTheme="majorBidi" w:hAnsiTheme="majorBidi" w:cstheme="majorBidi"/>
          <w:sz w:val="24"/>
          <w:szCs w:val="24"/>
          <w:lang w:val="en-US"/>
        </w:rPr>
        <w:t xml:space="preserve"> dan Melengkapi Syarat </w:t>
      </w:r>
      <w:r w:rsidR="00790D0D">
        <w:rPr>
          <w:rFonts w:asciiTheme="majorBidi" w:hAnsiTheme="majorBidi" w:cstheme="majorBidi"/>
          <w:sz w:val="24"/>
          <w:szCs w:val="24"/>
          <w:lang w:val="en-US"/>
        </w:rPr>
        <w:t>g</w:t>
      </w:r>
      <w:r w:rsidRPr="0003552A">
        <w:rPr>
          <w:rFonts w:asciiTheme="majorBidi" w:hAnsiTheme="majorBidi" w:cstheme="majorBidi"/>
          <w:sz w:val="24"/>
          <w:szCs w:val="24"/>
          <w:lang w:val="en-US"/>
        </w:rPr>
        <w:t>una Memperoleh Gelar Sarjana Program Strata 1 (S.1)</w:t>
      </w:r>
      <w:r w:rsidR="00790D0D">
        <w:rPr>
          <w:rFonts w:asciiTheme="majorBidi" w:hAnsiTheme="majorBidi" w:cstheme="majorBidi"/>
          <w:sz w:val="24"/>
          <w:szCs w:val="24"/>
          <w:lang w:val="en-US"/>
        </w:rPr>
        <w:t xml:space="preserve"> pada Fakultas Syariah dan Hukum </w:t>
      </w:r>
    </w:p>
    <w:p w14:paraId="286D1E48" w14:textId="77777777" w:rsidR="008D372B" w:rsidRPr="00267A02" w:rsidRDefault="008D372B" w:rsidP="00D7331F">
      <w:pPr>
        <w:spacing w:line="240" w:lineRule="auto"/>
        <w:jc w:val="center"/>
        <w:rPr>
          <w:rFonts w:asciiTheme="majorBidi" w:hAnsiTheme="majorBidi" w:cstheme="majorBidi"/>
          <w:b/>
          <w:bCs/>
          <w:sz w:val="32"/>
          <w:szCs w:val="32"/>
          <w:lang w:val="en-US"/>
        </w:rPr>
      </w:pPr>
      <w:r w:rsidRPr="00267A02">
        <w:rPr>
          <w:rFonts w:asciiTheme="majorBidi" w:hAnsiTheme="majorBidi" w:cstheme="majorBidi"/>
          <w:noProof/>
          <w:sz w:val="32"/>
          <w:szCs w:val="32"/>
          <w:lang w:eastAsia="id-ID"/>
        </w:rPr>
        <w:drawing>
          <wp:inline distT="0" distB="0" distL="0" distR="0" wp14:anchorId="1A178E68" wp14:editId="22200F20">
            <wp:extent cx="1781298" cy="1000760"/>
            <wp:effectExtent l="0" t="0" r="0" b="0"/>
            <wp:docPr id="787836626" name="Picture 7878366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1824967" cy="1025294"/>
                    </a:xfrm>
                    <a:prstGeom prst="rect">
                      <a:avLst/>
                    </a:prstGeom>
                  </pic:spPr>
                </pic:pic>
              </a:graphicData>
            </a:graphic>
          </wp:inline>
        </w:drawing>
      </w:r>
    </w:p>
    <w:p w14:paraId="7D2F7310" w14:textId="77777777" w:rsidR="008D372B" w:rsidRPr="0003552A" w:rsidRDefault="008D372B" w:rsidP="00D7331F">
      <w:pPr>
        <w:spacing w:line="240" w:lineRule="auto"/>
        <w:jc w:val="center"/>
        <w:rPr>
          <w:rFonts w:asciiTheme="majorBidi" w:hAnsiTheme="majorBidi" w:cstheme="majorBidi"/>
          <w:b/>
          <w:bCs/>
          <w:sz w:val="24"/>
          <w:szCs w:val="24"/>
          <w:lang w:val="en-US"/>
        </w:rPr>
      </w:pPr>
      <w:r w:rsidRPr="0003552A">
        <w:rPr>
          <w:rFonts w:asciiTheme="majorBidi" w:hAnsiTheme="majorBidi" w:cstheme="majorBidi"/>
          <w:b/>
          <w:bCs/>
          <w:sz w:val="24"/>
          <w:szCs w:val="24"/>
          <w:lang w:val="en-US"/>
        </w:rPr>
        <w:t>Disusun oleh :</w:t>
      </w:r>
    </w:p>
    <w:p w14:paraId="205E34E2" w14:textId="77777777" w:rsidR="008D372B" w:rsidRPr="0003552A" w:rsidRDefault="008D372B" w:rsidP="00D7331F">
      <w:pPr>
        <w:spacing w:line="240" w:lineRule="auto"/>
        <w:jc w:val="center"/>
        <w:rPr>
          <w:rFonts w:asciiTheme="majorBidi" w:hAnsiTheme="majorBidi" w:cstheme="majorBidi"/>
          <w:b/>
          <w:bCs/>
          <w:sz w:val="24"/>
          <w:szCs w:val="24"/>
          <w:u w:val="single"/>
          <w:lang w:val="en-US"/>
        </w:rPr>
      </w:pPr>
      <w:r w:rsidRPr="0003552A">
        <w:rPr>
          <w:rFonts w:asciiTheme="majorBidi" w:hAnsiTheme="majorBidi" w:cstheme="majorBidi"/>
          <w:b/>
          <w:bCs/>
          <w:sz w:val="24"/>
          <w:szCs w:val="24"/>
          <w:u w:val="single"/>
          <w:lang w:val="en-US"/>
        </w:rPr>
        <w:t>HAMID REZA ASEFI</w:t>
      </w:r>
    </w:p>
    <w:p w14:paraId="591F968B" w14:textId="77777777" w:rsidR="008D372B" w:rsidRDefault="008D372B" w:rsidP="00D7331F">
      <w:pPr>
        <w:spacing w:line="240" w:lineRule="auto"/>
        <w:jc w:val="center"/>
        <w:rPr>
          <w:rFonts w:asciiTheme="majorBidi" w:hAnsiTheme="majorBidi" w:cstheme="majorBidi"/>
          <w:b/>
          <w:bCs/>
          <w:sz w:val="24"/>
          <w:szCs w:val="24"/>
          <w:lang w:val="en-US"/>
        </w:rPr>
      </w:pPr>
      <w:r w:rsidRPr="0003552A">
        <w:rPr>
          <w:rFonts w:asciiTheme="majorBidi" w:hAnsiTheme="majorBidi" w:cstheme="majorBidi"/>
          <w:b/>
          <w:bCs/>
          <w:sz w:val="24"/>
          <w:szCs w:val="24"/>
          <w:lang w:val="en-US"/>
        </w:rPr>
        <w:t>2102026031</w:t>
      </w:r>
    </w:p>
    <w:p w14:paraId="2BDF4789" w14:textId="77777777" w:rsidR="008D372B" w:rsidRPr="0003552A" w:rsidRDefault="008D372B" w:rsidP="00D7331F">
      <w:pPr>
        <w:spacing w:line="240" w:lineRule="auto"/>
        <w:jc w:val="center"/>
        <w:rPr>
          <w:rFonts w:asciiTheme="majorBidi" w:hAnsiTheme="majorBidi" w:cstheme="majorBidi"/>
          <w:b/>
          <w:bCs/>
          <w:sz w:val="24"/>
          <w:szCs w:val="24"/>
          <w:lang w:val="en-US"/>
        </w:rPr>
      </w:pPr>
    </w:p>
    <w:p w14:paraId="2FC821F8" w14:textId="77777777" w:rsidR="008D372B" w:rsidRPr="0003552A" w:rsidRDefault="008D372B" w:rsidP="00D7331F">
      <w:pPr>
        <w:spacing w:line="240" w:lineRule="auto"/>
        <w:jc w:val="center"/>
        <w:rPr>
          <w:rFonts w:asciiTheme="majorBidi" w:hAnsiTheme="majorBidi" w:cstheme="majorBidi"/>
          <w:b/>
          <w:bCs/>
          <w:sz w:val="24"/>
          <w:szCs w:val="24"/>
          <w:lang w:val="en-US"/>
        </w:rPr>
      </w:pPr>
      <w:r w:rsidRPr="0003552A">
        <w:rPr>
          <w:rFonts w:asciiTheme="majorBidi" w:hAnsiTheme="majorBidi" w:cstheme="majorBidi"/>
          <w:b/>
          <w:bCs/>
          <w:sz w:val="24"/>
          <w:szCs w:val="24"/>
          <w:lang w:val="en-US"/>
        </w:rPr>
        <w:t xml:space="preserve">PROGRAM STUDI HUKUM PIDANA ISLAM </w:t>
      </w:r>
    </w:p>
    <w:p w14:paraId="2BCC00B6" w14:textId="77777777" w:rsidR="008D372B" w:rsidRPr="0003552A" w:rsidRDefault="008D372B" w:rsidP="00D7331F">
      <w:pPr>
        <w:spacing w:line="240" w:lineRule="auto"/>
        <w:jc w:val="center"/>
        <w:rPr>
          <w:rFonts w:asciiTheme="majorBidi" w:hAnsiTheme="majorBidi" w:cstheme="majorBidi"/>
          <w:b/>
          <w:bCs/>
          <w:sz w:val="24"/>
          <w:szCs w:val="24"/>
          <w:lang w:val="en-US"/>
        </w:rPr>
      </w:pPr>
      <w:r w:rsidRPr="0003552A">
        <w:rPr>
          <w:rFonts w:asciiTheme="majorBidi" w:hAnsiTheme="majorBidi" w:cstheme="majorBidi"/>
          <w:b/>
          <w:bCs/>
          <w:sz w:val="24"/>
          <w:szCs w:val="24"/>
          <w:lang w:val="en-US"/>
        </w:rPr>
        <w:t>FAKULTAS SYARIAH DAN HUKUM</w:t>
      </w:r>
    </w:p>
    <w:p w14:paraId="4C4402E2" w14:textId="77777777" w:rsidR="008D372B" w:rsidRPr="0003552A" w:rsidRDefault="008D372B" w:rsidP="00D7331F">
      <w:pPr>
        <w:spacing w:line="240" w:lineRule="auto"/>
        <w:jc w:val="center"/>
        <w:rPr>
          <w:rFonts w:asciiTheme="majorBidi" w:hAnsiTheme="majorBidi" w:cstheme="majorBidi"/>
          <w:b/>
          <w:bCs/>
          <w:sz w:val="24"/>
          <w:szCs w:val="24"/>
          <w:lang w:val="en-US"/>
        </w:rPr>
      </w:pPr>
      <w:r w:rsidRPr="0003552A">
        <w:rPr>
          <w:rFonts w:asciiTheme="majorBidi" w:hAnsiTheme="majorBidi" w:cstheme="majorBidi"/>
          <w:b/>
          <w:bCs/>
          <w:sz w:val="24"/>
          <w:szCs w:val="24"/>
          <w:lang w:val="en-US"/>
        </w:rPr>
        <w:t>UNIVERSITAS ISLAM NEGERI WALISONGO</w:t>
      </w:r>
    </w:p>
    <w:p w14:paraId="5FBEB4B6" w14:textId="5A52A35D" w:rsidR="008D372B" w:rsidRDefault="008D372B" w:rsidP="00387109">
      <w:pPr>
        <w:spacing w:line="240" w:lineRule="auto"/>
        <w:jc w:val="center"/>
        <w:rPr>
          <w:rFonts w:asciiTheme="majorBidi" w:hAnsiTheme="majorBidi" w:cstheme="majorBidi"/>
          <w:b/>
          <w:bCs/>
          <w:sz w:val="24"/>
          <w:szCs w:val="24"/>
          <w:lang w:val="en-US"/>
        </w:rPr>
      </w:pPr>
      <w:r w:rsidRPr="0003552A">
        <w:rPr>
          <w:rFonts w:asciiTheme="majorBidi" w:hAnsiTheme="majorBidi" w:cstheme="majorBidi"/>
          <w:b/>
          <w:bCs/>
          <w:sz w:val="24"/>
          <w:szCs w:val="24"/>
          <w:lang w:val="en-US"/>
        </w:rPr>
        <w:t>SEMARANG</w:t>
      </w:r>
    </w:p>
    <w:p w14:paraId="32278D8D" w14:textId="078ACF41" w:rsidR="008D372B" w:rsidRDefault="003C23DD" w:rsidP="005E223C">
      <w:pPr>
        <w:pStyle w:val="Heading1"/>
        <w:ind w:firstLine="720"/>
      </w:pPr>
      <w:bookmarkStart w:id="4" w:name="_Toc185961322"/>
      <w:r>
        <w:rPr>
          <w:noProof/>
        </w:rPr>
        <w:drawing>
          <wp:anchor distT="0" distB="0" distL="114300" distR="114300" simplePos="0" relativeHeight="251658240" behindDoc="0" locked="0" layoutInCell="1" allowOverlap="1" wp14:anchorId="7F027857" wp14:editId="415BEAF8">
            <wp:simplePos x="0" y="0"/>
            <wp:positionH relativeFrom="column">
              <wp:posOffset>-462915</wp:posOffset>
            </wp:positionH>
            <wp:positionV relativeFrom="paragraph">
              <wp:posOffset>-479126</wp:posOffset>
            </wp:positionV>
            <wp:extent cx="4499846" cy="6647290"/>
            <wp:effectExtent l="0" t="0" r="0" b="6350"/>
            <wp:wrapNone/>
            <wp:docPr id="811213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213075" name="Picture 811213075"/>
                    <pic:cNvPicPr/>
                  </pic:nvPicPr>
                  <pic:blipFill>
                    <a:blip r:embed="rId9">
                      <a:extLst>
                        <a:ext uri="{28A0092B-C50C-407E-A947-70E740481C1C}">
                          <a14:useLocalDpi xmlns:a14="http://schemas.microsoft.com/office/drawing/2010/main" val="0"/>
                        </a:ext>
                      </a:extLst>
                    </a:blip>
                    <a:stretch>
                      <a:fillRect/>
                    </a:stretch>
                  </pic:blipFill>
                  <pic:spPr>
                    <a:xfrm>
                      <a:off x="0" y="0"/>
                      <a:ext cx="4499846" cy="6647290"/>
                    </a:xfrm>
                    <a:prstGeom prst="rect">
                      <a:avLst/>
                    </a:prstGeom>
                  </pic:spPr>
                </pic:pic>
              </a:graphicData>
            </a:graphic>
            <wp14:sizeRelH relativeFrom="margin">
              <wp14:pctWidth>0</wp14:pctWidth>
            </wp14:sizeRelH>
            <wp14:sizeRelV relativeFrom="margin">
              <wp14:pctHeight>0</wp14:pctHeight>
            </wp14:sizeRelV>
          </wp:anchor>
        </w:drawing>
      </w:r>
      <w:r w:rsidR="008D372B">
        <w:t>PERSETUJUAN PEMBIMBING</w:t>
      </w:r>
      <w:bookmarkEnd w:id="2"/>
      <w:bookmarkEnd w:id="4"/>
    </w:p>
    <w:p w14:paraId="3854DA91" w14:textId="29D7F438" w:rsidR="00B512E0" w:rsidRPr="00B512E0" w:rsidRDefault="00B512E0" w:rsidP="00B512E0">
      <w:pPr>
        <w:rPr>
          <w:lang w:val="en-US"/>
        </w:rPr>
      </w:pPr>
    </w:p>
    <w:p w14:paraId="326E1A96" w14:textId="77777777" w:rsidR="008D372B" w:rsidRPr="00733744" w:rsidRDefault="008D372B" w:rsidP="00733744">
      <w:pPr>
        <w:rPr>
          <w:lang w:val="en-US"/>
        </w:rPr>
      </w:pPr>
    </w:p>
    <w:p w14:paraId="44FEC775" w14:textId="77777777" w:rsidR="008D372B" w:rsidRDefault="008D372B">
      <w:pPr>
        <w:rPr>
          <w:rFonts w:asciiTheme="majorBidi" w:hAnsiTheme="majorBidi" w:cstheme="majorBidi"/>
          <w:b/>
          <w:bCs/>
          <w:sz w:val="24"/>
          <w:szCs w:val="24"/>
          <w:lang w:val="en-US"/>
        </w:rPr>
      </w:pPr>
      <w:r>
        <w:br w:type="page"/>
      </w:r>
    </w:p>
    <w:p w14:paraId="7D369A9C" w14:textId="77777777" w:rsidR="008D372B" w:rsidRPr="005B3E2B" w:rsidRDefault="008D372B" w:rsidP="005B3E2B">
      <w:pPr>
        <w:pStyle w:val="Heading1"/>
      </w:pPr>
      <w:bookmarkStart w:id="5" w:name="_Toc185961323"/>
      <w:r>
        <w:lastRenderedPageBreak/>
        <w:t xml:space="preserve">HALAMAN </w:t>
      </w:r>
      <w:r w:rsidRPr="005B3E2B">
        <w:t xml:space="preserve"> PENGESAHAN</w:t>
      </w:r>
      <w:bookmarkEnd w:id="5"/>
    </w:p>
    <w:p w14:paraId="32D63AF9" w14:textId="77777777" w:rsidR="008D372B" w:rsidRDefault="008D372B">
      <w:pPr>
        <w:rPr>
          <w:rFonts w:asciiTheme="majorBidi" w:hAnsiTheme="majorBidi" w:cstheme="majorBidi"/>
          <w:b/>
          <w:bCs/>
          <w:sz w:val="24"/>
          <w:szCs w:val="24"/>
          <w:lang w:val="en-US"/>
        </w:rPr>
      </w:pPr>
      <w:r>
        <w:br w:type="page"/>
      </w:r>
    </w:p>
    <w:p w14:paraId="5FA1364D" w14:textId="77777777" w:rsidR="008D372B" w:rsidRPr="005B3E2B" w:rsidRDefault="008D372B" w:rsidP="005B3E2B">
      <w:pPr>
        <w:pStyle w:val="Heading1"/>
      </w:pPr>
      <w:bookmarkStart w:id="6" w:name="_Toc185961324"/>
      <w:r w:rsidRPr="005B3E2B">
        <w:lastRenderedPageBreak/>
        <w:t>MOTTO</w:t>
      </w:r>
      <w:bookmarkEnd w:id="6"/>
    </w:p>
    <w:p w14:paraId="01B9BDA6" w14:textId="409D1725" w:rsidR="008D0D25" w:rsidRPr="008D0D25" w:rsidRDefault="008D0D25" w:rsidP="008D0D25">
      <w:pPr>
        <w:spacing w:line="360" w:lineRule="auto"/>
        <w:jc w:val="center"/>
        <w:rPr>
          <w:rFonts w:ascii="Traditional Arabic" w:hAnsi="Traditional Arabic" w:cs="Traditional Arabic"/>
          <w:sz w:val="40"/>
          <w:szCs w:val="40"/>
          <w:lang w:val="en-US"/>
        </w:rPr>
      </w:pPr>
      <w:r w:rsidRPr="008D0D25">
        <w:rPr>
          <w:rFonts w:ascii="Traditional Arabic" w:hAnsi="Traditional Arabic" w:cs="Traditional Arabic"/>
          <w:sz w:val="40"/>
          <w:szCs w:val="40"/>
          <w:rtl/>
          <w:lang w:val="en-US"/>
        </w:rPr>
        <w:t>إِذْ تَلَقَّوْنَهُ بِأَلْسِنَتِكُمْ وَتَقُولُونَ بِأَفْوَاهِكُم مَّا لَيْسَ لَكُم بِهِ</w:t>
      </w:r>
      <w:r w:rsidRPr="008D0D25">
        <w:rPr>
          <w:rFonts w:ascii="Traditional Arabic" w:hAnsi="Traditional Arabic" w:cs="Traditional Arabic" w:hint="cs"/>
          <w:sz w:val="40"/>
          <w:szCs w:val="40"/>
          <w:rtl/>
          <w:lang w:val="en-US"/>
        </w:rPr>
        <w:t>ۦ</w:t>
      </w:r>
      <w:r w:rsidRPr="008D0D25">
        <w:rPr>
          <w:rFonts w:ascii="Traditional Arabic" w:hAnsi="Traditional Arabic" w:cs="Traditional Arabic"/>
          <w:sz w:val="40"/>
          <w:szCs w:val="40"/>
          <w:rtl/>
          <w:lang w:val="en-US"/>
        </w:rPr>
        <w:t xml:space="preserve"> عِلْمٌ وَتَحْسَبُونَهُ هَيِّنًا وَهُوَ عِندَ </w:t>
      </w:r>
      <w:r w:rsidRPr="008D0D25">
        <w:rPr>
          <w:rFonts w:ascii="Traditional Arabic" w:hAnsi="Traditional Arabic" w:cs="Traditional Arabic" w:hint="cs"/>
          <w:sz w:val="40"/>
          <w:szCs w:val="40"/>
          <w:rtl/>
          <w:lang w:val="en-US"/>
        </w:rPr>
        <w:t>ٱ</w:t>
      </w:r>
      <w:r w:rsidRPr="008D0D25">
        <w:rPr>
          <w:rFonts w:ascii="Traditional Arabic" w:hAnsi="Traditional Arabic" w:cs="Traditional Arabic" w:hint="eastAsia"/>
          <w:sz w:val="40"/>
          <w:szCs w:val="40"/>
          <w:rtl/>
          <w:lang w:val="en-US"/>
        </w:rPr>
        <w:t>للَّهِ</w:t>
      </w:r>
      <w:r w:rsidRPr="008D0D25">
        <w:rPr>
          <w:rFonts w:ascii="Traditional Arabic" w:hAnsi="Traditional Arabic" w:cs="Traditional Arabic"/>
          <w:sz w:val="40"/>
          <w:szCs w:val="40"/>
          <w:rtl/>
          <w:lang w:val="en-US"/>
        </w:rPr>
        <w:t xml:space="preserve"> عَظِيمٌ</w:t>
      </w:r>
    </w:p>
    <w:p w14:paraId="3D80D1DB" w14:textId="77777777" w:rsidR="00B64CB2" w:rsidRDefault="008D0D25" w:rsidP="006134B5">
      <w:pPr>
        <w:spacing w:line="240" w:lineRule="auto"/>
        <w:jc w:val="center"/>
        <w:rPr>
          <w:rFonts w:asciiTheme="majorBidi" w:hAnsiTheme="majorBidi" w:cstheme="majorBidi"/>
        </w:rPr>
      </w:pPr>
      <w:r>
        <w:rPr>
          <w:rFonts w:asciiTheme="majorBidi" w:hAnsiTheme="majorBidi" w:cstheme="majorBidi"/>
        </w:rPr>
        <w:t>“</w:t>
      </w:r>
      <w:r w:rsidRPr="00B02AD8">
        <w:rPr>
          <w:rFonts w:asciiTheme="majorBidi" w:hAnsiTheme="majorBidi" w:cstheme="majorBidi"/>
          <w:i/>
          <w:iCs/>
        </w:rPr>
        <w:t xml:space="preserve">(Ingatlah) ketika kamu menerima (berita/informasi) itu dari mulut ke mulut dan kamu katakan dengan mulutmu apa yang tidak kamu ketahui </w:t>
      </w:r>
      <w:r w:rsidR="00B6085F" w:rsidRPr="00B02AD8">
        <w:rPr>
          <w:rFonts w:asciiTheme="majorBidi" w:hAnsiTheme="majorBidi" w:cstheme="majorBidi"/>
          <w:i/>
          <w:iCs/>
        </w:rPr>
        <w:t>sedikit</w:t>
      </w:r>
      <w:r w:rsidR="00B02AD8" w:rsidRPr="00B02AD8">
        <w:rPr>
          <w:rFonts w:asciiTheme="majorBidi" w:hAnsiTheme="majorBidi" w:cstheme="majorBidi"/>
          <w:i/>
          <w:iCs/>
        </w:rPr>
        <w:t xml:space="preserve"> pun dan kamu menganggapnya suatu yang ringan padahal dia pada sisi allah adalah suatu hal yang besar</w:t>
      </w:r>
      <w:r w:rsidR="00B64CB2">
        <w:rPr>
          <w:rFonts w:asciiTheme="majorBidi" w:hAnsiTheme="majorBidi" w:cstheme="majorBidi"/>
          <w:i/>
          <w:iCs/>
        </w:rPr>
        <w:t>.</w:t>
      </w:r>
      <w:r>
        <w:rPr>
          <w:rFonts w:asciiTheme="majorBidi" w:hAnsiTheme="majorBidi" w:cstheme="majorBidi"/>
        </w:rPr>
        <w:t>”</w:t>
      </w:r>
      <w:r w:rsidR="00B64CB2">
        <w:rPr>
          <w:rFonts w:asciiTheme="majorBidi" w:hAnsiTheme="majorBidi" w:cstheme="majorBidi"/>
        </w:rPr>
        <w:t xml:space="preserve"> </w:t>
      </w:r>
    </w:p>
    <w:p w14:paraId="036D9403" w14:textId="444C485C" w:rsidR="00B02AD8" w:rsidRDefault="00B64CB2" w:rsidP="006134B5">
      <w:pPr>
        <w:spacing w:line="240" w:lineRule="auto"/>
        <w:jc w:val="center"/>
        <w:rPr>
          <w:rFonts w:asciiTheme="majorBidi" w:hAnsiTheme="majorBidi" w:cstheme="majorBidi"/>
        </w:rPr>
      </w:pPr>
      <w:r w:rsidRPr="00B64CB2">
        <w:rPr>
          <w:rFonts w:asciiTheme="majorBidi" w:hAnsiTheme="majorBidi" w:cstheme="majorBidi"/>
        </w:rPr>
        <w:t>(Q.S An-Nur ayat 15)</w:t>
      </w:r>
    </w:p>
    <w:p w14:paraId="6639B8DC" w14:textId="67AFA65C" w:rsidR="008D372B" w:rsidRPr="00B02AD8" w:rsidRDefault="00B02AD8" w:rsidP="00B02AD8">
      <w:pPr>
        <w:spacing w:line="360" w:lineRule="auto"/>
        <w:jc w:val="center"/>
        <w:rPr>
          <w:rFonts w:asciiTheme="majorBidi" w:hAnsiTheme="majorBidi" w:cstheme="majorBidi"/>
        </w:rPr>
      </w:pPr>
      <w:r>
        <w:rPr>
          <w:rFonts w:asciiTheme="majorBidi" w:hAnsiTheme="majorBidi" w:cstheme="majorBidi"/>
        </w:rPr>
        <w:t>(</w:t>
      </w:r>
      <w:r w:rsidRPr="00B02AD8">
        <w:rPr>
          <w:rFonts w:asciiTheme="majorBidi" w:hAnsiTheme="majorBidi" w:cstheme="majorBidi"/>
        </w:rPr>
        <w:t>Zubdatut Tafsir Min Fathil Qadir / Syaikh Dr. Muhammad Sulaiman Al Asyqar, mudarris tafsir Universitas Islam Madinah</w:t>
      </w:r>
      <w:r>
        <w:rPr>
          <w:rFonts w:asciiTheme="majorBidi" w:hAnsiTheme="majorBidi" w:cstheme="majorBidi"/>
        </w:rPr>
        <w:t>)</w:t>
      </w:r>
      <w:r w:rsidR="008D372B" w:rsidRPr="0021033E">
        <w:rPr>
          <w:rStyle w:val="FootnoteReference"/>
          <w:rFonts w:asciiTheme="majorBidi" w:hAnsiTheme="majorBidi" w:cstheme="majorBidi"/>
          <w:lang w:val="en-US"/>
        </w:rPr>
        <w:footnoteReference w:id="1"/>
      </w:r>
    </w:p>
    <w:p w14:paraId="4F75CF39" w14:textId="77777777" w:rsidR="008D372B" w:rsidRDefault="008D372B" w:rsidP="00AB0453">
      <w:pPr>
        <w:rPr>
          <w:rFonts w:asciiTheme="majorBidi" w:hAnsiTheme="majorBidi" w:cstheme="majorBidi"/>
          <w:b/>
          <w:bCs/>
          <w:sz w:val="28"/>
          <w:szCs w:val="28"/>
          <w:lang w:val="en-US"/>
        </w:rPr>
      </w:pPr>
      <w:r>
        <w:rPr>
          <w:rFonts w:asciiTheme="majorBidi" w:hAnsiTheme="majorBidi" w:cstheme="majorBidi"/>
          <w:b/>
          <w:bCs/>
          <w:sz w:val="28"/>
          <w:szCs w:val="28"/>
          <w:lang w:val="en-US"/>
        </w:rPr>
        <w:br w:type="page"/>
      </w:r>
    </w:p>
    <w:p w14:paraId="759BAED9" w14:textId="77777777" w:rsidR="008D372B" w:rsidRPr="00787AA0" w:rsidRDefault="008D372B" w:rsidP="00536D56">
      <w:pPr>
        <w:pStyle w:val="Heading1"/>
      </w:pPr>
      <w:bookmarkStart w:id="7" w:name="_Toc185961325"/>
      <w:r w:rsidRPr="005B3E2B">
        <w:lastRenderedPageBreak/>
        <w:t>PERSEMBAHAN</w:t>
      </w:r>
      <w:bookmarkEnd w:id="7"/>
      <w:r w:rsidRPr="005B3E2B">
        <w:t xml:space="preserve"> </w:t>
      </w:r>
    </w:p>
    <w:p w14:paraId="708F9F4F" w14:textId="77777777" w:rsidR="008D372B" w:rsidRPr="005B3E2B" w:rsidRDefault="008D372B" w:rsidP="009B7114">
      <w:pPr>
        <w:spacing w:line="276" w:lineRule="auto"/>
        <w:ind w:firstLine="360"/>
        <w:jc w:val="both"/>
        <w:rPr>
          <w:rFonts w:asciiTheme="majorBidi" w:hAnsiTheme="majorBidi" w:cstheme="majorBidi"/>
          <w:lang w:val="en-US"/>
        </w:rPr>
      </w:pPr>
      <w:r w:rsidRPr="005B3E2B">
        <w:rPr>
          <w:rFonts w:asciiTheme="majorBidi" w:hAnsiTheme="majorBidi" w:cstheme="majorBidi"/>
          <w:lang w:val="en-US"/>
        </w:rPr>
        <w:t xml:space="preserve">Alhamdulillahirabbil Allamin, Karya ini merupakan bentuk rasa syukur saya kepada Allah SWT karena telah memberikan nikmat karunia bantuan yang tiada henti hingga saat ini. </w:t>
      </w:r>
      <w:r w:rsidRPr="005B3E2B">
        <w:rPr>
          <w:rFonts w:asciiTheme="majorBidi" w:hAnsiTheme="majorBidi" w:cstheme="majorBidi"/>
        </w:rPr>
        <w:t>Skripsi ini penulis persembahkan kepada:</w:t>
      </w:r>
    </w:p>
    <w:p w14:paraId="50DF89DE" w14:textId="77777777" w:rsidR="008D372B" w:rsidRPr="005B3E2B" w:rsidRDefault="008D372B" w:rsidP="005B3E2B">
      <w:pPr>
        <w:pStyle w:val="ListParagraph"/>
        <w:widowControl w:val="0"/>
        <w:numPr>
          <w:ilvl w:val="3"/>
          <w:numId w:val="88"/>
        </w:numPr>
        <w:tabs>
          <w:tab w:val="clear" w:pos="2880"/>
        </w:tabs>
        <w:autoSpaceDE w:val="0"/>
        <w:autoSpaceDN w:val="0"/>
        <w:spacing w:after="0" w:line="276" w:lineRule="auto"/>
        <w:ind w:left="360"/>
        <w:contextualSpacing w:val="0"/>
        <w:jc w:val="both"/>
        <w:rPr>
          <w:rFonts w:asciiTheme="majorBidi" w:hAnsiTheme="majorBidi" w:cstheme="majorBidi"/>
        </w:rPr>
      </w:pPr>
      <w:r w:rsidRPr="005B3E2B">
        <w:rPr>
          <w:rFonts w:asciiTheme="majorBidi" w:hAnsiTheme="majorBidi" w:cstheme="majorBidi"/>
        </w:rPr>
        <w:t xml:space="preserve">Orang tua tercinta  </w:t>
      </w:r>
      <w:r>
        <w:rPr>
          <w:rFonts w:asciiTheme="majorBidi" w:hAnsiTheme="majorBidi" w:cstheme="majorBidi"/>
        </w:rPr>
        <w:t>B</w:t>
      </w:r>
      <w:r w:rsidRPr="005B3E2B">
        <w:rPr>
          <w:rFonts w:asciiTheme="majorBidi" w:hAnsiTheme="majorBidi" w:cstheme="majorBidi"/>
        </w:rPr>
        <w:t>apak Masjuri dan teristimewa Ibu Siti Maulidah yang telah melahirkan, merawat, membimbing, dan melindungi dengan tulus serta penuh keikhlasan, mencurahkan segala kasih sayang dan cintanya, serta yang senantiasa mendoakan, dan memberikan semangat dan juga dukungan sepenuh hati. Karya ini juga saya persembahkan kepada kakanda Salim Bakhrul Ulum dan ayunda Gita Nur Aini tercinta, yang</w:t>
      </w:r>
      <w:r>
        <w:rPr>
          <w:rFonts w:asciiTheme="majorBidi" w:hAnsiTheme="majorBidi" w:cstheme="majorBidi"/>
        </w:rPr>
        <w:t xml:space="preserve"> </w:t>
      </w:r>
      <w:r w:rsidRPr="005B3E2B">
        <w:rPr>
          <w:rFonts w:asciiTheme="majorBidi" w:hAnsiTheme="majorBidi" w:cstheme="majorBidi"/>
        </w:rPr>
        <w:t>selalu memberikan semangat dan dukungan baik moril maupun material, serta selalu mendoakan untuk keberhasilan penulis hingga selesainya skripsi dan studi S1;</w:t>
      </w:r>
    </w:p>
    <w:p w14:paraId="2AB8E058" w14:textId="25C8668D" w:rsidR="008D372B" w:rsidRPr="005B3E2B" w:rsidRDefault="008D372B" w:rsidP="005B3E2B">
      <w:pPr>
        <w:pStyle w:val="ListParagraph"/>
        <w:widowControl w:val="0"/>
        <w:numPr>
          <w:ilvl w:val="3"/>
          <w:numId w:val="88"/>
        </w:numPr>
        <w:tabs>
          <w:tab w:val="clear" w:pos="2880"/>
        </w:tabs>
        <w:autoSpaceDE w:val="0"/>
        <w:autoSpaceDN w:val="0"/>
        <w:spacing w:after="0" w:line="276" w:lineRule="auto"/>
        <w:ind w:left="360"/>
        <w:contextualSpacing w:val="0"/>
        <w:jc w:val="both"/>
        <w:rPr>
          <w:rFonts w:asciiTheme="majorBidi" w:hAnsiTheme="majorBidi" w:cstheme="majorBidi"/>
        </w:rPr>
      </w:pPr>
      <w:r w:rsidRPr="005B3E2B">
        <w:rPr>
          <w:rFonts w:asciiTheme="majorBidi" w:hAnsiTheme="majorBidi" w:cstheme="majorBidi"/>
        </w:rPr>
        <w:t xml:space="preserve">Pembimbing penulis bapak Drs. H. Eman Sulaeman, M.H, dan </w:t>
      </w:r>
      <w:r w:rsidR="005C000B">
        <w:rPr>
          <w:rFonts w:asciiTheme="majorBidi" w:hAnsiTheme="majorBidi" w:cstheme="majorBidi"/>
        </w:rPr>
        <w:t xml:space="preserve">bapak </w:t>
      </w:r>
      <w:r w:rsidRPr="005B3E2B">
        <w:rPr>
          <w:rFonts w:asciiTheme="majorBidi" w:hAnsiTheme="majorBidi" w:cstheme="majorBidi"/>
        </w:rPr>
        <w:t>Arifana Nur Kholiq, M.S.I,</w:t>
      </w:r>
      <w:r w:rsidR="005C000B">
        <w:rPr>
          <w:rFonts w:asciiTheme="majorBidi" w:hAnsiTheme="majorBidi" w:cstheme="majorBidi"/>
        </w:rPr>
        <w:t xml:space="preserve"> </w:t>
      </w:r>
      <w:r w:rsidRPr="005B3E2B">
        <w:rPr>
          <w:rFonts w:asciiTheme="majorBidi" w:hAnsiTheme="majorBidi" w:cstheme="majorBidi"/>
        </w:rPr>
        <w:t>yang telah membimbing dan mengarahkan penulis dalam penulisan skripsi ini;</w:t>
      </w:r>
    </w:p>
    <w:p w14:paraId="11834984" w14:textId="77777777" w:rsidR="008D372B" w:rsidRPr="005B3E2B" w:rsidRDefault="008D372B" w:rsidP="005B3E2B">
      <w:pPr>
        <w:pStyle w:val="ListParagraph"/>
        <w:widowControl w:val="0"/>
        <w:numPr>
          <w:ilvl w:val="3"/>
          <w:numId w:val="88"/>
        </w:numPr>
        <w:tabs>
          <w:tab w:val="clear" w:pos="2880"/>
        </w:tabs>
        <w:autoSpaceDE w:val="0"/>
        <w:autoSpaceDN w:val="0"/>
        <w:spacing w:after="0" w:line="276" w:lineRule="auto"/>
        <w:ind w:left="360"/>
        <w:contextualSpacing w:val="0"/>
        <w:jc w:val="both"/>
        <w:rPr>
          <w:rFonts w:asciiTheme="majorBidi" w:hAnsiTheme="majorBidi" w:cstheme="majorBidi"/>
        </w:rPr>
      </w:pPr>
      <w:r w:rsidRPr="005B3E2B">
        <w:rPr>
          <w:rFonts w:asciiTheme="majorBidi" w:hAnsiTheme="majorBidi" w:cstheme="majorBidi"/>
        </w:rPr>
        <w:t>Seluruh dosen serta civitas akademika UIN Walisongo Semarang khususnya kawan-kawan dari Fakultas Syariah dan Hukum; dan</w:t>
      </w:r>
    </w:p>
    <w:p w14:paraId="74A8139C" w14:textId="77777777" w:rsidR="008D372B" w:rsidRPr="005B3E2B" w:rsidRDefault="008D372B" w:rsidP="005B3E2B">
      <w:pPr>
        <w:pStyle w:val="ListParagraph"/>
        <w:widowControl w:val="0"/>
        <w:numPr>
          <w:ilvl w:val="3"/>
          <w:numId w:val="88"/>
        </w:numPr>
        <w:tabs>
          <w:tab w:val="clear" w:pos="2880"/>
        </w:tabs>
        <w:autoSpaceDE w:val="0"/>
        <w:autoSpaceDN w:val="0"/>
        <w:spacing w:after="0" w:line="276" w:lineRule="auto"/>
        <w:ind w:left="360"/>
        <w:contextualSpacing w:val="0"/>
        <w:jc w:val="both"/>
        <w:rPr>
          <w:rFonts w:asciiTheme="majorBidi" w:hAnsiTheme="majorBidi" w:cstheme="majorBidi"/>
        </w:rPr>
      </w:pPr>
      <w:r w:rsidRPr="005B3E2B">
        <w:rPr>
          <w:rFonts w:asciiTheme="majorBidi" w:hAnsiTheme="majorBidi" w:cstheme="majorBidi"/>
        </w:rPr>
        <w:t>Semua pihak yang tak dapat penulis sebutkan satu persatu, yang banyak membantu dan memberikan dukungan maupun doa-doanya.</w:t>
      </w:r>
    </w:p>
    <w:p w14:paraId="6F052C86" w14:textId="77777777" w:rsidR="008D372B" w:rsidRDefault="008D372B" w:rsidP="00AB0453">
      <w:pPr>
        <w:pStyle w:val="ListParagraph"/>
        <w:widowControl w:val="0"/>
        <w:autoSpaceDE w:val="0"/>
        <w:autoSpaceDN w:val="0"/>
        <w:spacing w:after="0" w:line="276" w:lineRule="auto"/>
        <w:ind w:left="360"/>
        <w:contextualSpacing w:val="0"/>
        <w:jc w:val="both"/>
      </w:pPr>
    </w:p>
    <w:p w14:paraId="3489FD67" w14:textId="77777777" w:rsidR="008D372B" w:rsidRDefault="008D372B">
      <w:pPr>
        <w:rPr>
          <w:rFonts w:asciiTheme="majorBidi" w:hAnsiTheme="majorBidi" w:cstheme="majorBidi"/>
          <w:b/>
          <w:bCs/>
          <w:sz w:val="24"/>
          <w:szCs w:val="24"/>
          <w:lang w:val="en-US"/>
        </w:rPr>
      </w:pPr>
      <w:r>
        <w:br w:type="page"/>
      </w:r>
    </w:p>
    <w:p w14:paraId="2CCB2179" w14:textId="77777777" w:rsidR="008D372B" w:rsidRPr="005B3E2B" w:rsidRDefault="008D372B" w:rsidP="005B3E2B">
      <w:pPr>
        <w:pStyle w:val="Heading1"/>
      </w:pPr>
      <w:bookmarkStart w:id="8" w:name="_Toc185961326"/>
      <w:r w:rsidRPr="005B3E2B">
        <w:lastRenderedPageBreak/>
        <w:t>DEKLARASI</w:t>
      </w:r>
      <w:bookmarkEnd w:id="8"/>
    </w:p>
    <w:p w14:paraId="07CFFC9F" w14:textId="55FC1212" w:rsidR="008D372B" w:rsidRPr="007956FC" w:rsidRDefault="008D372B" w:rsidP="00387109">
      <w:pPr>
        <w:spacing w:line="276" w:lineRule="auto"/>
        <w:jc w:val="both"/>
        <w:rPr>
          <w:rFonts w:asciiTheme="majorBidi" w:hAnsiTheme="majorBidi" w:cstheme="majorBidi"/>
          <w:b/>
          <w:bCs/>
          <w:lang w:val="en-US"/>
        </w:rPr>
      </w:pPr>
      <w:r w:rsidRPr="007956FC">
        <w:rPr>
          <w:rFonts w:asciiTheme="majorBidi" w:hAnsiTheme="majorBidi" w:cstheme="majorBidi"/>
          <w:lang w:val="en-US"/>
        </w:rPr>
        <w:t>Dengan penuh kejujuran dan tanggung jawab, penulis menyatakan bahwa skripsi yang berjudul “</w:t>
      </w:r>
      <w:r w:rsidR="005F497E" w:rsidRPr="005F497E">
        <w:rPr>
          <w:rFonts w:asciiTheme="majorBidi" w:hAnsiTheme="majorBidi" w:cstheme="majorBidi"/>
          <w:i/>
          <w:iCs/>
          <w:lang w:val="en-US"/>
        </w:rPr>
        <w:t xml:space="preserve">Analisis Kesaksian Testimonium De Auditu </w:t>
      </w:r>
      <w:r w:rsidR="005F497E">
        <w:rPr>
          <w:rFonts w:asciiTheme="majorBidi" w:hAnsiTheme="majorBidi" w:cstheme="majorBidi"/>
          <w:i/>
          <w:iCs/>
          <w:lang w:val="en-US"/>
        </w:rPr>
        <w:t>p</w:t>
      </w:r>
      <w:r w:rsidR="005F497E" w:rsidRPr="005F497E">
        <w:rPr>
          <w:rFonts w:asciiTheme="majorBidi" w:hAnsiTheme="majorBidi" w:cstheme="majorBidi"/>
          <w:i/>
          <w:iCs/>
          <w:lang w:val="en-US"/>
        </w:rPr>
        <w:t xml:space="preserve">ada Tindak Pidana Pelecehan Seksual Terhadap Anak </w:t>
      </w:r>
      <w:r w:rsidR="005F497E">
        <w:rPr>
          <w:rFonts w:asciiTheme="majorBidi" w:hAnsiTheme="majorBidi" w:cstheme="majorBidi"/>
          <w:i/>
          <w:iCs/>
          <w:lang w:val="en-US"/>
        </w:rPr>
        <w:t>d</w:t>
      </w:r>
      <w:r w:rsidR="005F497E" w:rsidRPr="005F497E">
        <w:rPr>
          <w:rFonts w:asciiTheme="majorBidi" w:hAnsiTheme="majorBidi" w:cstheme="majorBidi"/>
          <w:i/>
          <w:iCs/>
          <w:lang w:val="en-US"/>
        </w:rPr>
        <w:t>alam Perspektif Kitab Undang-Undang Hukum Acara Pidana (K</w:t>
      </w:r>
      <w:r w:rsidR="000816A7">
        <w:rPr>
          <w:rFonts w:asciiTheme="majorBidi" w:hAnsiTheme="majorBidi" w:cstheme="majorBidi"/>
          <w:i/>
          <w:iCs/>
          <w:lang w:val="en-US"/>
        </w:rPr>
        <w:t>UHAP</w:t>
      </w:r>
      <w:r w:rsidR="005F497E" w:rsidRPr="005F497E">
        <w:rPr>
          <w:rFonts w:asciiTheme="majorBidi" w:hAnsiTheme="majorBidi" w:cstheme="majorBidi"/>
          <w:i/>
          <w:iCs/>
          <w:lang w:val="en-US"/>
        </w:rPr>
        <w:t xml:space="preserve">) </w:t>
      </w:r>
      <w:r w:rsidR="005F497E">
        <w:rPr>
          <w:rFonts w:asciiTheme="majorBidi" w:hAnsiTheme="majorBidi" w:cstheme="majorBidi"/>
          <w:i/>
          <w:iCs/>
          <w:lang w:val="en-US"/>
        </w:rPr>
        <w:t>d</w:t>
      </w:r>
      <w:r w:rsidR="005F497E" w:rsidRPr="005F497E">
        <w:rPr>
          <w:rFonts w:asciiTheme="majorBidi" w:hAnsiTheme="majorBidi" w:cstheme="majorBidi"/>
          <w:i/>
          <w:iCs/>
          <w:lang w:val="en-US"/>
        </w:rPr>
        <w:t xml:space="preserve">an Qanun Hukum Acara Jinayat </w:t>
      </w:r>
      <w:r w:rsidRPr="00076DD9">
        <w:rPr>
          <w:rFonts w:asciiTheme="majorBidi" w:hAnsiTheme="majorBidi" w:cstheme="majorBidi"/>
          <w:i/>
          <w:iCs/>
          <w:lang w:val="en-US"/>
        </w:rPr>
        <w:t>(Studi Putusan Mahkamah Syariah Takengon Nomor 9/JN?2023/MS.Tkn)”</w:t>
      </w:r>
      <w:r w:rsidRPr="007956FC">
        <w:rPr>
          <w:rFonts w:asciiTheme="majorBidi" w:hAnsiTheme="majorBidi" w:cstheme="majorBidi"/>
          <w:lang w:val="en-US"/>
        </w:rPr>
        <w:t xml:space="preserve"> tidak berisi materi yang telah pernah ditulis oleh orang lain atau diterbitkan. Demikian juga skripsi ini tidak berisi satupun pemikiran pemikiran orang lain, kecuali informasi yang terdapat dalam referensi yang dijadikan rujukan. </w:t>
      </w:r>
    </w:p>
    <w:p w14:paraId="511B152F" w14:textId="16AA9722" w:rsidR="008D372B" w:rsidRPr="007956FC" w:rsidRDefault="008D372B" w:rsidP="00536D56">
      <w:pPr>
        <w:spacing w:line="276" w:lineRule="auto"/>
        <w:ind w:left="720" w:firstLine="720"/>
        <w:jc w:val="both"/>
        <w:rPr>
          <w:rFonts w:asciiTheme="majorBidi" w:hAnsiTheme="majorBidi" w:cstheme="majorBidi"/>
          <w:lang w:val="en-US"/>
        </w:rPr>
      </w:pPr>
    </w:p>
    <w:tbl>
      <w:tblPr>
        <w:tblStyle w:val="TableGrid"/>
        <w:tblW w:w="5706"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6"/>
      </w:tblGrid>
      <w:tr w:rsidR="008D372B" w:rsidRPr="007956FC" w14:paraId="26A26E18" w14:textId="77777777" w:rsidTr="00D7331F">
        <w:tc>
          <w:tcPr>
            <w:tcW w:w="5706" w:type="dxa"/>
          </w:tcPr>
          <w:p w14:paraId="17089979" w14:textId="77777777" w:rsidR="008D372B" w:rsidRPr="007956FC" w:rsidRDefault="008D372B" w:rsidP="00536D56">
            <w:pPr>
              <w:spacing w:line="276" w:lineRule="auto"/>
              <w:jc w:val="center"/>
              <w:rPr>
                <w:rFonts w:asciiTheme="majorBidi" w:hAnsiTheme="majorBidi" w:cstheme="majorBidi"/>
                <w:lang w:val="en-US"/>
              </w:rPr>
            </w:pPr>
            <w:r>
              <w:rPr>
                <w:rFonts w:asciiTheme="majorBidi" w:hAnsiTheme="majorBidi" w:cstheme="majorBidi"/>
                <w:lang w:val="en-US"/>
              </w:rPr>
              <w:t>Semarang</w:t>
            </w:r>
            <w:r w:rsidRPr="007956FC">
              <w:rPr>
                <w:rFonts w:asciiTheme="majorBidi" w:hAnsiTheme="majorBidi" w:cstheme="majorBidi"/>
                <w:lang w:val="en-US"/>
              </w:rPr>
              <w:t>, 20 September 2024</w:t>
            </w:r>
          </w:p>
          <w:p w14:paraId="32DA9314" w14:textId="777185F9" w:rsidR="00D75ACB" w:rsidRDefault="00D75ACB" w:rsidP="00D75ACB">
            <w:pPr>
              <w:spacing w:line="276" w:lineRule="auto"/>
              <w:jc w:val="center"/>
              <w:rPr>
                <w:rFonts w:asciiTheme="majorBidi" w:hAnsiTheme="majorBidi" w:cstheme="majorBidi"/>
                <w:lang w:val="en-US"/>
              </w:rPr>
            </w:pPr>
            <w:r>
              <w:rPr>
                <w:rFonts w:asciiTheme="majorBidi" w:hAnsiTheme="majorBidi" w:cstheme="majorBidi"/>
                <w:noProof/>
                <w:lang w:val="en-US"/>
              </w:rPr>
              <w:drawing>
                <wp:anchor distT="0" distB="0" distL="114300" distR="114300" simplePos="0" relativeHeight="251659264" behindDoc="0" locked="0" layoutInCell="1" allowOverlap="1" wp14:anchorId="3E3C2BF7" wp14:editId="53FE7AEB">
                  <wp:simplePos x="0" y="0"/>
                  <wp:positionH relativeFrom="column">
                    <wp:posOffset>884555</wp:posOffset>
                  </wp:positionH>
                  <wp:positionV relativeFrom="paragraph">
                    <wp:posOffset>173355</wp:posOffset>
                  </wp:positionV>
                  <wp:extent cx="1505585" cy="777240"/>
                  <wp:effectExtent l="0" t="0" r="0" b="0"/>
                  <wp:wrapNone/>
                  <wp:docPr id="7429499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49962" name="Picture 742949962"/>
                          <pic:cNvPicPr/>
                        </pic:nvPicPr>
                        <pic:blipFill>
                          <a:blip r:embed="rId10" cstate="print">
                            <a:clrChange>
                              <a:clrFrom>
                                <a:srgbClr val="F3FAFF"/>
                              </a:clrFrom>
                              <a:clrTo>
                                <a:srgbClr val="F3FAFF">
                                  <a:alpha val="0"/>
                                </a:srgbClr>
                              </a:clrTo>
                            </a:clrChange>
                            <a:extLst>
                              <a:ext uri="{28A0092B-C50C-407E-A947-70E740481C1C}">
                                <a14:useLocalDpi xmlns:a14="http://schemas.microsoft.com/office/drawing/2010/main" val="0"/>
                              </a:ext>
                            </a:extLst>
                          </a:blip>
                          <a:stretch>
                            <a:fillRect/>
                          </a:stretch>
                        </pic:blipFill>
                        <pic:spPr>
                          <a:xfrm>
                            <a:off x="0" y="0"/>
                            <a:ext cx="1505585" cy="777240"/>
                          </a:xfrm>
                          <a:prstGeom prst="rect">
                            <a:avLst/>
                          </a:prstGeom>
                        </pic:spPr>
                      </pic:pic>
                    </a:graphicData>
                  </a:graphic>
                  <wp14:sizeRelH relativeFrom="margin">
                    <wp14:pctWidth>0</wp14:pctWidth>
                  </wp14:sizeRelH>
                  <wp14:sizeRelV relativeFrom="margin">
                    <wp14:pctHeight>0</wp14:pctHeight>
                  </wp14:sizeRelV>
                </wp:anchor>
              </w:drawing>
            </w:r>
            <w:r w:rsidR="008D372B" w:rsidRPr="007956FC">
              <w:rPr>
                <w:rFonts w:asciiTheme="majorBidi" w:hAnsiTheme="majorBidi" w:cstheme="majorBidi"/>
                <w:lang w:val="en-US"/>
              </w:rPr>
              <w:t>Deklarator</w:t>
            </w:r>
          </w:p>
          <w:p w14:paraId="4A7C2E5C" w14:textId="601ACBB7" w:rsidR="008D372B" w:rsidRDefault="008D372B" w:rsidP="008A70B6">
            <w:pPr>
              <w:spacing w:line="276" w:lineRule="auto"/>
              <w:jc w:val="center"/>
              <w:rPr>
                <w:rFonts w:asciiTheme="majorBidi" w:hAnsiTheme="majorBidi" w:cstheme="majorBidi"/>
                <w:lang w:val="en-US"/>
              </w:rPr>
            </w:pPr>
          </w:p>
          <w:p w14:paraId="62F37671" w14:textId="189005D1" w:rsidR="00D75ACB" w:rsidRDefault="00D75ACB" w:rsidP="008A70B6">
            <w:pPr>
              <w:spacing w:line="276" w:lineRule="auto"/>
              <w:jc w:val="center"/>
              <w:rPr>
                <w:rFonts w:asciiTheme="majorBidi" w:hAnsiTheme="majorBidi" w:cstheme="majorBidi"/>
                <w:lang w:val="en-US"/>
              </w:rPr>
            </w:pPr>
          </w:p>
          <w:p w14:paraId="1FC36911" w14:textId="02C309AF" w:rsidR="00D75ACB" w:rsidRPr="007956FC" w:rsidRDefault="00D75ACB" w:rsidP="008A70B6">
            <w:pPr>
              <w:spacing w:line="276" w:lineRule="auto"/>
              <w:jc w:val="center"/>
              <w:rPr>
                <w:rFonts w:asciiTheme="majorBidi" w:hAnsiTheme="majorBidi" w:cstheme="majorBidi"/>
                <w:lang w:val="en-US"/>
              </w:rPr>
            </w:pPr>
          </w:p>
        </w:tc>
      </w:tr>
      <w:tr w:rsidR="008D372B" w:rsidRPr="007956FC" w14:paraId="5F302469" w14:textId="77777777" w:rsidTr="00D7331F">
        <w:tc>
          <w:tcPr>
            <w:tcW w:w="5706" w:type="dxa"/>
          </w:tcPr>
          <w:p w14:paraId="40665C0C" w14:textId="602B7F60" w:rsidR="008D372B" w:rsidRPr="00472D04" w:rsidRDefault="008D372B" w:rsidP="002533A9">
            <w:pPr>
              <w:jc w:val="center"/>
              <w:rPr>
                <w:rFonts w:asciiTheme="majorBidi" w:hAnsiTheme="majorBidi" w:cstheme="majorBidi"/>
                <w:b/>
                <w:bCs/>
                <w:u w:val="single"/>
                <w:lang w:val="en-US"/>
              </w:rPr>
            </w:pPr>
            <w:r w:rsidRPr="00472D04">
              <w:rPr>
                <w:rFonts w:asciiTheme="majorBidi" w:hAnsiTheme="majorBidi" w:cstheme="majorBidi"/>
                <w:b/>
                <w:bCs/>
                <w:u w:val="single"/>
                <w:lang w:val="en-US"/>
              </w:rPr>
              <w:t>Hamid Reza Asefi</w:t>
            </w:r>
          </w:p>
          <w:p w14:paraId="31E5FD38" w14:textId="77777777" w:rsidR="008D372B" w:rsidRPr="007956FC" w:rsidRDefault="008D372B" w:rsidP="002533A9">
            <w:pPr>
              <w:jc w:val="center"/>
              <w:rPr>
                <w:rFonts w:asciiTheme="majorBidi" w:hAnsiTheme="majorBidi" w:cstheme="majorBidi"/>
                <w:lang w:val="en-US"/>
              </w:rPr>
            </w:pPr>
            <w:r w:rsidRPr="00472D04">
              <w:rPr>
                <w:rFonts w:asciiTheme="majorBidi" w:hAnsiTheme="majorBidi" w:cstheme="majorBidi"/>
                <w:b/>
                <w:bCs/>
                <w:lang w:val="en-US"/>
              </w:rPr>
              <w:t>NIM. 2102026031</w:t>
            </w:r>
          </w:p>
        </w:tc>
      </w:tr>
    </w:tbl>
    <w:p w14:paraId="54F1AC88" w14:textId="57B5F396" w:rsidR="008D372B" w:rsidRPr="00AB0453" w:rsidRDefault="008D372B" w:rsidP="00AB0453">
      <w:pPr>
        <w:pStyle w:val="ListParagraph"/>
        <w:widowControl w:val="0"/>
        <w:autoSpaceDE w:val="0"/>
        <w:autoSpaceDN w:val="0"/>
        <w:spacing w:after="0" w:line="276" w:lineRule="auto"/>
        <w:ind w:left="360"/>
        <w:contextualSpacing w:val="0"/>
        <w:jc w:val="both"/>
        <w:rPr>
          <w:lang w:val="en-US"/>
        </w:rPr>
      </w:pPr>
    </w:p>
    <w:p w14:paraId="5674B5D2" w14:textId="53A7505C" w:rsidR="008D372B" w:rsidRPr="00AB0453" w:rsidRDefault="008D372B" w:rsidP="00AB0453"/>
    <w:p w14:paraId="56702004" w14:textId="779FD110" w:rsidR="008D372B" w:rsidRDefault="008D372B">
      <w:pPr>
        <w:rPr>
          <w:rFonts w:asciiTheme="majorBidi" w:hAnsiTheme="majorBidi" w:cstheme="majorBidi"/>
          <w:b/>
          <w:bCs/>
          <w:sz w:val="24"/>
          <w:szCs w:val="24"/>
          <w:lang w:val="en-US"/>
        </w:rPr>
      </w:pPr>
      <w:r>
        <w:br w:type="page"/>
      </w:r>
    </w:p>
    <w:p w14:paraId="2689146B" w14:textId="77777777" w:rsidR="008D372B" w:rsidRPr="00A2389C" w:rsidRDefault="008D372B" w:rsidP="00536D56">
      <w:pPr>
        <w:pStyle w:val="Heading1"/>
        <w:spacing w:line="276" w:lineRule="auto"/>
      </w:pPr>
      <w:bookmarkStart w:id="9" w:name="_Toc185961327"/>
      <w:r>
        <w:lastRenderedPageBreak/>
        <w:t>PEDOMAN TRANSLITERASI ARAB-LATIN</w:t>
      </w:r>
      <w:bookmarkEnd w:id="9"/>
    </w:p>
    <w:p w14:paraId="73E113FA" w14:textId="77777777" w:rsidR="008D372B" w:rsidRPr="00BF542D" w:rsidRDefault="008D372B" w:rsidP="00387109">
      <w:pPr>
        <w:pStyle w:val="BodyText"/>
        <w:spacing w:line="276" w:lineRule="auto"/>
        <w:ind w:firstLine="360"/>
        <w:rPr>
          <w:rFonts w:asciiTheme="majorBidi" w:hAnsiTheme="majorBidi" w:cstheme="majorBidi"/>
          <w:color w:val="000000" w:themeColor="text1"/>
        </w:rPr>
      </w:pPr>
      <w:r w:rsidRPr="00BF542D">
        <w:rPr>
          <w:rFonts w:asciiTheme="majorBidi" w:hAnsiTheme="majorBidi" w:cstheme="majorBidi"/>
          <w:color w:val="000000" w:themeColor="text1"/>
        </w:rPr>
        <w:t>Transliterasi huruf Arab ke dalam huruf latin yang dipakai dalam penulisan skripsi ini berpedoman pada Surat Keputusan Bersama Menteri Agama dan Menteri Pendidikan dan Kebudayaan Republik Indonesia Nomor: 158/1987 dan 05936/U/1987.</w:t>
      </w:r>
    </w:p>
    <w:p w14:paraId="1CC8461F" w14:textId="77777777" w:rsidR="008D372B" w:rsidRPr="00D44043" w:rsidRDefault="008D372B" w:rsidP="00D44043">
      <w:pPr>
        <w:pStyle w:val="ListParagraph"/>
        <w:numPr>
          <w:ilvl w:val="0"/>
          <w:numId w:val="83"/>
        </w:numPr>
        <w:spacing w:line="276" w:lineRule="auto"/>
        <w:ind w:left="360"/>
        <w:jc w:val="both"/>
        <w:rPr>
          <w:rFonts w:ascii="Times New Roman" w:hAnsi="Times New Roman" w:cs="Times New Roman"/>
          <w:b/>
          <w:bCs/>
        </w:rPr>
      </w:pPr>
      <w:r w:rsidRPr="0021033E">
        <w:rPr>
          <w:rFonts w:ascii="Times New Roman" w:hAnsi="Times New Roman" w:cs="Times New Roman"/>
          <w:b/>
          <w:bCs/>
        </w:rPr>
        <w:t>Konsonan</w:t>
      </w:r>
      <w:r>
        <w:rPr>
          <w:rFonts w:ascii="Times New Roman" w:hAnsi="Times New Roman" w:cs="Times New Roman"/>
          <w:b/>
          <w:bCs/>
        </w:rPr>
        <w:t xml:space="preserve"> Tunggal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41"/>
        <w:gridCol w:w="1686"/>
        <w:gridCol w:w="1931"/>
      </w:tblGrid>
      <w:tr w:rsidR="008D372B" w:rsidRPr="006131A6" w14:paraId="5E8E0967" w14:textId="77777777" w:rsidTr="008E0248">
        <w:trPr>
          <w:trHeight w:val="457"/>
          <w:jc w:val="center"/>
        </w:trPr>
        <w:tc>
          <w:tcPr>
            <w:tcW w:w="1271" w:type="dxa"/>
            <w:shd w:val="clear" w:color="auto" w:fill="auto"/>
          </w:tcPr>
          <w:p w14:paraId="4A36E71B" w14:textId="77777777" w:rsidR="008D372B" w:rsidRPr="00BF542D" w:rsidRDefault="008D372B" w:rsidP="00DF7B66">
            <w:pPr>
              <w:spacing w:line="240" w:lineRule="auto"/>
              <w:jc w:val="center"/>
              <w:rPr>
                <w:rFonts w:ascii="Times New Roman" w:hAnsi="Times New Roman" w:cs="Times New Roman"/>
                <w:b/>
                <w:bCs/>
                <w:sz w:val="20"/>
                <w:szCs w:val="20"/>
              </w:rPr>
            </w:pPr>
            <w:r w:rsidRPr="00BF542D">
              <w:rPr>
                <w:rFonts w:ascii="Times New Roman" w:hAnsi="Times New Roman" w:cs="Times New Roman"/>
                <w:b/>
                <w:bCs/>
                <w:sz w:val="20"/>
                <w:szCs w:val="20"/>
              </w:rPr>
              <w:t>Huruf Arab</w:t>
            </w:r>
          </w:p>
        </w:tc>
        <w:tc>
          <w:tcPr>
            <w:tcW w:w="941" w:type="dxa"/>
            <w:shd w:val="clear" w:color="auto" w:fill="auto"/>
          </w:tcPr>
          <w:p w14:paraId="374CDA77" w14:textId="77777777" w:rsidR="008D372B" w:rsidRPr="00BF542D" w:rsidRDefault="008D372B" w:rsidP="00DF7B66">
            <w:pPr>
              <w:spacing w:line="240" w:lineRule="auto"/>
              <w:jc w:val="center"/>
              <w:rPr>
                <w:rFonts w:ascii="Times New Roman" w:hAnsi="Times New Roman" w:cs="Times New Roman"/>
                <w:b/>
                <w:bCs/>
                <w:sz w:val="20"/>
                <w:szCs w:val="20"/>
              </w:rPr>
            </w:pPr>
            <w:r w:rsidRPr="00BF542D">
              <w:rPr>
                <w:rFonts w:ascii="Times New Roman" w:hAnsi="Times New Roman" w:cs="Times New Roman"/>
                <w:b/>
                <w:bCs/>
                <w:sz w:val="20"/>
                <w:szCs w:val="20"/>
              </w:rPr>
              <w:t>Nama</w:t>
            </w:r>
          </w:p>
        </w:tc>
        <w:tc>
          <w:tcPr>
            <w:tcW w:w="1686" w:type="dxa"/>
            <w:shd w:val="clear" w:color="auto" w:fill="auto"/>
          </w:tcPr>
          <w:p w14:paraId="1A65D10A" w14:textId="77777777" w:rsidR="008D372B" w:rsidRPr="00BF542D" w:rsidRDefault="008D372B" w:rsidP="00DF7B66">
            <w:pPr>
              <w:spacing w:line="240" w:lineRule="auto"/>
              <w:jc w:val="center"/>
              <w:rPr>
                <w:rFonts w:ascii="Times New Roman" w:hAnsi="Times New Roman" w:cs="Times New Roman"/>
                <w:b/>
                <w:bCs/>
                <w:sz w:val="20"/>
                <w:szCs w:val="20"/>
              </w:rPr>
            </w:pPr>
            <w:r w:rsidRPr="00BF542D">
              <w:rPr>
                <w:rFonts w:ascii="Times New Roman" w:hAnsi="Times New Roman" w:cs="Times New Roman"/>
                <w:b/>
                <w:bCs/>
                <w:sz w:val="20"/>
                <w:szCs w:val="20"/>
              </w:rPr>
              <w:t>Huruf Latin</w:t>
            </w:r>
          </w:p>
        </w:tc>
        <w:tc>
          <w:tcPr>
            <w:tcW w:w="1931" w:type="dxa"/>
            <w:shd w:val="clear" w:color="auto" w:fill="auto"/>
          </w:tcPr>
          <w:p w14:paraId="4F111CE3" w14:textId="77777777" w:rsidR="008D372B" w:rsidRPr="00BF542D" w:rsidRDefault="008D372B" w:rsidP="00DF7B66">
            <w:pPr>
              <w:spacing w:line="240" w:lineRule="auto"/>
              <w:jc w:val="center"/>
              <w:rPr>
                <w:rFonts w:ascii="Times New Roman" w:hAnsi="Times New Roman" w:cs="Times New Roman"/>
                <w:b/>
                <w:bCs/>
                <w:sz w:val="20"/>
                <w:szCs w:val="20"/>
              </w:rPr>
            </w:pPr>
            <w:r w:rsidRPr="00BF542D">
              <w:rPr>
                <w:rFonts w:ascii="Times New Roman" w:hAnsi="Times New Roman" w:cs="Times New Roman"/>
                <w:b/>
                <w:bCs/>
                <w:sz w:val="20"/>
                <w:szCs w:val="20"/>
              </w:rPr>
              <w:t>Nama</w:t>
            </w:r>
          </w:p>
        </w:tc>
      </w:tr>
      <w:tr w:rsidR="008D372B" w:rsidRPr="006131A6" w14:paraId="20A5A457" w14:textId="77777777" w:rsidTr="008E0248">
        <w:trPr>
          <w:jc w:val="center"/>
        </w:trPr>
        <w:tc>
          <w:tcPr>
            <w:tcW w:w="1271" w:type="dxa"/>
            <w:shd w:val="clear" w:color="auto" w:fill="auto"/>
          </w:tcPr>
          <w:p w14:paraId="0A0BA590" w14:textId="77777777" w:rsidR="008D372B" w:rsidRPr="00BF542D" w:rsidRDefault="008D372B" w:rsidP="00DF7B66">
            <w:pPr>
              <w:spacing w:line="240" w:lineRule="auto"/>
              <w:jc w:val="center"/>
              <w:rPr>
                <w:rFonts w:ascii="Traditional Arabic" w:hAnsi="Traditional Arabic" w:cs="Traditional Arabic"/>
                <w:sz w:val="20"/>
                <w:szCs w:val="20"/>
                <w:rtl/>
              </w:rPr>
            </w:pPr>
            <w:r w:rsidRPr="00BF542D">
              <w:rPr>
                <w:rFonts w:ascii="Traditional Arabic" w:hAnsi="Traditional Arabic" w:cs="Traditional Arabic"/>
                <w:sz w:val="20"/>
                <w:szCs w:val="20"/>
                <w:rtl/>
              </w:rPr>
              <w:t>أ</w:t>
            </w:r>
          </w:p>
        </w:tc>
        <w:tc>
          <w:tcPr>
            <w:tcW w:w="941" w:type="dxa"/>
            <w:shd w:val="clear" w:color="auto" w:fill="auto"/>
          </w:tcPr>
          <w:p w14:paraId="7BDB436D"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Alif</w:t>
            </w:r>
          </w:p>
        </w:tc>
        <w:tc>
          <w:tcPr>
            <w:tcW w:w="1686" w:type="dxa"/>
            <w:shd w:val="clear" w:color="auto" w:fill="auto"/>
          </w:tcPr>
          <w:p w14:paraId="25B69CB1"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Tidak dilambangkan</w:t>
            </w:r>
          </w:p>
        </w:tc>
        <w:tc>
          <w:tcPr>
            <w:tcW w:w="1931" w:type="dxa"/>
            <w:shd w:val="clear" w:color="auto" w:fill="auto"/>
          </w:tcPr>
          <w:p w14:paraId="69A601F3"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Tidak dilambangkan</w:t>
            </w:r>
          </w:p>
        </w:tc>
      </w:tr>
      <w:tr w:rsidR="008D372B" w:rsidRPr="006131A6" w14:paraId="029562C2" w14:textId="77777777" w:rsidTr="008E0248">
        <w:trPr>
          <w:jc w:val="center"/>
        </w:trPr>
        <w:tc>
          <w:tcPr>
            <w:tcW w:w="1271" w:type="dxa"/>
            <w:shd w:val="clear" w:color="auto" w:fill="auto"/>
          </w:tcPr>
          <w:p w14:paraId="0D9E6803" w14:textId="77777777" w:rsidR="008D372B" w:rsidRPr="00BF542D" w:rsidRDefault="008D372B" w:rsidP="00DF7B66">
            <w:pPr>
              <w:spacing w:line="240" w:lineRule="auto"/>
              <w:jc w:val="center"/>
              <w:rPr>
                <w:rFonts w:ascii="Traditional Arabic" w:hAnsi="Traditional Arabic" w:cs="Traditional Arabic"/>
                <w:sz w:val="20"/>
                <w:szCs w:val="20"/>
              </w:rPr>
            </w:pPr>
            <w:r w:rsidRPr="00BF542D">
              <w:rPr>
                <w:rFonts w:ascii="Traditional Arabic" w:hAnsi="Traditional Arabic" w:cs="Traditional Arabic"/>
                <w:sz w:val="20"/>
                <w:szCs w:val="20"/>
                <w:rtl/>
              </w:rPr>
              <w:t>ب</w:t>
            </w:r>
          </w:p>
        </w:tc>
        <w:tc>
          <w:tcPr>
            <w:tcW w:w="941" w:type="dxa"/>
            <w:shd w:val="clear" w:color="auto" w:fill="auto"/>
          </w:tcPr>
          <w:p w14:paraId="1108FCBB"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Ba</w:t>
            </w:r>
          </w:p>
        </w:tc>
        <w:tc>
          <w:tcPr>
            <w:tcW w:w="1686" w:type="dxa"/>
            <w:shd w:val="clear" w:color="auto" w:fill="auto"/>
          </w:tcPr>
          <w:p w14:paraId="20D449E8"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B</w:t>
            </w:r>
          </w:p>
        </w:tc>
        <w:tc>
          <w:tcPr>
            <w:tcW w:w="1931" w:type="dxa"/>
            <w:shd w:val="clear" w:color="auto" w:fill="auto"/>
          </w:tcPr>
          <w:p w14:paraId="0B24170F"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Be</w:t>
            </w:r>
          </w:p>
        </w:tc>
      </w:tr>
      <w:tr w:rsidR="008D372B" w:rsidRPr="006131A6" w14:paraId="6862C9D6" w14:textId="77777777" w:rsidTr="008E0248">
        <w:trPr>
          <w:jc w:val="center"/>
        </w:trPr>
        <w:tc>
          <w:tcPr>
            <w:tcW w:w="1271" w:type="dxa"/>
            <w:shd w:val="clear" w:color="auto" w:fill="auto"/>
          </w:tcPr>
          <w:p w14:paraId="37FA6AD1" w14:textId="77777777" w:rsidR="008D372B" w:rsidRPr="00BF542D" w:rsidRDefault="008D372B" w:rsidP="00DF7B66">
            <w:pPr>
              <w:spacing w:line="240" w:lineRule="auto"/>
              <w:jc w:val="center"/>
              <w:rPr>
                <w:rFonts w:ascii="Traditional Arabic" w:hAnsi="Traditional Arabic" w:cs="Traditional Arabic"/>
                <w:sz w:val="20"/>
                <w:szCs w:val="20"/>
              </w:rPr>
            </w:pPr>
            <w:r w:rsidRPr="00BF542D">
              <w:rPr>
                <w:rFonts w:ascii="Traditional Arabic" w:hAnsi="Traditional Arabic" w:cs="Traditional Arabic"/>
                <w:sz w:val="20"/>
                <w:szCs w:val="20"/>
                <w:rtl/>
              </w:rPr>
              <w:t>ت</w:t>
            </w:r>
          </w:p>
        </w:tc>
        <w:tc>
          <w:tcPr>
            <w:tcW w:w="941" w:type="dxa"/>
            <w:shd w:val="clear" w:color="auto" w:fill="auto"/>
          </w:tcPr>
          <w:p w14:paraId="1CE0B291"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Ta</w:t>
            </w:r>
          </w:p>
        </w:tc>
        <w:tc>
          <w:tcPr>
            <w:tcW w:w="1686" w:type="dxa"/>
            <w:shd w:val="clear" w:color="auto" w:fill="auto"/>
          </w:tcPr>
          <w:p w14:paraId="732F1899"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T</w:t>
            </w:r>
          </w:p>
        </w:tc>
        <w:tc>
          <w:tcPr>
            <w:tcW w:w="1931" w:type="dxa"/>
            <w:shd w:val="clear" w:color="auto" w:fill="auto"/>
          </w:tcPr>
          <w:p w14:paraId="70CFA110"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Te</w:t>
            </w:r>
          </w:p>
        </w:tc>
      </w:tr>
      <w:tr w:rsidR="008D372B" w:rsidRPr="006131A6" w14:paraId="70C01683" w14:textId="77777777" w:rsidTr="008E0248">
        <w:trPr>
          <w:jc w:val="center"/>
        </w:trPr>
        <w:tc>
          <w:tcPr>
            <w:tcW w:w="1271" w:type="dxa"/>
            <w:shd w:val="clear" w:color="auto" w:fill="auto"/>
          </w:tcPr>
          <w:p w14:paraId="30E60DA8" w14:textId="77777777" w:rsidR="008D372B" w:rsidRPr="00BF542D" w:rsidRDefault="008D372B" w:rsidP="00DF7B66">
            <w:pPr>
              <w:spacing w:line="240" w:lineRule="auto"/>
              <w:jc w:val="center"/>
              <w:rPr>
                <w:rFonts w:ascii="Traditional Arabic" w:hAnsi="Traditional Arabic" w:cs="Traditional Arabic"/>
                <w:sz w:val="20"/>
                <w:szCs w:val="20"/>
              </w:rPr>
            </w:pPr>
            <w:r w:rsidRPr="00BF542D">
              <w:rPr>
                <w:rFonts w:ascii="Traditional Arabic" w:hAnsi="Traditional Arabic" w:cs="Traditional Arabic"/>
                <w:sz w:val="20"/>
                <w:szCs w:val="20"/>
                <w:rtl/>
              </w:rPr>
              <w:t>ث</w:t>
            </w:r>
          </w:p>
        </w:tc>
        <w:tc>
          <w:tcPr>
            <w:tcW w:w="941" w:type="dxa"/>
            <w:shd w:val="clear" w:color="auto" w:fill="auto"/>
          </w:tcPr>
          <w:p w14:paraId="04A6A3A0"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Ṡa</w:t>
            </w:r>
          </w:p>
        </w:tc>
        <w:tc>
          <w:tcPr>
            <w:tcW w:w="1686" w:type="dxa"/>
            <w:shd w:val="clear" w:color="auto" w:fill="auto"/>
          </w:tcPr>
          <w:p w14:paraId="07DFF071"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ṡ</w:t>
            </w:r>
          </w:p>
        </w:tc>
        <w:tc>
          <w:tcPr>
            <w:tcW w:w="1931" w:type="dxa"/>
            <w:shd w:val="clear" w:color="auto" w:fill="auto"/>
          </w:tcPr>
          <w:p w14:paraId="3517E52F"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es (dengan titik di atas)</w:t>
            </w:r>
          </w:p>
        </w:tc>
      </w:tr>
      <w:tr w:rsidR="008D372B" w:rsidRPr="006131A6" w14:paraId="681ECE4B" w14:textId="77777777" w:rsidTr="008E0248">
        <w:trPr>
          <w:jc w:val="center"/>
        </w:trPr>
        <w:tc>
          <w:tcPr>
            <w:tcW w:w="1271" w:type="dxa"/>
            <w:shd w:val="clear" w:color="auto" w:fill="auto"/>
          </w:tcPr>
          <w:p w14:paraId="142C82A6" w14:textId="77777777" w:rsidR="008D372B" w:rsidRPr="00BF542D" w:rsidRDefault="008D372B" w:rsidP="00DF7B66">
            <w:pPr>
              <w:spacing w:line="240" w:lineRule="auto"/>
              <w:jc w:val="center"/>
              <w:rPr>
                <w:rFonts w:ascii="Traditional Arabic" w:hAnsi="Traditional Arabic" w:cs="Traditional Arabic"/>
                <w:sz w:val="20"/>
                <w:szCs w:val="20"/>
              </w:rPr>
            </w:pPr>
            <w:r w:rsidRPr="00BF542D">
              <w:rPr>
                <w:rFonts w:ascii="Traditional Arabic" w:hAnsi="Traditional Arabic" w:cs="Traditional Arabic"/>
                <w:sz w:val="20"/>
                <w:szCs w:val="20"/>
                <w:rtl/>
              </w:rPr>
              <w:t>ج</w:t>
            </w:r>
          </w:p>
        </w:tc>
        <w:tc>
          <w:tcPr>
            <w:tcW w:w="941" w:type="dxa"/>
            <w:shd w:val="clear" w:color="auto" w:fill="auto"/>
          </w:tcPr>
          <w:p w14:paraId="0A9CD2E1"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Jim</w:t>
            </w:r>
          </w:p>
        </w:tc>
        <w:tc>
          <w:tcPr>
            <w:tcW w:w="1686" w:type="dxa"/>
            <w:shd w:val="clear" w:color="auto" w:fill="auto"/>
          </w:tcPr>
          <w:p w14:paraId="3D52BA89"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J</w:t>
            </w:r>
          </w:p>
        </w:tc>
        <w:tc>
          <w:tcPr>
            <w:tcW w:w="1931" w:type="dxa"/>
            <w:shd w:val="clear" w:color="auto" w:fill="auto"/>
          </w:tcPr>
          <w:p w14:paraId="29CAE779"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Je</w:t>
            </w:r>
          </w:p>
        </w:tc>
      </w:tr>
      <w:tr w:rsidR="008D372B" w:rsidRPr="006131A6" w14:paraId="2535C5AC" w14:textId="77777777" w:rsidTr="008E0248">
        <w:trPr>
          <w:jc w:val="center"/>
        </w:trPr>
        <w:tc>
          <w:tcPr>
            <w:tcW w:w="1271" w:type="dxa"/>
            <w:shd w:val="clear" w:color="auto" w:fill="auto"/>
          </w:tcPr>
          <w:p w14:paraId="00DCFC13" w14:textId="77777777" w:rsidR="008D372B" w:rsidRPr="00BF542D" w:rsidRDefault="008D372B" w:rsidP="00DF7B66">
            <w:pPr>
              <w:spacing w:line="240" w:lineRule="auto"/>
              <w:jc w:val="center"/>
              <w:rPr>
                <w:rFonts w:ascii="Traditional Arabic" w:hAnsi="Traditional Arabic" w:cs="Traditional Arabic"/>
                <w:sz w:val="20"/>
                <w:szCs w:val="20"/>
              </w:rPr>
            </w:pPr>
            <w:r w:rsidRPr="00BF542D">
              <w:rPr>
                <w:rFonts w:ascii="Traditional Arabic" w:hAnsi="Traditional Arabic" w:cs="Traditional Arabic"/>
                <w:sz w:val="20"/>
                <w:szCs w:val="20"/>
                <w:rtl/>
              </w:rPr>
              <w:t>ح</w:t>
            </w:r>
          </w:p>
        </w:tc>
        <w:tc>
          <w:tcPr>
            <w:tcW w:w="941" w:type="dxa"/>
            <w:shd w:val="clear" w:color="auto" w:fill="auto"/>
          </w:tcPr>
          <w:p w14:paraId="38BF1CCD"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Ḥa</w:t>
            </w:r>
          </w:p>
        </w:tc>
        <w:tc>
          <w:tcPr>
            <w:tcW w:w="1686" w:type="dxa"/>
            <w:shd w:val="clear" w:color="auto" w:fill="auto"/>
          </w:tcPr>
          <w:p w14:paraId="16C0AB49"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ḥ</w:t>
            </w:r>
          </w:p>
        </w:tc>
        <w:tc>
          <w:tcPr>
            <w:tcW w:w="1931" w:type="dxa"/>
            <w:shd w:val="clear" w:color="auto" w:fill="auto"/>
          </w:tcPr>
          <w:p w14:paraId="7877C10B"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ha (dengan titik di bawah)</w:t>
            </w:r>
          </w:p>
        </w:tc>
      </w:tr>
      <w:tr w:rsidR="008D372B" w:rsidRPr="006131A6" w14:paraId="4053BF22" w14:textId="77777777" w:rsidTr="008E0248">
        <w:trPr>
          <w:jc w:val="center"/>
        </w:trPr>
        <w:tc>
          <w:tcPr>
            <w:tcW w:w="1271" w:type="dxa"/>
            <w:shd w:val="clear" w:color="auto" w:fill="auto"/>
          </w:tcPr>
          <w:p w14:paraId="1AED28EF" w14:textId="77777777" w:rsidR="008D372B" w:rsidRPr="00BF542D" w:rsidRDefault="008D372B" w:rsidP="00DF7B66">
            <w:pPr>
              <w:spacing w:line="240" w:lineRule="auto"/>
              <w:jc w:val="center"/>
              <w:rPr>
                <w:rFonts w:ascii="Traditional Arabic" w:hAnsi="Traditional Arabic" w:cs="Traditional Arabic"/>
                <w:sz w:val="20"/>
                <w:szCs w:val="20"/>
              </w:rPr>
            </w:pPr>
            <w:r w:rsidRPr="00BF542D">
              <w:rPr>
                <w:rFonts w:ascii="Traditional Arabic" w:hAnsi="Traditional Arabic" w:cs="Traditional Arabic"/>
                <w:sz w:val="20"/>
                <w:szCs w:val="20"/>
                <w:rtl/>
              </w:rPr>
              <w:t>خ</w:t>
            </w:r>
          </w:p>
        </w:tc>
        <w:tc>
          <w:tcPr>
            <w:tcW w:w="941" w:type="dxa"/>
            <w:shd w:val="clear" w:color="auto" w:fill="auto"/>
          </w:tcPr>
          <w:p w14:paraId="17481D50"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Kha</w:t>
            </w:r>
          </w:p>
        </w:tc>
        <w:tc>
          <w:tcPr>
            <w:tcW w:w="1686" w:type="dxa"/>
            <w:shd w:val="clear" w:color="auto" w:fill="auto"/>
          </w:tcPr>
          <w:p w14:paraId="44993A4A"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Kh</w:t>
            </w:r>
          </w:p>
        </w:tc>
        <w:tc>
          <w:tcPr>
            <w:tcW w:w="1931" w:type="dxa"/>
            <w:shd w:val="clear" w:color="auto" w:fill="auto"/>
          </w:tcPr>
          <w:p w14:paraId="455DF383"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ka dan ha</w:t>
            </w:r>
          </w:p>
        </w:tc>
      </w:tr>
      <w:tr w:rsidR="008D372B" w:rsidRPr="006131A6" w14:paraId="10E03CF6" w14:textId="77777777" w:rsidTr="008E0248">
        <w:trPr>
          <w:jc w:val="center"/>
        </w:trPr>
        <w:tc>
          <w:tcPr>
            <w:tcW w:w="1271" w:type="dxa"/>
            <w:shd w:val="clear" w:color="auto" w:fill="auto"/>
          </w:tcPr>
          <w:p w14:paraId="67D84D52" w14:textId="77777777" w:rsidR="008D372B" w:rsidRPr="00BF542D" w:rsidRDefault="008D372B" w:rsidP="00DF7B66">
            <w:pPr>
              <w:spacing w:line="240" w:lineRule="auto"/>
              <w:jc w:val="center"/>
              <w:rPr>
                <w:rFonts w:ascii="Traditional Arabic" w:hAnsi="Traditional Arabic" w:cs="Traditional Arabic"/>
                <w:sz w:val="20"/>
                <w:szCs w:val="20"/>
              </w:rPr>
            </w:pPr>
            <w:r w:rsidRPr="00BF542D">
              <w:rPr>
                <w:rFonts w:ascii="Traditional Arabic" w:hAnsi="Traditional Arabic" w:cs="Traditional Arabic"/>
                <w:sz w:val="20"/>
                <w:szCs w:val="20"/>
                <w:rtl/>
              </w:rPr>
              <w:t>د</w:t>
            </w:r>
          </w:p>
        </w:tc>
        <w:tc>
          <w:tcPr>
            <w:tcW w:w="941" w:type="dxa"/>
            <w:shd w:val="clear" w:color="auto" w:fill="auto"/>
          </w:tcPr>
          <w:p w14:paraId="701B380D"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Dal</w:t>
            </w:r>
          </w:p>
        </w:tc>
        <w:tc>
          <w:tcPr>
            <w:tcW w:w="1686" w:type="dxa"/>
            <w:shd w:val="clear" w:color="auto" w:fill="auto"/>
          </w:tcPr>
          <w:p w14:paraId="5F422ED3"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d</w:t>
            </w:r>
          </w:p>
        </w:tc>
        <w:tc>
          <w:tcPr>
            <w:tcW w:w="1931" w:type="dxa"/>
            <w:shd w:val="clear" w:color="auto" w:fill="auto"/>
          </w:tcPr>
          <w:p w14:paraId="090B4845"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De</w:t>
            </w:r>
          </w:p>
        </w:tc>
      </w:tr>
      <w:tr w:rsidR="008D372B" w:rsidRPr="006131A6" w14:paraId="170927B0" w14:textId="77777777" w:rsidTr="008E0248">
        <w:trPr>
          <w:jc w:val="center"/>
        </w:trPr>
        <w:tc>
          <w:tcPr>
            <w:tcW w:w="1271" w:type="dxa"/>
            <w:shd w:val="clear" w:color="auto" w:fill="auto"/>
          </w:tcPr>
          <w:p w14:paraId="058F5E32" w14:textId="77777777" w:rsidR="008D372B" w:rsidRPr="00BF542D" w:rsidRDefault="008D372B" w:rsidP="00DF7B66">
            <w:pPr>
              <w:spacing w:line="240" w:lineRule="auto"/>
              <w:jc w:val="center"/>
              <w:rPr>
                <w:rFonts w:ascii="Traditional Arabic" w:hAnsi="Traditional Arabic" w:cs="Traditional Arabic"/>
                <w:sz w:val="20"/>
                <w:szCs w:val="20"/>
              </w:rPr>
            </w:pPr>
            <w:r w:rsidRPr="00BF542D">
              <w:rPr>
                <w:rFonts w:ascii="Traditional Arabic" w:hAnsi="Traditional Arabic" w:cs="Traditional Arabic"/>
                <w:sz w:val="20"/>
                <w:szCs w:val="20"/>
                <w:rtl/>
              </w:rPr>
              <w:t>ذ</w:t>
            </w:r>
          </w:p>
        </w:tc>
        <w:tc>
          <w:tcPr>
            <w:tcW w:w="941" w:type="dxa"/>
            <w:shd w:val="clear" w:color="auto" w:fill="auto"/>
          </w:tcPr>
          <w:p w14:paraId="681D59D0"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Żal</w:t>
            </w:r>
          </w:p>
        </w:tc>
        <w:tc>
          <w:tcPr>
            <w:tcW w:w="1686" w:type="dxa"/>
            <w:shd w:val="clear" w:color="auto" w:fill="auto"/>
          </w:tcPr>
          <w:p w14:paraId="490B5C80"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ż</w:t>
            </w:r>
          </w:p>
        </w:tc>
        <w:tc>
          <w:tcPr>
            <w:tcW w:w="1931" w:type="dxa"/>
            <w:shd w:val="clear" w:color="auto" w:fill="auto"/>
          </w:tcPr>
          <w:p w14:paraId="53E86F78"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Zet (dengan titik di atas)</w:t>
            </w:r>
          </w:p>
        </w:tc>
      </w:tr>
      <w:tr w:rsidR="008D372B" w:rsidRPr="006131A6" w14:paraId="40FB4AB4" w14:textId="77777777" w:rsidTr="008E0248">
        <w:trPr>
          <w:jc w:val="center"/>
        </w:trPr>
        <w:tc>
          <w:tcPr>
            <w:tcW w:w="1271" w:type="dxa"/>
            <w:shd w:val="clear" w:color="auto" w:fill="auto"/>
          </w:tcPr>
          <w:p w14:paraId="55443D4A" w14:textId="77777777" w:rsidR="008D372B" w:rsidRPr="00BF542D" w:rsidRDefault="008D372B" w:rsidP="00DF7B66">
            <w:pPr>
              <w:spacing w:line="240" w:lineRule="auto"/>
              <w:jc w:val="center"/>
              <w:rPr>
                <w:rFonts w:ascii="Traditional Arabic" w:hAnsi="Traditional Arabic" w:cs="Traditional Arabic"/>
                <w:sz w:val="20"/>
                <w:szCs w:val="20"/>
              </w:rPr>
            </w:pPr>
            <w:r w:rsidRPr="00BF542D">
              <w:rPr>
                <w:rFonts w:ascii="Traditional Arabic" w:hAnsi="Traditional Arabic" w:cs="Traditional Arabic"/>
                <w:sz w:val="20"/>
                <w:szCs w:val="20"/>
                <w:rtl/>
              </w:rPr>
              <w:t>ر</w:t>
            </w:r>
          </w:p>
        </w:tc>
        <w:tc>
          <w:tcPr>
            <w:tcW w:w="941" w:type="dxa"/>
            <w:shd w:val="clear" w:color="auto" w:fill="auto"/>
          </w:tcPr>
          <w:p w14:paraId="35F01C1F"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Ra</w:t>
            </w:r>
          </w:p>
        </w:tc>
        <w:tc>
          <w:tcPr>
            <w:tcW w:w="1686" w:type="dxa"/>
            <w:shd w:val="clear" w:color="auto" w:fill="auto"/>
          </w:tcPr>
          <w:p w14:paraId="57739BBD"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r</w:t>
            </w:r>
          </w:p>
        </w:tc>
        <w:tc>
          <w:tcPr>
            <w:tcW w:w="1931" w:type="dxa"/>
            <w:shd w:val="clear" w:color="auto" w:fill="auto"/>
          </w:tcPr>
          <w:p w14:paraId="092A90A2"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er</w:t>
            </w:r>
          </w:p>
        </w:tc>
      </w:tr>
      <w:tr w:rsidR="008D372B" w:rsidRPr="006131A6" w14:paraId="53ACC34D" w14:textId="77777777" w:rsidTr="008E0248">
        <w:trPr>
          <w:jc w:val="center"/>
        </w:trPr>
        <w:tc>
          <w:tcPr>
            <w:tcW w:w="1271" w:type="dxa"/>
            <w:shd w:val="clear" w:color="auto" w:fill="auto"/>
          </w:tcPr>
          <w:p w14:paraId="036DA98B" w14:textId="77777777" w:rsidR="008D372B" w:rsidRPr="00BF542D" w:rsidRDefault="008D372B" w:rsidP="00DF7B66">
            <w:pPr>
              <w:spacing w:line="240" w:lineRule="auto"/>
              <w:jc w:val="center"/>
              <w:rPr>
                <w:rFonts w:ascii="Traditional Arabic" w:hAnsi="Traditional Arabic" w:cs="Traditional Arabic"/>
                <w:sz w:val="20"/>
                <w:szCs w:val="20"/>
              </w:rPr>
            </w:pPr>
            <w:r w:rsidRPr="00BF542D">
              <w:rPr>
                <w:rFonts w:ascii="Traditional Arabic" w:hAnsi="Traditional Arabic" w:cs="Traditional Arabic"/>
                <w:sz w:val="20"/>
                <w:szCs w:val="20"/>
                <w:rtl/>
              </w:rPr>
              <w:t>ز</w:t>
            </w:r>
          </w:p>
        </w:tc>
        <w:tc>
          <w:tcPr>
            <w:tcW w:w="941" w:type="dxa"/>
            <w:shd w:val="clear" w:color="auto" w:fill="auto"/>
          </w:tcPr>
          <w:p w14:paraId="210DFE48"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Zai</w:t>
            </w:r>
          </w:p>
        </w:tc>
        <w:tc>
          <w:tcPr>
            <w:tcW w:w="1686" w:type="dxa"/>
            <w:shd w:val="clear" w:color="auto" w:fill="auto"/>
          </w:tcPr>
          <w:p w14:paraId="30E0E041"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z</w:t>
            </w:r>
          </w:p>
        </w:tc>
        <w:tc>
          <w:tcPr>
            <w:tcW w:w="1931" w:type="dxa"/>
            <w:shd w:val="clear" w:color="auto" w:fill="auto"/>
          </w:tcPr>
          <w:p w14:paraId="3E07FE1F"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zet</w:t>
            </w:r>
          </w:p>
        </w:tc>
      </w:tr>
      <w:tr w:rsidR="008D372B" w:rsidRPr="006131A6" w14:paraId="7D234051" w14:textId="77777777" w:rsidTr="008E0248">
        <w:trPr>
          <w:jc w:val="center"/>
        </w:trPr>
        <w:tc>
          <w:tcPr>
            <w:tcW w:w="1271" w:type="dxa"/>
            <w:shd w:val="clear" w:color="auto" w:fill="auto"/>
          </w:tcPr>
          <w:p w14:paraId="25CD4B39" w14:textId="77777777" w:rsidR="008D372B" w:rsidRPr="00BF542D" w:rsidRDefault="008D372B" w:rsidP="00DF7B66">
            <w:pPr>
              <w:spacing w:line="240" w:lineRule="auto"/>
              <w:jc w:val="center"/>
              <w:rPr>
                <w:rFonts w:ascii="Traditional Arabic" w:hAnsi="Traditional Arabic" w:cs="Traditional Arabic"/>
                <w:sz w:val="20"/>
                <w:szCs w:val="20"/>
              </w:rPr>
            </w:pPr>
            <w:r w:rsidRPr="00BF542D">
              <w:rPr>
                <w:rFonts w:ascii="Traditional Arabic" w:hAnsi="Traditional Arabic" w:cs="Traditional Arabic"/>
                <w:sz w:val="20"/>
                <w:szCs w:val="20"/>
                <w:rtl/>
              </w:rPr>
              <w:t>س</w:t>
            </w:r>
          </w:p>
        </w:tc>
        <w:tc>
          <w:tcPr>
            <w:tcW w:w="941" w:type="dxa"/>
            <w:shd w:val="clear" w:color="auto" w:fill="auto"/>
          </w:tcPr>
          <w:p w14:paraId="4FCB92E9"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Sin</w:t>
            </w:r>
          </w:p>
        </w:tc>
        <w:tc>
          <w:tcPr>
            <w:tcW w:w="1686" w:type="dxa"/>
            <w:shd w:val="clear" w:color="auto" w:fill="auto"/>
          </w:tcPr>
          <w:p w14:paraId="4FCFE03E"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s</w:t>
            </w:r>
          </w:p>
        </w:tc>
        <w:tc>
          <w:tcPr>
            <w:tcW w:w="1931" w:type="dxa"/>
            <w:shd w:val="clear" w:color="auto" w:fill="auto"/>
          </w:tcPr>
          <w:p w14:paraId="74DA7E11"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es</w:t>
            </w:r>
          </w:p>
        </w:tc>
      </w:tr>
      <w:tr w:rsidR="008D372B" w:rsidRPr="006131A6" w14:paraId="2EC5774C" w14:textId="77777777" w:rsidTr="008E0248">
        <w:trPr>
          <w:jc w:val="center"/>
        </w:trPr>
        <w:tc>
          <w:tcPr>
            <w:tcW w:w="1271" w:type="dxa"/>
            <w:shd w:val="clear" w:color="auto" w:fill="auto"/>
          </w:tcPr>
          <w:p w14:paraId="4C67643A" w14:textId="77777777" w:rsidR="008D372B" w:rsidRPr="00BF542D" w:rsidRDefault="008D372B" w:rsidP="00DF7B66">
            <w:pPr>
              <w:spacing w:line="240" w:lineRule="auto"/>
              <w:jc w:val="center"/>
              <w:rPr>
                <w:rFonts w:ascii="Traditional Arabic" w:hAnsi="Traditional Arabic" w:cs="Traditional Arabic"/>
                <w:sz w:val="20"/>
                <w:szCs w:val="20"/>
              </w:rPr>
            </w:pPr>
            <w:r w:rsidRPr="00BF542D">
              <w:rPr>
                <w:rFonts w:ascii="Traditional Arabic" w:hAnsi="Traditional Arabic" w:cs="Traditional Arabic"/>
                <w:sz w:val="20"/>
                <w:szCs w:val="20"/>
                <w:rtl/>
              </w:rPr>
              <w:t>ش</w:t>
            </w:r>
          </w:p>
        </w:tc>
        <w:tc>
          <w:tcPr>
            <w:tcW w:w="941" w:type="dxa"/>
            <w:shd w:val="clear" w:color="auto" w:fill="auto"/>
          </w:tcPr>
          <w:p w14:paraId="357CE834"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Syin</w:t>
            </w:r>
          </w:p>
        </w:tc>
        <w:tc>
          <w:tcPr>
            <w:tcW w:w="1686" w:type="dxa"/>
            <w:shd w:val="clear" w:color="auto" w:fill="auto"/>
          </w:tcPr>
          <w:p w14:paraId="13E4D248"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sy</w:t>
            </w:r>
          </w:p>
        </w:tc>
        <w:tc>
          <w:tcPr>
            <w:tcW w:w="1931" w:type="dxa"/>
            <w:shd w:val="clear" w:color="auto" w:fill="auto"/>
          </w:tcPr>
          <w:p w14:paraId="4C63E142"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es dan ye</w:t>
            </w:r>
          </w:p>
        </w:tc>
      </w:tr>
      <w:tr w:rsidR="008D372B" w:rsidRPr="006131A6" w14:paraId="70A7DBE3" w14:textId="77777777" w:rsidTr="008E0248">
        <w:trPr>
          <w:jc w:val="center"/>
        </w:trPr>
        <w:tc>
          <w:tcPr>
            <w:tcW w:w="1271" w:type="dxa"/>
            <w:shd w:val="clear" w:color="auto" w:fill="auto"/>
          </w:tcPr>
          <w:p w14:paraId="687E5BAC" w14:textId="77777777" w:rsidR="008D372B" w:rsidRPr="00BF542D" w:rsidRDefault="008D372B" w:rsidP="00DF7B66">
            <w:pPr>
              <w:spacing w:line="240" w:lineRule="auto"/>
              <w:jc w:val="center"/>
              <w:rPr>
                <w:rFonts w:ascii="Traditional Arabic" w:hAnsi="Traditional Arabic" w:cs="Traditional Arabic"/>
                <w:sz w:val="20"/>
                <w:szCs w:val="20"/>
              </w:rPr>
            </w:pPr>
            <w:r w:rsidRPr="00BF542D">
              <w:rPr>
                <w:rFonts w:ascii="Traditional Arabic" w:hAnsi="Traditional Arabic" w:cs="Traditional Arabic"/>
                <w:sz w:val="20"/>
                <w:szCs w:val="20"/>
                <w:rtl/>
              </w:rPr>
              <w:lastRenderedPageBreak/>
              <w:t>ص</w:t>
            </w:r>
          </w:p>
        </w:tc>
        <w:tc>
          <w:tcPr>
            <w:tcW w:w="941" w:type="dxa"/>
            <w:shd w:val="clear" w:color="auto" w:fill="auto"/>
          </w:tcPr>
          <w:p w14:paraId="528FD71C"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Ṣad</w:t>
            </w:r>
          </w:p>
        </w:tc>
        <w:tc>
          <w:tcPr>
            <w:tcW w:w="1686" w:type="dxa"/>
            <w:shd w:val="clear" w:color="auto" w:fill="auto"/>
          </w:tcPr>
          <w:p w14:paraId="733C3026"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ṣ</w:t>
            </w:r>
          </w:p>
        </w:tc>
        <w:tc>
          <w:tcPr>
            <w:tcW w:w="1931" w:type="dxa"/>
            <w:shd w:val="clear" w:color="auto" w:fill="auto"/>
          </w:tcPr>
          <w:p w14:paraId="67101FFB"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es (dengan titik di bawah)</w:t>
            </w:r>
          </w:p>
        </w:tc>
      </w:tr>
      <w:tr w:rsidR="008D372B" w:rsidRPr="006131A6" w14:paraId="14C0C092" w14:textId="77777777" w:rsidTr="008E0248">
        <w:trPr>
          <w:jc w:val="center"/>
        </w:trPr>
        <w:tc>
          <w:tcPr>
            <w:tcW w:w="1271" w:type="dxa"/>
            <w:shd w:val="clear" w:color="auto" w:fill="auto"/>
          </w:tcPr>
          <w:p w14:paraId="72AB8F65" w14:textId="77777777" w:rsidR="008D372B" w:rsidRPr="00BF542D" w:rsidRDefault="008D372B" w:rsidP="00DF7B66">
            <w:pPr>
              <w:spacing w:line="240" w:lineRule="auto"/>
              <w:jc w:val="center"/>
              <w:rPr>
                <w:rFonts w:ascii="Traditional Arabic" w:hAnsi="Traditional Arabic" w:cs="Traditional Arabic"/>
                <w:sz w:val="20"/>
                <w:szCs w:val="20"/>
              </w:rPr>
            </w:pPr>
            <w:r w:rsidRPr="00BF542D">
              <w:rPr>
                <w:rFonts w:ascii="Traditional Arabic" w:hAnsi="Traditional Arabic" w:cs="Traditional Arabic"/>
                <w:sz w:val="20"/>
                <w:szCs w:val="20"/>
                <w:rtl/>
              </w:rPr>
              <w:t>ض</w:t>
            </w:r>
          </w:p>
        </w:tc>
        <w:tc>
          <w:tcPr>
            <w:tcW w:w="941" w:type="dxa"/>
            <w:shd w:val="clear" w:color="auto" w:fill="auto"/>
          </w:tcPr>
          <w:p w14:paraId="3AA90051"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Ḍad</w:t>
            </w:r>
          </w:p>
        </w:tc>
        <w:tc>
          <w:tcPr>
            <w:tcW w:w="1686" w:type="dxa"/>
            <w:shd w:val="clear" w:color="auto" w:fill="auto"/>
          </w:tcPr>
          <w:p w14:paraId="007DE930"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ḍ</w:t>
            </w:r>
          </w:p>
        </w:tc>
        <w:tc>
          <w:tcPr>
            <w:tcW w:w="1931" w:type="dxa"/>
            <w:shd w:val="clear" w:color="auto" w:fill="auto"/>
          </w:tcPr>
          <w:p w14:paraId="79678E08"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de (dengan titik di bawah)</w:t>
            </w:r>
          </w:p>
        </w:tc>
      </w:tr>
      <w:tr w:rsidR="008D372B" w:rsidRPr="006131A6" w14:paraId="3A6A2EA8" w14:textId="77777777" w:rsidTr="008E0248">
        <w:trPr>
          <w:jc w:val="center"/>
        </w:trPr>
        <w:tc>
          <w:tcPr>
            <w:tcW w:w="1271" w:type="dxa"/>
            <w:shd w:val="clear" w:color="auto" w:fill="auto"/>
          </w:tcPr>
          <w:p w14:paraId="41A86333" w14:textId="77777777" w:rsidR="008D372B" w:rsidRPr="00BF542D" w:rsidRDefault="008D372B" w:rsidP="00DF7B66">
            <w:pPr>
              <w:spacing w:line="240" w:lineRule="auto"/>
              <w:jc w:val="center"/>
              <w:rPr>
                <w:rFonts w:ascii="Traditional Arabic" w:hAnsi="Traditional Arabic" w:cs="Traditional Arabic"/>
                <w:sz w:val="20"/>
                <w:szCs w:val="20"/>
              </w:rPr>
            </w:pPr>
            <w:r w:rsidRPr="00BF542D">
              <w:rPr>
                <w:rFonts w:ascii="Traditional Arabic" w:hAnsi="Traditional Arabic" w:cs="Traditional Arabic"/>
                <w:sz w:val="20"/>
                <w:szCs w:val="20"/>
                <w:rtl/>
              </w:rPr>
              <w:t>ط</w:t>
            </w:r>
          </w:p>
        </w:tc>
        <w:tc>
          <w:tcPr>
            <w:tcW w:w="941" w:type="dxa"/>
            <w:shd w:val="clear" w:color="auto" w:fill="auto"/>
          </w:tcPr>
          <w:p w14:paraId="73F28446"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Ṭa</w:t>
            </w:r>
          </w:p>
        </w:tc>
        <w:tc>
          <w:tcPr>
            <w:tcW w:w="1686" w:type="dxa"/>
            <w:shd w:val="clear" w:color="auto" w:fill="auto"/>
          </w:tcPr>
          <w:p w14:paraId="39C96F16"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ṭ</w:t>
            </w:r>
          </w:p>
        </w:tc>
        <w:tc>
          <w:tcPr>
            <w:tcW w:w="1931" w:type="dxa"/>
            <w:shd w:val="clear" w:color="auto" w:fill="auto"/>
          </w:tcPr>
          <w:p w14:paraId="7FB769FE"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te (dengan titik di bawah)</w:t>
            </w:r>
          </w:p>
        </w:tc>
      </w:tr>
      <w:tr w:rsidR="008D372B" w:rsidRPr="006131A6" w14:paraId="07874678" w14:textId="77777777" w:rsidTr="008E0248">
        <w:trPr>
          <w:jc w:val="center"/>
        </w:trPr>
        <w:tc>
          <w:tcPr>
            <w:tcW w:w="1271" w:type="dxa"/>
            <w:shd w:val="clear" w:color="auto" w:fill="auto"/>
          </w:tcPr>
          <w:p w14:paraId="168CC6C3" w14:textId="77777777" w:rsidR="008D372B" w:rsidRPr="00BF542D" w:rsidRDefault="008D372B" w:rsidP="00DF7B66">
            <w:pPr>
              <w:spacing w:line="240" w:lineRule="auto"/>
              <w:jc w:val="center"/>
              <w:rPr>
                <w:rFonts w:ascii="Traditional Arabic" w:hAnsi="Traditional Arabic" w:cs="Traditional Arabic"/>
                <w:sz w:val="20"/>
                <w:szCs w:val="20"/>
              </w:rPr>
            </w:pPr>
            <w:r w:rsidRPr="00BF542D">
              <w:rPr>
                <w:rFonts w:ascii="Traditional Arabic" w:hAnsi="Traditional Arabic" w:cs="Traditional Arabic"/>
                <w:sz w:val="20"/>
                <w:szCs w:val="20"/>
                <w:rtl/>
              </w:rPr>
              <w:t>ظ</w:t>
            </w:r>
          </w:p>
        </w:tc>
        <w:tc>
          <w:tcPr>
            <w:tcW w:w="941" w:type="dxa"/>
            <w:shd w:val="clear" w:color="auto" w:fill="auto"/>
          </w:tcPr>
          <w:p w14:paraId="31B1F79D"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Ẓa</w:t>
            </w:r>
          </w:p>
        </w:tc>
        <w:tc>
          <w:tcPr>
            <w:tcW w:w="1686" w:type="dxa"/>
            <w:shd w:val="clear" w:color="auto" w:fill="auto"/>
          </w:tcPr>
          <w:p w14:paraId="13751489"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ẓ</w:t>
            </w:r>
          </w:p>
        </w:tc>
        <w:tc>
          <w:tcPr>
            <w:tcW w:w="1931" w:type="dxa"/>
            <w:shd w:val="clear" w:color="auto" w:fill="auto"/>
          </w:tcPr>
          <w:p w14:paraId="0DA17EB9"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zet (dengan titik di bawah)</w:t>
            </w:r>
          </w:p>
        </w:tc>
      </w:tr>
      <w:tr w:rsidR="008D372B" w:rsidRPr="006131A6" w14:paraId="186BCE36" w14:textId="77777777" w:rsidTr="008E0248">
        <w:trPr>
          <w:jc w:val="center"/>
        </w:trPr>
        <w:tc>
          <w:tcPr>
            <w:tcW w:w="1271" w:type="dxa"/>
            <w:shd w:val="clear" w:color="auto" w:fill="auto"/>
          </w:tcPr>
          <w:p w14:paraId="6BA7131A" w14:textId="77777777" w:rsidR="008D372B" w:rsidRPr="00BF542D" w:rsidRDefault="008D372B" w:rsidP="00DF7B66">
            <w:pPr>
              <w:spacing w:line="240" w:lineRule="auto"/>
              <w:jc w:val="center"/>
              <w:rPr>
                <w:rFonts w:ascii="Traditional Arabic" w:hAnsi="Traditional Arabic" w:cs="Traditional Arabic"/>
                <w:sz w:val="20"/>
                <w:szCs w:val="20"/>
              </w:rPr>
            </w:pPr>
            <w:r w:rsidRPr="00BF542D">
              <w:rPr>
                <w:rFonts w:ascii="Traditional Arabic" w:hAnsi="Traditional Arabic" w:cs="Traditional Arabic"/>
                <w:sz w:val="20"/>
                <w:szCs w:val="20"/>
                <w:rtl/>
              </w:rPr>
              <w:t>ع</w:t>
            </w:r>
          </w:p>
        </w:tc>
        <w:tc>
          <w:tcPr>
            <w:tcW w:w="941" w:type="dxa"/>
            <w:shd w:val="clear" w:color="auto" w:fill="auto"/>
          </w:tcPr>
          <w:p w14:paraId="0394BE6A"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`ain</w:t>
            </w:r>
          </w:p>
        </w:tc>
        <w:tc>
          <w:tcPr>
            <w:tcW w:w="1686" w:type="dxa"/>
            <w:shd w:val="clear" w:color="auto" w:fill="auto"/>
          </w:tcPr>
          <w:p w14:paraId="7C59A69F"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w:t>
            </w:r>
          </w:p>
        </w:tc>
        <w:tc>
          <w:tcPr>
            <w:tcW w:w="1931" w:type="dxa"/>
            <w:shd w:val="clear" w:color="auto" w:fill="auto"/>
          </w:tcPr>
          <w:p w14:paraId="165A11DB"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koma terbalik (di atas)</w:t>
            </w:r>
          </w:p>
        </w:tc>
      </w:tr>
      <w:tr w:rsidR="008D372B" w:rsidRPr="006131A6" w14:paraId="1F67F1FF" w14:textId="77777777" w:rsidTr="008E0248">
        <w:trPr>
          <w:jc w:val="center"/>
        </w:trPr>
        <w:tc>
          <w:tcPr>
            <w:tcW w:w="1271" w:type="dxa"/>
            <w:shd w:val="clear" w:color="auto" w:fill="auto"/>
          </w:tcPr>
          <w:p w14:paraId="7AD2A450" w14:textId="77777777" w:rsidR="008D372B" w:rsidRPr="00BF542D" w:rsidRDefault="008D372B" w:rsidP="00DF7B66">
            <w:pPr>
              <w:spacing w:line="240" w:lineRule="auto"/>
              <w:jc w:val="center"/>
              <w:rPr>
                <w:rFonts w:ascii="Traditional Arabic" w:hAnsi="Traditional Arabic" w:cs="Traditional Arabic"/>
                <w:sz w:val="20"/>
                <w:szCs w:val="20"/>
              </w:rPr>
            </w:pPr>
            <w:r w:rsidRPr="00BF542D">
              <w:rPr>
                <w:rFonts w:ascii="Traditional Arabic" w:hAnsi="Traditional Arabic" w:cs="Traditional Arabic"/>
                <w:sz w:val="20"/>
                <w:szCs w:val="20"/>
                <w:rtl/>
              </w:rPr>
              <w:t>غ</w:t>
            </w:r>
          </w:p>
        </w:tc>
        <w:tc>
          <w:tcPr>
            <w:tcW w:w="941" w:type="dxa"/>
            <w:shd w:val="clear" w:color="auto" w:fill="auto"/>
          </w:tcPr>
          <w:p w14:paraId="7DF681D3"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Gain</w:t>
            </w:r>
          </w:p>
        </w:tc>
        <w:tc>
          <w:tcPr>
            <w:tcW w:w="1686" w:type="dxa"/>
            <w:shd w:val="clear" w:color="auto" w:fill="auto"/>
          </w:tcPr>
          <w:p w14:paraId="74DF8A17"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g</w:t>
            </w:r>
          </w:p>
        </w:tc>
        <w:tc>
          <w:tcPr>
            <w:tcW w:w="1931" w:type="dxa"/>
            <w:shd w:val="clear" w:color="auto" w:fill="auto"/>
          </w:tcPr>
          <w:p w14:paraId="3EC179BC"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ge</w:t>
            </w:r>
          </w:p>
        </w:tc>
      </w:tr>
      <w:tr w:rsidR="008D372B" w:rsidRPr="006131A6" w14:paraId="4F61AFB6" w14:textId="77777777" w:rsidTr="008E0248">
        <w:trPr>
          <w:jc w:val="center"/>
        </w:trPr>
        <w:tc>
          <w:tcPr>
            <w:tcW w:w="1271" w:type="dxa"/>
            <w:shd w:val="clear" w:color="auto" w:fill="auto"/>
          </w:tcPr>
          <w:p w14:paraId="71BB8F29" w14:textId="77777777" w:rsidR="008D372B" w:rsidRPr="00BF542D" w:rsidRDefault="008D372B" w:rsidP="00DF7B66">
            <w:pPr>
              <w:spacing w:line="240" w:lineRule="auto"/>
              <w:jc w:val="center"/>
              <w:rPr>
                <w:rFonts w:ascii="Traditional Arabic" w:hAnsi="Traditional Arabic" w:cs="Traditional Arabic"/>
                <w:sz w:val="20"/>
                <w:szCs w:val="20"/>
                <w:rtl/>
              </w:rPr>
            </w:pPr>
            <w:r w:rsidRPr="00BF542D">
              <w:rPr>
                <w:rFonts w:ascii="Traditional Arabic" w:hAnsi="Traditional Arabic" w:cs="Traditional Arabic"/>
                <w:sz w:val="20"/>
                <w:szCs w:val="20"/>
                <w:rtl/>
              </w:rPr>
              <w:t>ف</w:t>
            </w:r>
          </w:p>
        </w:tc>
        <w:tc>
          <w:tcPr>
            <w:tcW w:w="941" w:type="dxa"/>
            <w:shd w:val="clear" w:color="auto" w:fill="auto"/>
          </w:tcPr>
          <w:p w14:paraId="43701BB2"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Fa</w:t>
            </w:r>
          </w:p>
        </w:tc>
        <w:tc>
          <w:tcPr>
            <w:tcW w:w="1686" w:type="dxa"/>
            <w:shd w:val="clear" w:color="auto" w:fill="auto"/>
          </w:tcPr>
          <w:p w14:paraId="3EE3429F"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f</w:t>
            </w:r>
          </w:p>
        </w:tc>
        <w:tc>
          <w:tcPr>
            <w:tcW w:w="1931" w:type="dxa"/>
            <w:shd w:val="clear" w:color="auto" w:fill="auto"/>
          </w:tcPr>
          <w:p w14:paraId="2F7FA820"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ef</w:t>
            </w:r>
          </w:p>
        </w:tc>
      </w:tr>
      <w:tr w:rsidR="008D372B" w:rsidRPr="006131A6" w14:paraId="1E541121" w14:textId="77777777" w:rsidTr="008E0248">
        <w:trPr>
          <w:jc w:val="center"/>
        </w:trPr>
        <w:tc>
          <w:tcPr>
            <w:tcW w:w="1271" w:type="dxa"/>
            <w:shd w:val="clear" w:color="auto" w:fill="auto"/>
          </w:tcPr>
          <w:p w14:paraId="719EBC05" w14:textId="77777777" w:rsidR="008D372B" w:rsidRPr="00BF542D" w:rsidRDefault="008D372B" w:rsidP="00DF7B66">
            <w:pPr>
              <w:spacing w:line="240" w:lineRule="auto"/>
              <w:jc w:val="center"/>
              <w:rPr>
                <w:rFonts w:ascii="Traditional Arabic" w:hAnsi="Traditional Arabic" w:cs="Traditional Arabic"/>
                <w:sz w:val="20"/>
                <w:szCs w:val="20"/>
                <w:rtl/>
              </w:rPr>
            </w:pPr>
            <w:r w:rsidRPr="00BF542D">
              <w:rPr>
                <w:rFonts w:ascii="Traditional Arabic" w:hAnsi="Traditional Arabic" w:cs="Traditional Arabic"/>
                <w:sz w:val="20"/>
                <w:szCs w:val="20"/>
                <w:rtl/>
              </w:rPr>
              <w:t>ق</w:t>
            </w:r>
          </w:p>
        </w:tc>
        <w:tc>
          <w:tcPr>
            <w:tcW w:w="941" w:type="dxa"/>
            <w:shd w:val="clear" w:color="auto" w:fill="auto"/>
          </w:tcPr>
          <w:p w14:paraId="71A00306"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Qaf</w:t>
            </w:r>
          </w:p>
        </w:tc>
        <w:tc>
          <w:tcPr>
            <w:tcW w:w="1686" w:type="dxa"/>
            <w:shd w:val="clear" w:color="auto" w:fill="auto"/>
          </w:tcPr>
          <w:p w14:paraId="22A0FD16"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q</w:t>
            </w:r>
          </w:p>
        </w:tc>
        <w:tc>
          <w:tcPr>
            <w:tcW w:w="1931" w:type="dxa"/>
            <w:shd w:val="clear" w:color="auto" w:fill="auto"/>
          </w:tcPr>
          <w:p w14:paraId="1519EADE"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ki</w:t>
            </w:r>
          </w:p>
        </w:tc>
      </w:tr>
      <w:tr w:rsidR="008D372B" w:rsidRPr="006131A6" w14:paraId="112C40E9" w14:textId="77777777" w:rsidTr="008E0248">
        <w:trPr>
          <w:jc w:val="center"/>
        </w:trPr>
        <w:tc>
          <w:tcPr>
            <w:tcW w:w="1271" w:type="dxa"/>
            <w:shd w:val="clear" w:color="auto" w:fill="auto"/>
          </w:tcPr>
          <w:p w14:paraId="1A21E799" w14:textId="77777777" w:rsidR="008D372B" w:rsidRPr="00BF542D" w:rsidRDefault="008D372B" w:rsidP="00DF7B66">
            <w:pPr>
              <w:spacing w:line="240" w:lineRule="auto"/>
              <w:jc w:val="center"/>
              <w:rPr>
                <w:rFonts w:ascii="Traditional Arabic" w:hAnsi="Traditional Arabic" w:cs="Traditional Arabic"/>
                <w:sz w:val="20"/>
                <w:szCs w:val="20"/>
                <w:rtl/>
              </w:rPr>
            </w:pPr>
            <w:r w:rsidRPr="00BF542D">
              <w:rPr>
                <w:rFonts w:ascii="Traditional Arabic" w:hAnsi="Traditional Arabic" w:cs="Traditional Arabic"/>
                <w:sz w:val="20"/>
                <w:szCs w:val="20"/>
                <w:rtl/>
              </w:rPr>
              <w:t>ك</w:t>
            </w:r>
          </w:p>
        </w:tc>
        <w:tc>
          <w:tcPr>
            <w:tcW w:w="941" w:type="dxa"/>
            <w:shd w:val="clear" w:color="auto" w:fill="auto"/>
          </w:tcPr>
          <w:p w14:paraId="21BE8C6F"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Kaf</w:t>
            </w:r>
          </w:p>
        </w:tc>
        <w:tc>
          <w:tcPr>
            <w:tcW w:w="1686" w:type="dxa"/>
            <w:shd w:val="clear" w:color="auto" w:fill="auto"/>
          </w:tcPr>
          <w:p w14:paraId="261E4C7A"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k</w:t>
            </w:r>
          </w:p>
        </w:tc>
        <w:tc>
          <w:tcPr>
            <w:tcW w:w="1931" w:type="dxa"/>
            <w:shd w:val="clear" w:color="auto" w:fill="auto"/>
          </w:tcPr>
          <w:p w14:paraId="7368A91A"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ka</w:t>
            </w:r>
          </w:p>
        </w:tc>
      </w:tr>
      <w:tr w:rsidR="008D372B" w:rsidRPr="006131A6" w14:paraId="6FB8B616" w14:textId="77777777" w:rsidTr="008E0248">
        <w:trPr>
          <w:jc w:val="center"/>
        </w:trPr>
        <w:tc>
          <w:tcPr>
            <w:tcW w:w="1271" w:type="dxa"/>
            <w:shd w:val="clear" w:color="auto" w:fill="auto"/>
          </w:tcPr>
          <w:p w14:paraId="69C2E4DD" w14:textId="77777777" w:rsidR="008D372B" w:rsidRPr="00BF542D" w:rsidRDefault="008D372B" w:rsidP="00DF7B66">
            <w:pPr>
              <w:spacing w:line="240" w:lineRule="auto"/>
              <w:jc w:val="center"/>
              <w:rPr>
                <w:rFonts w:ascii="Traditional Arabic" w:hAnsi="Traditional Arabic" w:cs="Traditional Arabic"/>
                <w:sz w:val="20"/>
                <w:szCs w:val="20"/>
                <w:rtl/>
              </w:rPr>
            </w:pPr>
            <w:r w:rsidRPr="00BF542D">
              <w:rPr>
                <w:rFonts w:ascii="Traditional Arabic" w:hAnsi="Traditional Arabic" w:cs="Traditional Arabic"/>
                <w:sz w:val="20"/>
                <w:szCs w:val="20"/>
                <w:rtl/>
              </w:rPr>
              <w:t>ل</w:t>
            </w:r>
          </w:p>
        </w:tc>
        <w:tc>
          <w:tcPr>
            <w:tcW w:w="941" w:type="dxa"/>
            <w:shd w:val="clear" w:color="auto" w:fill="auto"/>
          </w:tcPr>
          <w:p w14:paraId="74D2D14B"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Lam</w:t>
            </w:r>
          </w:p>
        </w:tc>
        <w:tc>
          <w:tcPr>
            <w:tcW w:w="1686" w:type="dxa"/>
            <w:shd w:val="clear" w:color="auto" w:fill="auto"/>
          </w:tcPr>
          <w:p w14:paraId="56B4105F"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l</w:t>
            </w:r>
          </w:p>
        </w:tc>
        <w:tc>
          <w:tcPr>
            <w:tcW w:w="1931" w:type="dxa"/>
            <w:shd w:val="clear" w:color="auto" w:fill="auto"/>
          </w:tcPr>
          <w:p w14:paraId="54E4FC87"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el</w:t>
            </w:r>
          </w:p>
        </w:tc>
      </w:tr>
      <w:tr w:rsidR="008D372B" w:rsidRPr="006131A6" w14:paraId="296324F5" w14:textId="77777777" w:rsidTr="008E0248">
        <w:trPr>
          <w:jc w:val="center"/>
        </w:trPr>
        <w:tc>
          <w:tcPr>
            <w:tcW w:w="1271" w:type="dxa"/>
            <w:shd w:val="clear" w:color="auto" w:fill="auto"/>
          </w:tcPr>
          <w:p w14:paraId="1C2E4B2D" w14:textId="77777777" w:rsidR="008D372B" w:rsidRPr="00BF542D" w:rsidRDefault="008D372B" w:rsidP="00DF7B66">
            <w:pPr>
              <w:spacing w:line="240" w:lineRule="auto"/>
              <w:jc w:val="center"/>
              <w:rPr>
                <w:rFonts w:ascii="Traditional Arabic" w:hAnsi="Traditional Arabic" w:cs="Traditional Arabic"/>
                <w:sz w:val="20"/>
                <w:szCs w:val="20"/>
                <w:rtl/>
              </w:rPr>
            </w:pPr>
            <w:r w:rsidRPr="00BF542D">
              <w:rPr>
                <w:rFonts w:ascii="Traditional Arabic" w:hAnsi="Traditional Arabic" w:cs="Traditional Arabic"/>
                <w:sz w:val="20"/>
                <w:szCs w:val="20"/>
                <w:rtl/>
              </w:rPr>
              <w:t>م</w:t>
            </w:r>
          </w:p>
        </w:tc>
        <w:tc>
          <w:tcPr>
            <w:tcW w:w="941" w:type="dxa"/>
            <w:shd w:val="clear" w:color="auto" w:fill="auto"/>
          </w:tcPr>
          <w:p w14:paraId="3706C774"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Mim</w:t>
            </w:r>
          </w:p>
        </w:tc>
        <w:tc>
          <w:tcPr>
            <w:tcW w:w="1686" w:type="dxa"/>
            <w:shd w:val="clear" w:color="auto" w:fill="auto"/>
          </w:tcPr>
          <w:p w14:paraId="1A1E7945"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m</w:t>
            </w:r>
          </w:p>
        </w:tc>
        <w:tc>
          <w:tcPr>
            <w:tcW w:w="1931" w:type="dxa"/>
            <w:shd w:val="clear" w:color="auto" w:fill="auto"/>
          </w:tcPr>
          <w:p w14:paraId="1E1F1486"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em</w:t>
            </w:r>
          </w:p>
        </w:tc>
      </w:tr>
      <w:tr w:rsidR="008D372B" w:rsidRPr="006131A6" w14:paraId="72641811" w14:textId="77777777" w:rsidTr="008E0248">
        <w:trPr>
          <w:jc w:val="center"/>
        </w:trPr>
        <w:tc>
          <w:tcPr>
            <w:tcW w:w="1271" w:type="dxa"/>
            <w:shd w:val="clear" w:color="auto" w:fill="auto"/>
          </w:tcPr>
          <w:p w14:paraId="5B8DA165" w14:textId="77777777" w:rsidR="008D372B" w:rsidRPr="00BF542D" w:rsidRDefault="008D372B" w:rsidP="00DF7B66">
            <w:pPr>
              <w:spacing w:line="240" w:lineRule="auto"/>
              <w:jc w:val="center"/>
              <w:rPr>
                <w:rFonts w:ascii="Traditional Arabic" w:hAnsi="Traditional Arabic" w:cs="Traditional Arabic"/>
                <w:sz w:val="20"/>
                <w:szCs w:val="20"/>
                <w:rtl/>
              </w:rPr>
            </w:pPr>
            <w:r w:rsidRPr="00BF542D">
              <w:rPr>
                <w:rFonts w:ascii="Traditional Arabic" w:hAnsi="Traditional Arabic" w:cs="Traditional Arabic"/>
                <w:sz w:val="20"/>
                <w:szCs w:val="20"/>
                <w:rtl/>
              </w:rPr>
              <w:t>ن</w:t>
            </w:r>
          </w:p>
        </w:tc>
        <w:tc>
          <w:tcPr>
            <w:tcW w:w="941" w:type="dxa"/>
            <w:shd w:val="clear" w:color="auto" w:fill="auto"/>
          </w:tcPr>
          <w:p w14:paraId="63758A16"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Nun</w:t>
            </w:r>
          </w:p>
        </w:tc>
        <w:tc>
          <w:tcPr>
            <w:tcW w:w="1686" w:type="dxa"/>
            <w:shd w:val="clear" w:color="auto" w:fill="auto"/>
          </w:tcPr>
          <w:p w14:paraId="2F3F6B80"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n</w:t>
            </w:r>
          </w:p>
        </w:tc>
        <w:tc>
          <w:tcPr>
            <w:tcW w:w="1931" w:type="dxa"/>
            <w:shd w:val="clear" w:color="auto" w:fill="auto"/>
          </w:tcPr>
          <w:p w14:paraId="2F0BCA7E"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en</w:t>
            </w:r>
          </w:p>
        </w:tc>
      </w:tr>
      <w:tr w:rsidR="008D372B" w:rsidRPr="006131A6" w14:paraId="59F15446" w14:textId="77777777" w:rsidTr="008E0248">
        <w:trPr>
          <w:jc w:val="center"/>
        </w:trPr>
        <w:tc>
          <w:tcPr>
            <w:tcW w:w="1271" w:type="dxa"/>
            <w:shd w:val="clear" w:color="auto" w:fill="auto"/>
          </w:tcPr>
          <w:p w14:paraId="04FC2B48" w14:textId="77777777" w:rsidR="008D372B" w:rsidRPr="00BF542D" w:rsidRDefault="008D372B" w:rsidP="00DF7B66">
            <w:pPr>
              <w:spacing w:line="240" w:lineRule="auto"/>
              <w:jc w:val="center"/>
              <w:rPr>
                <w:rFonts w:ascii="Traditional Arabic" w:hAnsi="Traditional Arabic" w:cs="Traditional Arabic"/>
                <w:sz w:val="20"/>
                <w:szCs w:val="20"/>
                <w:rtl/>
              </w:rPr>
            </w:pPr>
            <w:r w:rsidRPr="00BF542D">
              <w:rPr>
                <w:rFonts w:ascii="Traditional Arabic" w:hAnsi="Traditional Arabic" w:cs="Traditional Arabic"/>
                <w:sz w:val="20"/>
                <w:szCs w:val="20"/>
                <w:rtl/>
              </w:rPr>
              <w:t>و</w:t>
            </w:r>
          </w:p>
        </w:tc>
        <w:tc>
          <w:tcPr>
            <w:tcW w:w="941" w:type="dxa"/>
            <w:shd w:val="clear" w:color="auto" w:fill="auto"/>
          </w:tcPr>
          <w:p w14:paraId="59151A3C"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Wau</w:t>
            </w:r>
          </w:p>
        </w:tc>
        <w:tc>
          <w:tcPr>
            <w:tcW w:w="1686" w:type="dxa"/>
            <w:shd w:val="clear" w:color="auto" w:fill="auto"/>
          </w:tcPr>
          <w:p w14:paraId="199C48AA"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w</w:t>
            </w:r>
          </w:p>
        </w:tc>
        <w:tc>
          <w:tcPr>
            <w:tcW w:w="1931" w:type="dxa"/>
            <w:shd w:val="clear" w:color="auto" w:fill="auto"/>
          </w:tcPr>
          <w:p w14:paraId="1B9C6592"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we</w:t>
            </w:r>
          </w:p>
        </w:tc>
      </w:tr>
      <w:tr w:rsidR="008D372B" w:rsidRPr="006131A6" w14:paraId="4B2FBCC7" w14:textId="77777777" w:rsidTr="008E0248">
        <w:trPr>
          <w:jc w:val="center"/>
        </w:trPr>
        <w:tc>
          <w:tcPr>
            <w:tcW w:w="1271" w:type="dxa"/>
            <w:shd w:val="clear" w:color="auto" w:fill="auto"/>
          </w:tcPr>
          <w:p w14:paraId="1A3AF127" w14:textId="77777777" w:rsidR="008D372B" w:rsidRPr="00BF542D" w:rsidRDefault="008D372B" w:rsidP="00DF7B66">
            <w:pPr>
              <w:spacing w:line="240" w:lineRule="auto"/>
              <w:jc w:val="center"/>
              <w:rPr>
                <w:rFonts w:ascii="Traditional Arabic" w:hAnsi="Traditional Arabic" w:cs="Traditional Arabic"/>
                <w:sz w:val="20"/>
                <w:szCs w:val="20"/>
                <w:rtl/>
              </w:rPr>
            </w:pPr>
            <w:r w:rsidRPr="00BF542D">
              <w:rPr>
                <w:rFonts w:ascii="Times New Roman" w:hAnsi="Times New Roman" w:cs="Times New Roman" w:hint="cs"/>
                <w:sz w:val="20"/>
                <w:szCs w:val="20"/>
                <w:rtl/>
              </w:rPr>
              <w:t>ﮬ</w:t>
            </w:r>
          </w:p>
        </w:tc>
        <w:tc>
          <w:tcPr>
            <w:tcW w:w="941" w:type="dxa"/>
            <w:shd w:val="clear" w:color="auto" w:fill="auto"/>
          </w:tcPr>
          <w:p w14:paraId="624211F9"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Ha</w:t>
            </w:r>
          </w:p>
        </w:tc>
        <w:tc>
          <w:tcPr>
            <w:tcW w:w="1686" w:type="dxa"/>
            <w:shd w:val="clear" w:color="auto" w:fill="auto"/>
          </w:tcPr>
          <w:p w14:paraId="1BB86F20"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h</w:t>
            </w:r>
          </w:p>
        </w:tc>
        <w:tc>
          <w:tcPr>
            <w:tcW w:w="1931" w:type="dxa"/>
            <w:shd w:val="clear" w:color="auto" w:fill="auto"/>
          </w:tcPr>
          <w:p w14:paraId="0D8BE729"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ha</w:t>
            </w:r>
          </w:p>
        </w:tc>
      </w:tr>
      <w:tr w:rsidR="008D372B" w:rsidRPr="006131A6" w14:paraId="14306467" w14:textId="77777777" w:rsidTr="008E0248">
        <w:trPr>
          <w:jc w:val="center"/>
        </w:trPr>
        <w:tc>
          <w:tcPr>
            <w:tcW w:w="1271" w:type="dxa"/>
            <w:shd w:val="clear" w:color="auto" w:fill="auto"/>
          </w:tcPr>
          <w:p w14:paraId="0169F092" w14:textId="77777777" w:rsidR="008D372B" w:rsidRPr="00BF542D" w:rsidRDefault="008D372B" w:rsidP="00DF7B66">
            <w:pPr>
              <w:spacing w:line="240" w:lineRule="auto"/>
              <w:jc w:val="center"/>
              <w:rPr>
                <w:rFonts w:ascii="Traditional Arabic" w:hAnsi="Traditional Arabic" w:cs="Traditional Arabic"/>
                <w:sz w:val="20"/>
                <w:szCs w:val="20"/>
                <w:rtl/>
              </w:rPr>
            </w:pPr>
            <w:r w:rsidRPr="00BF542D">
              <w:rPr>
                <w:rFonts w:ascii="Traditional Arabic" w:hAnsi="Traditional Arabic" w:cs="Traditional Arabic"/>
                <w:sz w:val="20"/>
                <w:szCs w:val="20"/>
                <w:rtl/>
              </w:rPr>
              <w:t>ء</w:t>
            </w:r>
          </w:p>
        </w:tc>
        <w:tc>
          <w:tcPr>
            <w:tcW w:w="941" w:type="dxa"/>
            <w:shd w:val="clear" w:color="auto" w:fill="auto"/>
          </w:tcPr>
          <w:p w14:paraId="583EAF16"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Hamzah</w:t>
            </w:r>
          </w:p>
        </w:tc>
        <w:tc>
          <w:tcPr>
            <w:tcW w:w="1686" w:type="dxa"/>
            <w:shd w:val="clear" w:color="auto" w:fill="auto"/>
          </w:tcPr>
          <w:p w14:paraId="77CFB29C"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w:t>
            </w:r>
          </w:p>
        </w:tc>
        <w:tc>
          <w:tcPr>
            <w:tcW w:w="1931" w:type="dxa"/>
            <w:shd w:val="clear" w:color="auto" w:fill="auto"/>
          </w:tcPr>
          <w:p w14:paraId="76040B3F"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apostrof</w:t>
            </w:r>
          </w:p>
        </w:tc>
      </w:tr>
      <w:tr w:rsidR="008D372B" w:rsidRPr="006131A6" w14:paraId="0F76B044" w14:textId="77777777" w:rsidTr="008E0248">
        <w:trPr>
          <w:jc w:val="center"/>
        </w:trPr>
        <w:tc>
          <w:tcPr>
            <w:tcW w:w="1271" w:type="dxa"/>
            <w:shd w:val="clear" w:color="auto" w:fill="auto"/>
          </w:tcPr>
          <w:p w14:paraId="1F888848" w14:textId="77777777" w:rsidR="008D372B" w:rsidRPr="00BF542D" w:rsidRDefault="008D372B" w:rsidP="00DF7B66">
            <w:pPr>
              <w:spacing w:line="240" w:lineRule="auto"/>
              <w:jc w:val="center"/>
              <w:rPr>
                <w:rFonts w:ascii="Traditional Arabic" w:hAnsi="Traditional Arabic" w:cs="Traditional Arabic"/>
                <w:sz w:val="20"/>
                <w:szCs w:val="20"/>
                <w:rtl/>
              </w:rPr>
            </w:pPr>
            <w:r w:rsidRPr="00BF542D">
              <w:rPr>
                <w:rFonts w:ascii="Traditional Arabic" w:hAnsi="Traditional Arabic" w:cs="Traditional Arabic"/>
                <w:sz w:val="20"/>
                <w:szCs w:val="20"/>
                <w:rtl/>
              </w:rPr>
              <w:t>ي</w:t>
            </w:r>
          </w:p>
        </w:tc>
        <w:tc>
          <w:tcPr>
            <w:tcW w:w="941" w:type="dxa"/>
            <w:shd w:val="clear" w:color="auto" w:fill="auto"/>
          </w:tcPr>
          <w:p w14:paraId="53E0E2DC"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Ya</w:t>
            </w:r>
          </w:p>
        </w:tc>
        <w:tc>
          <w:tcPr>
            <w:tcW w:w="1686" w:type="dxa"/>
            <w:shd w:val="clear" w:color="auto" w:fill="auto"/>
          </w:tcPr>
          <w:p w14:paraId="756BEE4E"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y</w:t>
            </w:r>
          </w:p>
        </w:tc>
        <w:tc>
          <w:tcPr>
            <w:tcW w:w="1931" w:type="dxa"/>
            <w:shd w:val="clear" w:color="auto" w:fill="auto"/>
          </w:tcPr>
          <w:p w14:paraId="48A2251D"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ye</w:t>
            </w:r>
          </w:p>
        </w:tc>
      </w:tr>
    </w:tbl>
    <w:p w14:paraId="02FF9C2E" w14:textId="77777777" w:rsidR="00387109" w:rsidRDefault="008D372B" w:rsidP="00387109">
      <w:pPr>
        <w:pStyle w:val="ListParagraph"/>
        <w:numPr>
          <w:ilvl w:val="0"/>
          <w:numId w:val="83"/>
        </w:numPr>
        <w:spacing w:line="240" w:lineRule="auto"/>
        <w:ind w:left="360"/>
        <w:jc w:val="both"/>
        <w:rPr>
          <w:rFonts w:ascii="Times New Roman" w:hAnsi="Times New Roman" w:cs="Times New Roman"/>
          <w:b/>
          <w:bCs/>
        </w:rPr>
      </w:pPr>
      <w:r w:rsidRPr="0021033E">
        <w:rPr>
          <w:rFonts w:ascii="Times New Roman" w:hAnsi="Times New Roman" w:cs="Times New Roman"/>
          <w:b/>
          <w:bCs/>
        </w:rPr>
        <w:t xml:space="preserve">Vokal </w:t>
      </w:r>
    </w:p>
    <w:p w14:paraId="6C87D871" w14:textId="6C974A05" w:rsidR="008D372B" w:rsidRPr="00387109" w:rsidRDefault="008D372B" w:rsidP="00387109">
      <w:pPr>
        <w:pStyle w:val="ListParagraph"/>
        <w:spacing w:line="240" w:lineRule="auto"/>
        <w:ind w:left="360" w:firstLine="349"/>
        <w:jc w:val="both"/>
        <w:rPr>
          <w:rFonts w:ascii="Times New Roman" w:hAnsi="Times New Roman" w:cs="Times New Roman"/>
          <w:b/>
          <w:bCs/>
        </w:rPr>
      </w:pPr>
      <w:r w:rsidRPr="00387109">
        <w:rPr>
          <w:rFonts w:ascii="Times New Roman" w:hAnsi="Times New Roman" w:cs="Times New Roman"/>
        </w:rPr>
        <w:t xml:space="preserve">Vokal bahasa Arab, seperti vokal bahasa Indonesia, terdiri dari vokal tunggal atau </w:t>
      </w:r>
      <w:r w:rsidRPr="00387109">
        <w:rPr>
          <w:rFonts w:ascii="Times New Roman" w:hAnsi="Times New Roman" w:cs="Times New Roman"/>
          <w:i/>
          <w:iCs/>
        </w:rPr>
        <w:t xml:space="preserve">monoftong </w:t>
      </w:r>
      <w:r w:rsidRPr="00387109">
        <w:rPr>
          <w:rFonts w:ascii="Times New Roman" w:hAnsi="Times New Roman" w:cs="Times New Roman"/>
        </w:rPr>
        <w:t xml:space="preserve">dan vokal rangkap atau </w:t>
      </w:r>
      <w:r w:rsidRPr="00387109">
        <w:rPr>
          <w:rFonts w:ascii="Times New Roman" w:hAnsi="Times New Roman" w:cs="Times New Roman"/>
          <w:i/>
          <w:iCs/>
        </w:rPr>
        <w:t>diftong</w:t>
      </w:r>
      <w:r w:rsidRPr="00387109">
        <w:rPr>
          <w:rFonts w:ascii="Times New Roman" w:hAnsi="Times New Roman" w:cs="Times New Roman"/>
        </w:rPr>
        <w:t>.</w:t>
      </w:r>
    </w:p>
    <w:p w14:paraId="58F210D6" w14:textId="77777777" w:rsidR="00387109" w:rsidRDefault="008D372B" w:rsidP="00387109">
      <w:pPr>
        <w:pStyle w:val="ListParagraph"/>
        <w:numPr>
          <w:ilvl w:val="0"/>
          <w:numId w:val="84"/>
        </w:numPr>
        <w:spacing w:line="240" w:lineRule="auto"/>
        <w:ind w:left="709"/>
        <w:jc w:val="both"/>
        <w:rPr>
          <w:rFonts w:ascii="Times New Roman" w:hAnsi="Times New Roman" w:cs="Times New Roman"/>
          <w:b/>
          <w:bCs/>
        </w:rPr>
      </w:pPr>
      <w:r w:rsidRPr="0021033E">
        <w:rPr>
          <w:rFonts w:ascii="Times New Roman" w:hAnsi="Times New Roman" w:cs="Times New Roman"/>
          <w:b/>
          <w:bCs/>
        </w:rPr>
        <w:t>Vokal Tunggal</w:t>
      </w:r>
    </w:p>
    <w:p w14:paraId="0BFC038B" w14:textId="106A4BFE" w:rsidR="008D372B" w:rsidRPr="00387109" w:rsidRDefault="008D372B" w:rsidP="00387109">
      <w:pPr>
        <w:pStyle w:val="ListParagraph"/>
        <w:spacing w:line="240" w:lineRule="auto"/>
        <w:ind w:left="709"/>
        <w:jc w:val="both"/>
        <w:rPr>
          <w:rFonts w:ascii="Times New Roman" w:hAnsi="Times New Roman" w:cs="Times New Roman"/>
          <w:b/>
          <w:bCs/>
        </w:rPr>
      </w:pPr>
      <w:r w:rsidRPr="00387109">
        <w:rPr>
          <w:rFonts w:ascii="Times New Roman" w:hAnsi="Times New Roman" w:cs="Times New Roman"/>
        </w:rPr>
        <w:lastRenderedPageBreak/>
        <w:t>Vokal tunggal bahasa Arab yang lambangnya berupa tanda atau harakat, transliterasinya sebagai berikut: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74"/>
        <w:gridCol w:w="1550"/>
        <w:gridCol w:w="1834"/>
      </w:tblGrid>
      <w:tr w:rsidR="008D372B" w:rsidRPr="006131A6" w14:paraId="30DA7C53" w14:textId="77777777" w:rsidTr="009F1245">
        <w:trPr>
          <w:trHeight w:val="448"/>
          <w:jc w:val="center"/>
        </w:trPr>
        <w:tc>
          <w:tcPr>
            <w:tcW w:w="1271" w:type="dxa"/>
            <w:shd w:val="clear" w:color="auto" w:fill="auto"/>
          </w:tcPr>
          <w:p w14:paraId="5E20A8C9" w14:textId="77777777" w:rsidR="008D372B" w:rsidRPr="00BF542D" w:rsidRDefault="008D372B" w:rsidP="00DF7B66">
            <w:pPr>
              <w:spacing w:line="240" w:lineRule="auto"/>
              <w:jc w:val="center"/>
              <w:rPr>
                <w:rFonts w:ascii="Times New Roman" w:hAnsi="Times New Roman" w:cs="Times New Roman"/>
                <w:b/>
                <w:bCs/>
                <w:sz w:val="20"/>
                <w:szCs w:val="20"/>
              </w:rPr>
            </w:pPr>
            <w:r w:rsidRPr="00BF542D">
              <w:rPr>
                <w:rFonts w:ascii="Times New Roman" w:hAnsi="Times New Roman" w:cs="Times New Roman"/>
                <w:b/>
                <w:bCs/>
                <w:sz w:val="20"/>
                <w:szCs w:val="20"/>
              </w:rPr>
              <w:t>Huruf Arab</w:t>
            </w:r>
          </w:p>
        </w:tc>
        <w:tc>
          <w:tcPr>
            <w:tcW w:w="1174" w:type="dxa"/>
            <w:shd w:val="clear" w:color="auto" w:fill="auto"/>
          </w:tcPr>
          <w:p w14:paraId="25F81730" w14:textId="77777777" w:rsidR="008D372B" w:rsidRPr="00BF542D" w:rsidRDefault="008D372B" w:rsidP="00DF7B66">
            <w:pPr>
              <w:spacing w:line="240" w:lineRule="auto"/>
              <w:jc w:val="center"/>
              <w:rPr>
                <w:rFonts w:ascii="Times New Roman" w:hAnsi="Times New Roman" w:cs="Times New Roman"/>
                <w:b/>
                <w:bCs/>
                <w:sz w:val="20"/>
                <w:szCs w:val="20"/>
              </w:rPr>
            </w:pPr>
            <w:r w:rsidRPr="00BF542D">
              <w:rPr>
                <w:rFonts w:ascii="Times New Roman" w:hAnsi="Times New Roman" w:cs="Times New Roman"/>
                <w:b/>
                <w:bCs/>
                <w:sz w:val="20"/>
                <w:szCs w:val="20"/>
              </w:rPr>
              <w:t>Nama</w:t>
            </w:r>
          </w:p>
        </w:tc>
        <w:tc>
          <w:tcPr>
            <w:tcW w:w="1550" w:type="dxa"/>
            <w:shd w:val="clear" w:color="auto" w:fill="auto"/>
          </w:tcPr>
          <w:p w14:paraId="399E630E" w14:textId="77777777" w:rsidR="008D372B" w:rsidRPr="00BF542D" w:rsidRDefault="008D372B" w:rsidP="00DF7B66">
            <w:pPr>
              <w:spacing w:line="240" w:lineRule="auto"/>
              <w:jc w:val="center"/>
              <w:rPr>
                <w:rFonts w:ascii="Times New Roman" w:hAnsi="Times New Roman" w:cs="Times New Roman"/>
                <w:b/>
                <w:bCs/>
                <w:sz w:val="20"/>
                <w:szCs w:val="20"/>
              </w:rPr>
            </w:pPr>
            <w:r w:rsidRPr="00BF542D">
              <w:rPr>
                <w:rFonts w:ascii="Times New Roman" w:hAnsi="Times New Roman" w:cs="Times New Roman"/>
                <w:b/>
                <w:bCs/>
                <w:sz w:val="20"/>
                <w:szCs w:val="20"/>
              </w:rPr>
              <w:t>Huruf Latin</w:t>
            </w:r>
          </w:p>
        </w:tc>
        <w:tc>
          <w:tcPr>
            <w:tcW w:w="1834" w:type="dxa"/>
            <w:shd w:val="clear" w:color="auto" w:fill="auto"/>
          </w:tcPr>
          <w:p w14:paraId="0C4AE908" w14:textId="77777777" w:rsidR="008D372B" w:rsidRPr="00BF542D" w:rsidRDefault="008D372B" w:rsidP="00DF7B66">
            <w:pPr>
              <w:spacing w:line="240" w:lineRule="auto"/>
              <w:jc w:val="center"/>
              <w:rPr>
                <w:rFonts w:ascii="Times New Roman" w:hAnsi="Times New Roman" w:cs="Times New Roman"/>
                <w:b/>
                <w:bCs/>
                <w:sz w:val="20"/>
                <w:szCs w:val="20"/>
              </w:rPr>
            </w:pPr>
            <w:r w:rsidRPr="00BF542D">
              <w:rPr>
                <w:rFonts w:ascii="Times New Roman" w:hAnsi="Times New Roman" w:cs="Times New Roman"/>
                <w:b/>
                <w:bCs/>
                <w:sz w:val="20"/>
                <w:szCs w:val="20"/>
              </w:rPr>
              <w:t>Nama</w:t>
            </w:r>
          </w:p>
        </w:tc>
      </w:tr>
      <w:tr w:rsidR="008D372B" w:rsidRPr="006131A6" w14:paraId="5C5C6E89" w14:textId="77777777" w:rsidTr="009F1245">
        <w:trPr>
          <w:jc w:val="center"/>
        </w:trPr>
        <w:tc>
          <w:tcPr>
            <w:tcW w:w="1271" w:type="dxa"/>
            <w:shd w:val="clear" w:color="auto" w:fill="auto"/>
          </w:tcPr>
          <w:p w14:paraId="48E03A45" w14:textId="77777777" w:rsidR="008D372B" w:rsidRPr="00BF542D" w:rsidRDefault="008D372B" w:rsidP="00DF7B66">
            <w:pPr>
              <w:spacing w:line="240" w:lineRule="auto"/>
              <w:jc w:val="center"/>
              <w:rPr>
                <w:rFonts w:ascii="Traditional Arabic" w:hAnsi="Traditional Arabic" w:cs="Traditional Arabic"/>
                <w:sz w:val="20"/>
                <w:szCs w:val="20"/>
                <w:rtl/>
              </w:rPr>
            </w:pPr>
            <w:r w:rsidRPr="00BF542D">
              <w:rPr>
                <w:rFonts w:ascii="Traditional Arabic" w:hAnsi="Traditional Arabic" w:cs="Traditional Arabic"/>
                <w:sz w:val="20"/>
                <w:szCs w:val="20"/>
                <w:rtl/>
              </w:rPr>
              <w:t>ﹷ</w:t>
            </w:r>
          </w:p>
        </w:tc>
        <w:tc>
          <w:tcPr>
            <w:tcW w:w="1174" w:type="dxa"/>
            <w:shd w:val="clear" w:color="auto" w:fill="auto"/>
          </w:tcPr>
          <w:p w14:paraId="5D2832CB"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Fathah</w:t>
            </w:r>
          </w:p>
        </w:tc>
        <w:tc>
          <w:tcPr>
            <w:tcW w:w="1550" w:type="dxa"/>
            <w:shd w:val="clear" w:color="auto" w:fill="auto"/>
          </w:tcPr>
          <w:p w14:paraId="6A318BC2"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a</w:t>
            </w:r>
          </w:p>
        </w:tc>
        <w:tc>
          <w:tcPr>
            <w:tcW w:w="1834" w:type="dxa"/>
            <w:shd w:val="clear" w:color="auto" w:fill="auto"/>
          </w:tcPr>
          <w:p w14:paraId="09CB6E8B"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a</w:t>
            </w:r>
          </w:p>
        </w:tc>
      </w:tr>
      <w:tr w:rsidR="008D372B" w:rsidRPr="006131A6" w14:paraId="617399CC" w14:textId="77777777" w:rsidTr="009F1245">
        <w:trPr>
          <w:jc w:val="center"/>
        </w:trPr>
        <w:tc>
          <w:tcPr>
            <w:tcW w:w="1271" w:type="dxa"/>
            <w:shd w:val="clear" w:color="auto" w:fill="auto"/>
          </w:tcPr>
          <w:p w14:paraId="610965C5" w14:textId="77777777" w:rsidR="008D372B" w:rsidRPr="00BF542D" w:rsidRDefault="008D372B" w:rsidP="00DF7B66">
            <w:pPr>
              <w:spacing w:line="240" w:lineRule="auto"/>
              <w:jc w:val="center"/>
              <w:rPr>
                <w:rFonts w:ascii="Traditional Arabic" w:hAnsi="Traditional Arabic" w:cs="Traditional Arabic"/>
                <w:sz w:val="20"/>
                <w:szCs w:val="20"/>
              </w:rPr>
            </w:pPr>
            <w:r w:rsidRPr="00BF542D">
              <w:rPr>
                <w:rFonts w:ascii="Traditional Arabic" w:hAnsi="Traditional Arabic" w:cs="Traditional Arabic"/>
                <w:sz w:val="20"/>
                <w:szCs w:val="20"/>
                <w:rtl/>
              </w:rPr>
              <w:t>ﹻ</w:t>
            </w:r>
          </w:p>
        </w:tc>
        <w:tc>
          <w:tcPr>
            <w:tcW w:w="1174" w:type="dxa"/>
            <w:shd w:val="clear" w:color="auto" w:fill="auto"/>
          </w:tcPr>
          <w:p w14:paraId="409214E7"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Kasrah</w:t>
            </w:r>
          </w:p>
        </w:tc>
        <w:tc>
          <w:tcPr>
            <w:tcW w:w="1550" w:type="dxa"/>
            <w:shd w:val="clear" w:color="auto" w:fill="auto"/>
          </w:tcPr>
          <w:p w14:paraId="3F38AFB2"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i</w:t>
            </w:r>
          </w:p>
        </w:tc>
        <w:tc>
          <w:tcPr>
            <w:tcW w:w="1834" w:type="dxa"/>
            <w:shd w:val="clear" w:color="auto" w:fill="auto"/>
          </w:tcPr>
          <w:p w14:paraId="7CB907F7"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i</w:t>
            </w:r>
          </w:p>
        </w:tc>
      </w:tr>
      <w:tr w:rsidR="008D372B" w:rsidRPr="006131A6" w14:paraId="49AF9192" w14:textId="77777777" w:rsidTr="009F1245">
        <w:trPr>
          <w:jc w:val="center"/>
        </w:trPr>
        <w:tc>
          <w:tcPr>
            <w:tcW w:w="1271" w:type="dxa"/>
            <w:shd w:val="clear" w:color="auto" w:fill="auto"/>
          </w:tcPr>
          <w:p w14:paraId="2AE005BF" w14:textId="77777777" w:rsidR="008D372B" w:rsidRPr="00BF542D" w:rsidRDefault="008D372B" w:rsidP="00DF7B66">
            <w:pPr>
              <w:spacing w:line="240" w:lineRule="auto"/>
              <w:jc w:val="center"/>
              <w:rPr>
                <w:rFonts w:ascii="Traditional Arabic" w:hAnsi="Traditional Arabic" w:cs="Traditional Arabic"/>
                <w:sz w:val="20"/>
                <w:szCs w:val="20"/>
              </w:rPr>
            </w:pPr>
            <w:r w:rsidRPr="00BF542D">
              <w:rPr>
                <w:rFonts w:ascii="Traditional Arabic" w:hAnsi="Traditional Arabic" w:cs="Traditional Arabic"/>
                <w:sz w:val="20"/>
                <w:szCs w:val="20"/>
                <w:rtl/>
              </w:rPr>
              <w:t>ﹹ</w:t>
            </w:r>
          </w:p>
        </w:tc>
        <w:tc>
          <w:tcPr>
            <w:tcW w:w="1174" w:type="dxa"/>
            <w:shd w:val="clear" w:color="auto" w:fill="auto"/>
          </w:tcPr>
          <w:p w14:paraId="6F4933AB"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Dammah</w:t>
            </w:r>
          </w:p>
        </w:tc>
        <w:tc>
          <w:tcPr>
            <w:tcW w:w="1550" w:type="dxa"/>
            <w:shd w:val="clear" w:color="auto" w:fill="auto"/>
          </w:tcPr>
          <w:p w14:paraId="66502BAB"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u</w:t>
            </w:r>
          </w:p>
        </w:tc>
        <w:tc>
          <w:tcPr>
            <w:tcW w:w="1834" w:type="dxa"/>
            <w:shd w:val="clear" w:color="auto" w:fill="auto"/>
          </w:tcPr>
          <w:p w14:paraId="2CA82566" w14:textId="77777777" w:rsidR="008D372B" w:rsidRPr="00BF542D" w:rsidRDefault="008D372B" w:rsidP="00DF7B66">
            <w:pPr>
              <w:spacing w:line="240" w:lineRule="auto"/>
              <w:jc w:val="center"/>
              <w:rPr>
                <w:rFonts w:ascii="Times New Roman" w:hAnsi="Times New Roman" w:cs="Times New Roman"/>
                <w:sz w:val="20"/>
                <w:szCs w:val="20"/>
              </w:rPr>
            </w:pPr>
            <w:r w:rsidRPr="00BF542D">
              <w:rPr>
                <w:rFonts w:ascii="Times New Roman" w:hAnsi="Times New Roman" w:cs="Times New Roman"/>
                <w:sz w:val="20"/>
                <w:szCs w:val="20"/>
              </w:rPr>
              <w:t>u</w:t>
            </w:r>
          </w:p>
        </w:tc>
      </w:tr>
    </w:tbl>
    <w:p w14:paraId="4675B54F" w14:textId="77777777" w:rsidR="00387109" w:rsidRDefault="008D372B" w:rsidP="00387109">
      <w:pPr>
        <w:pStyle w:val="ListParagraph"/>
        <w:numPr>
          <w:ilvl w:val="0"/>
          <w:numId w:val="84"/>
        </w:numPr>
        <w:spacing w:line="240" w:lineRule="auto"/>
        <w:ind w:left="709"/>
        <w:jc w:val="both"/>
        <w:rPr>
          <w:rFonts w:ascii="Times New Roman" w:hAnsi="Times New Roman" w:cs="Times New Roman"/>
          <w:b/>
          <w:bCs/>
        </w:rPr>
      </w:pPr>
      <w:r w:rsidRPr="0021033E">
        <w:rPr>
          <w:rFonts w:ascii="Times New Roman" w:hAnsi="Times New Roman" w:cs="Times New Roman"/>
          <w:b/>
          <w:bCs/>
        </w:rPr>
        <w:t>Vokal Rangkap</w:t>
      </w:r>
    </w:p>
    <w:p w14:paraId="4733EA10" w14:textId="4697BE8B" w:rsidR="008D372B" w:rsidRPr="00387109" w:rsidRDefault="008D372B" w:rsidP="00387109">
      <w:pPr>
        <w:pStyle w:val="ListParagraph"/>
        <w:spacing w:line="240" w:lineRule="auto"/>
        <w:ind w:left="709"/>
        <w:jc w:val="both"/>
        <w:rPr>
          <w:rFonts w:ascii="Times New Roman" w:hAnsi="Times New Roman" w:cs="Times New Roman"/>
          <w:b/>
          <w:bCs/>
        </w:rPr>
      </w:pPr>
      <w:r w:rsidRPr="00387109">
        <w:rPr>
          <w:rFonts w:ascii="Times New Roman" w:hAnsi="Times New Roman" w:cs="Times New Roman"/>
        </w:rPr>
        <w:t>Vokal rangkap bahasa Arab yang lambangnya berupa gabungan antara harakat dan huruf, transliterasinya berupa gabungan huruf sebagai berikut: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559"/>
        <w:gridCol w:w="1138"/>
        <w:gridCol w:w="1861"/>
      </w:tblGrid>
      <w:tr w:rsidR="008D372B" w:rsidRPr="006131A6" w14:paraId="29D6B851" w14:textId="77777777" w:rsidTr="009F1245">
        <w:trPr>
          <w:trHeight w:val="381"/>
          <w:jc w:val="center"/>
        </w:trPr>
        <w:tc>
          <w:tcPr>
            <w:tcW w:w="1271" w:type="dxa"/>
            <w:shd w:val="clear" w:color="auto" w:fill="auto"/>
          </w:tcPr>
          <w:p w14:paraId="2DA750F0" w14:textId="77777777" w:rsidR="008D372B" w:rsidRPr="009F1245" w:rsidRDefault="008D372B" w:rsidP="00DF7B66">
            <w:pPr>
              <w:spacing w:line="240" w:lineRule="auto"/>
              <w:jc w:val="center"/>
              <w:rPr>
                <w:rFonts w:ascii="Times New Roman" w:hAnsi="Times New Roman" w:cs="Times New Roman"/>
                <w:b/>
                <w:bCs/>
                <w:sz w:val="20"/>
                <w:szCs w:val="20"/>
              </w:rPr>
            </w:pPr>
            <w:r w:rsidRPr="009F1245">
              <w:rPr>
                <w:rFonts w:ascii="Times New Roman" w:hAnsi="Times New Roman" w:cs="Times New Roman"/>
                <w:b/>
                <w:bCs/>
                <w:sz w:val="20"/>
                <w:szCs w:val="20"/>
              </w:rPr>
              <w:t>Huruf Arab</w:t>
            </w:r>
          </w:p>
        </w:tc>
        <w:tc>
          <w:tcPr>
            <w:tcW w:w="1559" w:type="dxa"/>
            <w:shd w:val="clear" w:color="auto" w:fill="auto"/>
          </w:tcPr>
          <w:p w14:paraId="06D8DAF6" w14:textId="77777777" w:rsidR="008D372B" w:rsidRPr="009F1245" w:rsidRDefault="008D372B" w:rsidP="00DF7B66">
            <w:pPr>
              <w:spacing w:line="240" w:lineRule="auto"/>
              <w:jc w:val="center"/>
              <w:rPr>
                <w:rFonts w:ascii="Times New Roman" w:hAnsi="Times New Roman" w:cs="Times New Roman"/>
                <w:b/>
                <w:bCs/>
                <w:sz w:val="20"/>
                <w:szCs w:val="20"/>
              </w:rPr>
            </w:pPr>
            <w:r w:rsidRPr="009F1245">
              <w:rPr>
                <w:rFonts w:ascii="Times New Roman" w:hAnsi="Times New Roman" w:cs="Times New Roman"/>
                <w:b/>
                <w:bCs/>
                <w:sz w:val="20"/>
                <w:szCs w:val="20"/>
              </w:rPr>
              <w:t>Nama</w:t>
            </w:r>
          </w:p>
        </w:tc>
        <w:tc>
          <w:tcPr>
            <w:tcW w:w="1138" w:type="dxa"/>
            <w:shd w:val="clear" w:color="auto" w:fill="auto"/>
          </w:tcPr>
          <w:p w14:paraId="4854C5B1" w14:textId="77777777" w:rsidR="008D372B" w:rsidRPr="009F1245" w:rsidRDefault="008D372B" w:rsidP="00DF7B66">
            <w:pPr>
              <w:spacing w:line="240" w:lineRule="auto"/>
              <w:jc w:val="center"/>
              <w:rPr>
                <w:rFonts w:ascii="Times New Roman" w:hAnsi="Times New Roman" w:cs="Times New Roman"/>
                <w:b/>
                <w:bCs/>
                <w:sz w:val="20"/>
                <w:szCs w:val="20"/>
              </w:rPr>
            </w:pPr>
            <w:r w:rsidRPr="009F1245">
              <w:rPr>
                <w:rFonts w:ascii="Times New Roman" w:hAnsi="Times New Roman" w:cs="Times New Roman"/>
                <w:b/>
                <w:bCs/>
                <w:sz w:val="20"/>
                <w:szCs w:val="20"/>
              </w:rPr>
              <w:t>Huruf Latin</w:t>
            </w:r>
          </w:p>
        </w:tc>
        <w:tc>
          <w:tcPr>
            <w:tcW w:w="1861" w:type="dxa"/>
            <w:shd w:val="clear" w:color="auto" w:fill="auto"/>
          </w:tcPr>
          <w:p w14:paraId="7730E539" w14:textId="77777777" w:rsidR="008D372B" w:rsidRPr="009F1245" w:rsidRDefault="008D372B" w:rsidP="00DF7B66">
            <w:pPr>
              <w:spacing w:line="240" w:lineRule="auto"/>
              <w:jc w:val="center"/>
              <w:rPr>
                <w:rFonts w:ascii="Times New Roman" w:hAnsi="Times New Roman" w:cs="Times New Roman"/>
                <w:b/>
                <w:bCs/>
                <w:sz w:val="20"/>
                <w:szCs w:val="20"/>
              </w:rPr>
            </w:pPr>
            <w:r w:rsidRPr="009F1245">
              <w:rPr>
                <w:rFonts w:ascii="Times New Roman" w:hAnsi="Times New Roman" w:cs="Times New Roman"/>
                <w:b/>
                <w:bCs/>
                <w:sz w:val="20"/>
                <w:szCs w:val="20"/>
              </w:rPr>
              <w:t>Nama</w:t>
            </w:r>
          </w:p>
        </w:tc>
      </w:tr>
      <w:tr w:rsidR="008D372B" w:rsidRPr="006131A6" w14:paraId="1FF95393" w14:textId="77777777" w:rsidTr="009F1245">
        <w:trPr>
          <w:jc w:val="center"/>
        </w:trPr>
        <w:tc>
          <w:tcPr>
            <w:tcW w:w="1271" w:type="dxa"/>
            <w:shd w:val="clear" w:color="auto" w:fill="auto"/>
          </w:tcPr>
          <w:p w14:paraId="2D69B19A" w14:textId="77777777" w:rsidR="008D372B" w:rsidRPr="009F1245" w:rsidRDefault="008D372B" w:rsidP="00DF7B66">
            <w:pPr>
              <w:spacing w:line="240" w:lineRule="auto"/>
              <w:jc w:val="center"/>
              <w:rPr>
                <w:rFonts w:ascii="Traditional Arabic" w:hAnsi="Traditional Arabic" w:cs="Traditional Arabic"/>
                <w:sz w:val="20"/>
                <w:szCs w:val="20"/>
                <w:rtl/>
              </w:rPr>
            </w:pPr>
            <w:r w:rsidRPr="009F1245">
              <w:rPr>
                <w:rFonts w:ascii="Traditional Arabic" w:hAnsi="Traditional Arabic" w:cs="Traditional Arabic"/>
                <w:sz w:val="20"/>
                <w:szCs w:val="20"/>
                <w:rtl/>
              </w:rPr>
              <w:t>يْ.َ..</w:t>
            </w:r>
          </w:p>
        </w:tc>
        <w:tc>
          <w:tcPr>
            <w:tcW w:w="1559" w:type="dxa"/>
            <w:shd w:val="clear" w:color="auto" w:fill="auto"/>
          </w:tcPr>
          <w:p w14:paraId="4ACF20EF" w14:textId="77777777" w:rsidR="008D372B" w:rsidRPr="009F1245" w:rsidRDefault="008D372B" w:rsidP="00DF7B66">
            <w:pPr>
              <w:spacing w:line="240" w:lineRule="auto"/>
              <w:jc w:val="center"/>
              <w:rPr>
                <w:rFonts w:ascii="Times New Roman" w:hAnsi="Times New Roman" w:cs="Times New Roman"/>
                <w:sz w:val="20"/>
                <w:szCs w:val="20"/>
              </w:rPr>
            </w:pPr>
            <w:r w:rsidRPr="009F1245">
              <w:rPr>
                <w:rFonts w:ascii="Times New Roman" w:hAnsi="Times New Roman" w:cs="Times New Roman"/>
                <w:sz w:val="20"/>
                <w:szCs w:val="20"/>
              </w:rPr>
              <w:t>Fathah</w:t>
            </w:r>
            <w:r w:rsidRPr="009F1245">
              <w:rPr>
                <w:rFonts w:ascii="Times New Roman" w:hAnsi="Times New Roman" w:cs="Times New Roman" w:hint="cs"/>
                <w:sz w:val="20"/>
                <w:szCs w:val="20"/>
                <w:rtl/>
              </w:rPr>
              <w:t xml:space="preserve"> </w:t>
            </w:r>
            <w:r w:rsidRPr="009F1245">
              <w:rPr>
                <w:rFonts w:ascii="Times New Roman" w:hAnsi="Times New Roman" w:cs="Times New Roman"/>
                <w:sz w:val="20"/>
                <w:szCs w:val="20"/>
              </w:rPr>
              <w:t>dan ya</w:t>
            </w:r>
          </w:p>
        </w:tc>
        <w:tc>
          <w:tcPr>
            <w:tcW w:w="1138" w:type="dxa"/>
            <w:shd w:val="clear" w:color="auto" w:fill="auto"/>
          </w:tcPr>
          <w:p w14:paraId="072F4F50" w14:textId="77777777" w:rsidR="008D372B" w:rsidRPr="009F1245" w:rsidRDefault="008D372B" w:rsidP="00DF7B66">
            <w:pPr>
              <w:spacing w:line="240" w:lineRule="auto"/>
              <w:jc w:val="center"/>
              <w:rPr>
                <w:rFonts w:ascii="Times New Roman" w:hAnsi="Times New Roman" w:cs="Times New Roman"/>
                <w:sz w:val="20"/>
                <w:szCs w:val="20"/>
              </w:rPr>
            </w:pPr>
            <w:r w:rsidRPr="009F1245">
              <w:rPr>
                <w:rFonts w:ascii="Times New Roman" w:hAnsi="Times New Roman" w:cs="Times New Roman"/>
                <w:sz w:val="20"/>
                <w:szCs w:val="20"/>
              </w:rPr>
              <w:t>ai</w:t>
            </w:r>
          </w:p>
        </w:tc>
        <w:tc>
          <w:tcPr>
            <w:tcW w:w="1861" w:type="dxa"/>
            <w:shd w:val="clear" w:color="auto" w:fill="auto"/>
          </w:tcPr>
          <w:p w14:paraId="3D026569" w14:textId="77777777" w:rsidR="008D372B" w:rsidRPr="009F1245" w:rsidRDefault="008D372B" w:rsidP="00DF7B66">
            <w:pPr>
              <w:spacing w:line="240" w:lineRule="auto"/>
              <w:jc w:val="center"/>
              <w:rPr>
                <w:rFonts w:ascii="Times New Roman" w:hAnsi="Times New Roman" w:cs="Times New Roman"/>
                <w:sz w:val="20"/>
                <w:szCs w:val="20"/>
              </w:rPr>
            </w:pPr>
            <w:r w:rsidRPr="009F1245">
              <w:rPr>
                <w:rFonts w:ascii="Times New Roman" w:hAnsi="Times New Roman" w:cs="Times New Roman"/>
                <w:sz w:val="20"/>
                <w:szCs w:val="20"/>
              </w:rPr>
              <w:t>a dan u</w:t>
            </w:r>
          </w:p>
        </w:tc>
      </w:tr>
      <w:tr w:rsidR="008D372B" w:rsidRPr="006131A6" w14:paraId="45A7A495" w14:textId="77777777" w:rsidTr="009F1245">
        <w:trPr>
          <w:jc w:val="center"/>
        </w:trPr>
        <w:tc>
          <w:tcPr>
            <w:tcW w:w="1271" w:type="dxa"/>
            <w:shd w:val="clear" w:color="auto" w:fill="auto"/>
          </w:tcPr>
          <w:p w14:paraId="3B07ED7E" w14:textId="77777777" w:rsidR="008D372B" w:rsidRPr="009F1245" w:rsidRDefault="008D372B" w:rsidP="00DF7B66">
            <w:pPr>
              <w:spacing w:line="240" w:lineRule="auto"/>
              <w:jc w:val="center"/>
              <w:rPr>
                <w:rFonts w:ascii="Traditional Arabic" w:hAnsi="Traditional Arabic" w:cs="Traditional Arabic"/>
                <w:sz w:val="20"/>
                <w:szCs w:val="20"/>
              </w:rPr>
            </w:pPr>
            <w:r w:rsidRPr="009F1245">
              <w:rPr>
                <w:rFonts w:ascii="Traditional Arabic" w:hAnsi="Traditional Arabic" w:cs="Traditional Arabic"/>
                <w:sz w:val="20"/>
                <w:szCs w:val="20"/>
                <w:rtl/>
              </w:rPr>
              <w:t>وْ.َ..</w:t>
            </w:r>
          </w:p>
        </w:tc>
        <w:tc>
          <w:tcPr>
            <w:tcW w:w="1559" w:type="dxa"/>
            <w:shd w:val="clear" w:color="auto" w:fill="auto"/>
          </w:tcPr>
          <w:p w14:paraId="3A2ED25E" w14:textId="77777777" w:rsidR="008D372B" w:rsidRPr="009F1245" w:rsidRDefault="008D372B" w:rsidP="00DF7B66">
            <w:pPr>
              <w:spacing w:line="240" w:lineRule="auto"/>
              <w:jc w:val="center"/>
              <w:rPr>
                <w:rFonts w:ascii="Times New Roman" w:hAnsi="Times New Roman" w:cs="Times New Roman"/>
                <w:sz w:val="20"/>
                <w:szCs w:val="20"/>
              </w:rPr>
            </w:pPr>
            <w:r w:rsidRPr="009F1245">
              <w:rPr>
                <w:rFonts w:ascii="Times New Roman" w:hAnsi="Times New Roman" w:cs="Times New Roman"/>
                <w:sz w:val="20"/>
                <w:szCs w:val="20"/>
              </w:rPr>
              <w:t>Fathah dan wau</w:t>
            </w:r>
          </w:p>
        </w:tc>
        <w:tc>
          <w:tcPr>
            <w:tcW w:w="1138" w:type="dxa"/>
            <w:shd w:val="clear" w:color="auto" w:fill="auto"/>
          </w:tcPr>
          <w:p w14:paraId="31492097" w14:textId="77777777" w:rsidR="008D372B" w:rsidRPr="009F1245" w:rsidRDefault="008D372B" w:rsidP="00DF7B66">
            <w:pPr>
              <w:spacing w:line="240" w:lineRule="auto"/>
              <w:jc w:val="center"/>
              <w:rPr>
                <w:rFonts w:ascii="Times New Roman" w:hAnsi="Times New Roman" w:cs="Times New Roman"/>
                <w:sz w:val="20"/>
                <w:szCs w:val="20"/>
              </w:rPr>
            </w:pPr>
            <w:r w:rsidRPr="009F1245">
              <w:rPr>
                <w:rFonts w:ascii="Times New Roman" w:hAnsi="Times New Roman" w:cs="Times New Roman"/>
                <w:sz w:val="20"/>
                <w:szCs w:val="20"/>
              </w:rPr>
              <w:t>au</w:t>
            </w:r>
          </w:p>
        </w:tc>
        <w:tc>
          <w:tcPr>
            <w:tcW w:w="1861" w:type="dxa"/>
            <w:shd w:val="clear" w:color="auto" w:fill="auto"/>
          </w:tcPr>
          <w:p w14:paraId="5D73FC6C" w14:textId="77777777" w:rsidR="008D372B" w:rsidRPr="009F1245" w:rsidRDefault="008D372B" w:rsidP="00DF7B66">
            <w:pPr>
              <w:spacing w:line="240" w:lineRule="auto"/>
              <w:jc w:val="center"/>
              <w:rPr>
                <w:rFonts w:ascii="Times New Roman" w:hAnsi="Times New Roman" w:cs="Times New Roman"/>
                <w:sz w:val="20"/>
                <w:szCs w:val="20"/>
              </w:rPr>
            </w:pPr>
            <w:r w:rsidRPr="009F1245">
              <w:rPr>
                <w:rFonts w:ascii="Times New Roman" w:hAnsi="Times New Roman" w:cs="Times New Roman"/>
                <w:sz w:val="20"/>
                <w:szCs w:val="20"/>
              </w:rPr>
              <w:t xml:space="preserve">a dan u </w:t>
            </w:r>
          </w:p>
        </w:tc>
      </w:tr>
    </w:tbl>
    <w:p w14:paraId="4B61D0CE" w14:textId="77777777" w:rsidR="008D372B" w:rsidRPr="0021033E" w:rsidRDefault="008D372B" w:rsidP="00536D56">
      <w:pPr>
        <w:spacing w:before="240" w:line="276" w:lineRule="auto"/>
        <w:jc w:val="both"/>
        <w:rPr>
          <w:rFonts w:ascii="Times New Roman" w:hAnsi="Times New Roman" w:cs="Times New Roman"/>
        </w:rPr>
      </w:pPr>
      <w:r w:rsidRPr="0021033E">
        <w:rPr>
          <w:rFonts w:ascii="Times New Roman" w:hAnsi="Times New Roman" w:cs="Times New Roman"/>
        </w:rPr>
        <w:t>Contoh:</w:t>
      </w:r>
    </w:p>
    <w:p w14:paraId="02943F2A" w14:textId="77777777" w:rsidR="008D372B" w:rsidRPr="0021033E" w:rsidRDefault="008D372B" w:rsidP="009174A7">
      <w:pPr>
        <w:pStyle w:val="ListParagraph"/>
        <w:numPr>
          <w:ilvl w:val="0"/>
          <w:numId w:val="85"/>
        </w:numPr>
        <w:spacing w:line="240" w:lineRule="auto"/>
        <w:jc w:val="both"/>
        <w:rPr>
          <w:rFonts w:ascii="Traditional Arabic" w:hAnsi="Traditional Arabic" w:cs="Traditional Arabic"/>
        </w:rPr>
      </w:pPr>
      <w:r w:rsidRPr="0021033E">
        <w:rPr>
          <w:rFonts w:ascii="Traditional Arabic" w:hAnsi="Traditional Arabic" w:cs="Traditional Arabic"/>
          <w:rtl/>
        </w:rPr>
        <w:t>كَتَبَ</w:t>
      </w:r>
      <w:r w:rsidRPr="0021033E">
        <w:rPr>
          <w:rFonts w:ascii="Traditional Arabic" w:hAnsi="Traditional Arabic" w:cs="Traditional Arabic"/>
        </w:rPr>
        <w:t xml:space="preserve"> </w:t>
      </w:r>
      <w:r w:rsidRPr="0021033E">
        <w:rPr>
          <w:rFonts w:ascii="Traditional Arabic" w:hAnsi="Traditional Arabic" w:cs="Traditional Arabic"/>
        </w:rPr>
        <w:tab/>
      </w:r>
      <w:r w:rsidRPr="0021033E">
        <w:rPr>
          <w:rFonts w:ascii="Times New Roman" w:hAnsi="Times New Roman" w:cs="Times New Roman"/>
        </w:rPr>
        <w:t>kataba</w:t>
      </w:r>
    </w:p>
    <w:p w14:paraId="3B0DCD98" w14:textId="77777777" w:rsidR="008D372B" w:rsidRPr="0021033E" w:rsidRDefault="008D372B" w:rsidP="009174A7">
      <w:pPr>
        <w:pStyle w:val="ListParagraph"/>
        <w:numPr>
          <w:ilvl w:val="0"/>
          <w:numId w:val="85"/>
        </w:numPr>
        <w:spacing w:line="240" w:lineRule="auto"/>
        <w:jc w:val="both"/>
        <w:rPr>
          <w:rFonts w:ascii="Traditional Arabic" w:hAnsi="Traditional Arabic" w:cs="Traditional Arabic"/>
        </w:rPr>
      </w:pPr>
      <w:r w:rsidRPr="0021033E">
        <w:rPr>
          <w:rFonts w:ascii="Traditional Arabic" w:hAnsi="Traditional Arabic" w:cs="Traditional Arabic"/>
          <w:rtl/>
        </w:rPr>
        <w:t>سُئِلَ</w:t>
      </w:r>
      <w:r w:rsidRPr="0021033E">
        <w:rPr>
          <w:rFonts w:ascii="Traditional Arabic" w:hAnsi="Traditional Arabic" w:cs="Traditional Arabic"/>
        </w:rPr>
        <w:t xml:space="preserve"> </w:t>
      </w:r>
      <w:r w:rsidRPr="0021033E">
        <w:rPr>
          <w:rFonts w:ascii="Traditional Arabic" w:hAnsi="Traditional Arabic" w:cs="Traditional Arabic"/>
        </w:rPr>
        <w:tab/>
      </w:r>
      <w:r w:rsidRPr="0021033E">
        <w:rPr>
          <w:rFonts w:ascii="Times New Roman" w:hAnsi="Times New Roman" w:cs="Times New Roman"/>
        </w:rPr>
        <w:t>suila</w:t>
      </w:r>
    </w:p>
    <w:p w14:paraId="2B47EBF0" w14:textId="77777777" w:rsidR="00387109" w:rsidRPr="00387109" w:rsidRDefault="008D372B" w:rsidP="00387109">
      <w:pPr>
        <w:pStyle w:val="ListParagraph"/>
        <w:numPr>
          <w:ilvl w:val="0"/>
          <w:numId w:val="83"/>
        </w:numPr>
        <w:spacing w:line="240" w:lineRule="auto"/>
        <w:ind w:left="360"/>
        <w:jc w:val="both"/>
        <w:rPr>
          <w:rFonts w:ascii="Times New Roman" w:hAnsi="Times New Roman" w:cs="Times New Roman"/>
          <w:b/>
          <w:bCs/>
        </w:rPr>
      </w:pPr>
      <w:r w:rsidRPr="0021033E">
        <w:rPr>
          <w:rFonts w:ascii="Times New Roman" w:hAnsi="Times New Roman" w:cs="Times New Roman"/>
          <w:b/>
          <w:bCs/>
          <w:i/>
          <w:iCs/>
        </w:rPr>
        <w:t>Maddah</w:t>
      </w:r>
    </w:p>
    <w:p w14:paraId="70B09A09" w14:textId="060FE81A" w:rsidR="008D372B" w:rsidRPr="00387109" w:rsidRDefault="008D372B" w:rsidP="00387109">
      <w:pPr>
        <w:pStyle w:val="ListParagraph"/>
        <w:spacing w:line="240" w:lineRule="auto"/>
        <w:ind w:left="360" w:firstLine="360"/>
        <w:jc w:val="both"/>
        <w:rPr>
          <w:rFonts w:ascii="Times New Roman" w:hAnsi="Times New Roman" w:cs="Times New Roman"/>
          <w:b/>
          <w:bCs/>
        </w:rPr>
      </w:pPr>
      <w:r w:rsidRPr="00387109">
        <w:rPr>
          <w:rFonts w:ascii="Times New Roman" w:hAnsi="Times New Roman" w:cs="Times New Roman"/>
          <w:i/>
          <w:iCs/>
        </w:rPr>
        <w:t xml:space="preserve">Maddah </w:t>
      </w:r>
      <w:r w:rsidRPr="00387109">
        <w:rPr>
          <w:rFonts w:ascii="Times New Roman" w:hAnsi="Times New Roman" w:cs="Times New Roman"/>
        </w:rPr>
        <w:t>atau vokal panjang yang lambangnya berupa harakat dan huruf, transliterasinya berupa huruf dan tanda sebagai berikut: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559"/>
        <w:gridCol w:w="1165"/>
        <w:gridCol w:w="1834"/>
      </w:tblGrid>
      <w:tr w:rsidR="008D372B" w:rsidRPr="006131A6" w14:paraId="28585A6D" w14:textId="77777777" w:rsidTr="009F1245">
        <w:trPr>
          <w:jc w:val="center"/>
        </w:trPr>
        <w:tc>
          <w:tcPr>
            <w:tcW w:w="1271" w:type="dxa"/>
            <w:shd w:val="clear" w:color="auto" w:fill="auto"/>
          </w:tcPr>
          <w:p w14:paraId="42124AA6" w14:textId="77777777" w:rsidR="008D372B" w:rsidRPr="009F1245" w:rsidRDefault="008D372B" w:rsidP="00DF7B66">
            <w:pPr>
              <w:spacing w:line="240" w:lineRule="auto"/>
              <w:jc w:val="center"/>
              <w:rPr>
                <w:rFonts w:ascii="Times New Roman" w:hAnsi="Times New Roman" w:cs="Times New Roman"/>
                <w:b/>
                <w:bCs/>
                <w:sz w:val="20"/>
                <w:szCs w:val="20"/>
              </w:rPr>
            </w:pPr>
            <w:r w:rsidRPr="009F1245">
              <w:rPr>
                <w:rFonts w:ascii="Times New Roman" w:hAnsi="Times New Roman" w:cs="Times New Roman"/>
                <w:b/>
                <w:bCs/>
                <w:sz w:val="20"/>
                <w:szCs w:val="20"/>
              </w:rPr>
              <w:t>Huruf Arab</w:t>
            </w:r>
          </w:p>
        </w:tc>
        <w:tc>
          <w:tcPr>
            <w:tcW w:w="1559" w:type="dxa"/>
            <w:shd w:val="clear" w:color="auto" w:fill="auto"/>
          </w:tcPr>
          <w:p w14:paraId="52C6940D" w14:textId="77777777" w:rsidR="008D372B" w:rsidRPr="009F1245" w:rsidRDefault="008D372B" w:rsidP="00DF7B66">
            <w:pPr>
              <w:spacing w:line="240" w:lineRule="auto"/>
              <w:jc w:val="center"/>
              <w:rPr>
                <w:rFonts w:ascii="Times New Roman" w:hAnsi="Times New Roman" w:cs="Times New Roman"/>
                <w:b/>
                <w:bCs/>
                <w:sz w:val="20"/>
                <w:szCs w:val="20"/>
              </w:rPr>
            </w:pPr>
            <w:r w:rsidRPr="009F1245">
              <w:rPr>
                <w:rFonts w:ascii="Times New Roman" w:hAnsi="Times New Roman" w:cs="Times New Roman"/>
                <w:b/>
                <w:bCs/>
                <w:sz w:val="20"/>
                <w:szCs w:val="20"/>
              </w:rPr>
              <w:t>Nama</w:t>
            </w:r>
          </w:p>
        </w:tc>
        <w:tc>
          <w:tcPr>
            <w:tcW w:w="1165" w:type="dxa"/>
            <w:shd w:val="clear" w:color="auto" w:fill="auto"/>
          </w:tcPr>
          <w:p w14:paraId="272A9715" w14:textId="77777777" w:rsidR="008D372B" w:rsidRPr="009F1245" w:rsidRDefault="008D372B" w:rsidP="00DF7B66">
            <w:pPr>
              <w:spacing w:line="240" w:lineRule="auto"/>
              <w:jc w:val="center"/>
              <w:rPr>
                <w:rFonts w:ascii="Times New Roman" w:hAnsi="Times New Roman" w:cs="Times New Roman"/>
                <w:b/>
                <w:bCs/>
                <w:sz w:val="20"/>
                <w:szCs w:val="20"/>
              </w:rPr>
            </w:pPr>
            <w:r w:rsidRPr="009F1245">
              <w:rPr>
                <w:rFonts w:ascii="Times New Roman" w:hAnsi="Times New Roman" w:cs="Times New Roman"/>
                <w:b/>
                <w:bCs/>
                <w:sz w:val="20"/>
                <w:szCs w:val="20"/>
              </w:rPr>
              <w:t>Huruf Latin</w:t>
            </w:r>
          </w:p>
        </w:tc>
        <w:tc>
          <w:tcPr>
            <w:tcW w:w="1834" w:type="dxa"/>
            <w:shd w:val="clear" w:color="auto" w:fill="auto"/>
          </w:tcPr>
          <w:p w14:paraId="27F2CABC" w14:textId="77777777" w:rsidR="008D372B" w:rsidRPr="009F1245" w:rsidRDefault="008D372B" w:rsidP="00DF7B66">
            <w:pPr>
              <w:spacing w:line="240" w:lineRule="auto"/>
              <w:jc w:val="center"/>
              <w:rPr>
                <w:rFonts w:ascii="Times New Roman" w:hAnsi="Times New Roman" w:cs="Times New Roman"/>
                <w:b/>
                <w:bCs/>
                <w:sz w:val="20"/>
                <w:szCs w:val="20"/>
              </w:rPr>
            </w:pPr>
            <w:r w:rsidRPr="009F1245">
              <w:rPr>
                <w:rFonts w:ascii="Times New Roman" w:hAnsi="Times New Roman" w:cs="Times New Roman"/>
                <w:b/>
                <w:bCs/>
                <w:sz w:val="20"/>
                <w:szCs w:val="20"/>
              </w:rPr>
              <w:t>Nama</w:t>
            </w:r>
          </w:p>
        </w:tc>
      </w:tr>
      <w:tr w:rsidR="008D372B" w:rsidRPr="006131A6" w14:paraId="0D5E3D88" w14:textId="77777777" w:rsidTr="009F1245">
        <w:trPr>
          <w:jc w:val="center"/>
        </w:trPr>
        <w:tc>
          <w:tcPr>
            <w:tcW w:w="1271" w:type="dxa"/>
            <w:shd w:val="clear" w:color="auto" w:fill="auto"/>
          </w:tcPr>
          <w:p w14:paraId="6091D00D" w14:textId="77777777" w:rsidR="008D372B" w:rsidRPr="009F1245" w:rsidRDefault="008D372B" w:rsidP="00DF7B66">
            <w:pPr>
              <w:spacing w:line="240" w:lineRule="auto"/>
              <w:jc w:val="center"/>
              <w:rPr>
                <w:rFonts w:ascii="Traditional Arabic" w:hAnsi="Traditional Arabic" w:cs="Traditional Arabic"/>
                <w:sz w:val="20"/>
                <w:szCs w:val="20"/>
                <w:rtl/>
              </w:rPr>
            </w:pPr>
            <w:r w:rsidRPr="009F1245">
              <w:rPr>
                <w:rFonts w:ascii="Traditional Arabic" w:hAnsi="Traditional Arabic" w:cs="Traditional Arabic"/>
                <w:sz w:val="20"/>
                <w:szCs w:val="20"/>
                <w:rtl/>
              </w:rPr>
              <w:t>ا.َ..ى.َ..</w:t>
            </w:r>
          </w:p>
        </w:tc>
        <w:tc>
          <w:tcPr>
            <w:tcW w:w="1559" w:type="dxa"/>
            <w:shd w:val="clear" w:color="auto" w:fill="auto"/>
          </w:tcPr>
          <w:p w14:paraId="54E7755D" w14:textId="77777777" w:rsidR="008D372B" w:rsidRPr="009F1245" w:rsidRDefault="008D372B" w:rsidP="00DF7B66">
            <w:pPr>
              <w:spacing w:line="240" w:lineRule="auto"/>
              <w:jc w:val="center"/>
              <w:rPr>
                <w:rFonts w:ascii="Times New Roman" w:hAnsi="Times New Roman" w:cs="Times New Roman"/>
                <w:sz w:val="20"/>
                <w:szCs w:val="20"/>
              </w:rPr>
            </w:pPr>
            <w:r w:rsidRPr="009F1245">
              <w:rPr>
                <w:rFonts w:ascii="Times New Roman" w:hAnsi="Times New Roman" w:cs="Times New Roman"/>
                <w:sz w:val="20"/>
                <w:szCs w:val="20"/>
              </w:rPr>
              <w:t>Fathah dan alif atau ya</w:t>
            </w:r>
          </w:p>
        </w:tc>
        <w:tc>
          <w:tcPr>
            <w:tcW w:w="1165" w:type="dxa"/>
            <w:shd w:val="clear" w:color="auto" w:fill="auto"/>
          </w:tcPr>
          <w:p w14:paraId="4E8E472D" w14:textId="77777777" w:rsidR="008D372B" w:rsidRPr="009F1245" w:rsidRDefault="008D372B" w:rsidP="00DF7B66">
            <w:pPr>
              <w:spacing w:line="240" w:lineRule="auto"/>
              <w:jc w:val="center"/>
              <w:rPr>
                <w:rFonts w:ascii="Times New Roman" w:hAnsi="Times New Roman" w:cs="Times New Roman"/>
                <w:sz w:val="20"/>
                <w:szCs w:val="20"/>
              </w:rPr>
            </w:pPr>
            <w:r w:rsidRPr="009F1245">
              <w:rPr>
                <w:rFonts w:ascii="Times New Roman" w:hAnsi="Times New Roman" w:cs="Times New Roman"/>
                <w:sz w:val="20"/>
                <w:szCs w:val="20"/>
              </w:rPr>
              <w:t>ā</w:t>
            </w:r>
          </w:p>
        </w:tc>
        <w:tc>
          <w:tcPr>
            <w:tcW w:w="1834" w:type="dxa"/>
            <w:shd w:val="clear" w:color="auto" w:fill="auto"/>
          </w:tcPr>
          <w:p w14:paraId="434D73BF" w14:textId="77777777" w:rsidR="008D372B" w:rsidRPr="009F1245" w:rsidRDefault="008D372B" w:rsidP="00DF7B66">
            <w:pPr>
              <w:spacing w:line="240" w:lineRule="auto"/>
              <w:jc w:val="center"/>
              <w:rPr>
                <w:rFonts w:ascii="Times New Roman" w:hAnsi="Times New Roman" w:cs="Times New Roman"/>
                <w:sz w:val="20"/>
                <w:szCs w:val="20"/>
              </w:rPr>
            </w:pPr>
            <w:r w:rsidRPr="009F1245">
              <w:rPr>
                <w:rFonts w:ascii="Times New Roman" w:hAnsi="Times New Roman" w:cs="Times New Roman"/>
                <w:sz w:val="20"/>
                <w:szCs w:val="20"/>
              </w:rPr>
              <w:t>a dan garis di atas</w:t>
            </w:r>
          </w:p>
        </w:tc>
      </w:tr>
      <w:tr w:rsidR="008D372B" w:rsidRPr="006131A6" w14:paraId="161BE3E8" w14:textId="77777777" w:rsidTr="009F1245">
        <w:trPr>
          <w:jc w:val="center"/>
        </w:trPr>
        <w:tc>
          <w:tcPr>
            <w:tcW w:w="1271" w:type="dxa"/>
            <w:shd w:val="clear" w:color="auto" w:fill="auto"/>
          </w:tcPr>
          <w:p w14:paraId="736B4765" w14:textId="77777777" w:rsidR="008D372B" w:rsidRPr="009F1245" w:rsidRDefault="008D372B" w:rsidP="00DF7B66">
            <w:pPr>
              <w:spacing w:line="240" w:lineRule="auto"/>
              <w:jc w:val="center"/>
              <w:rPr>
                <w:rFonts w:ascii="Traditional Arabic" w:hAnsi="Traditional Arabic" w:cs="Traditional Arabic"/>
                <w:sz w:val="20"/>
                <w:szCs w:val="20"/>
              </w:rPr>
            </w:pPr>
            <w:r w:rsidRPr="009F1245">
              <w:rPr>
                <w:rFonts w:ascii="Traditional Arabic" w:hAnsi="Traditional Arabic" w:cs="Traditional Arabic"/>
                <w:sz w:val="20"/>
                <w:szCs w:val="20"/>
                <w:rtl/>
              </w:rPr>
              <w:lastRenderedPageBreak/>
              <w:t>ى.ِ..</w:t>
            </w:r>
          </w:p>
        </w:tc>
        <w:tc>
          <w:tcPr>
            <w:tcW w:w="1559" w:type="dxa"/>
            <w:shd w:val="clear" w:color="auto" w:fill="auto"/>
          </w:tcPr>
          <w:p w14:paraId="759EE859" w14:textId="77777777" w:rsidR="008D372B" w:rsidRPr="009F1245" w:rsidRDefault="008D372B" w:rsidP="00DF7B66">
            <w:pPr>
              <w:spacing w:line="240" w:lineRule="auto"/>
              <w:jc w:val="center"/>
              <w:rPr>
                <w:rFonts w:ascii="Times New Roman" w:hAnsi="Times New Roman" w:cs="Times New Roman"/>
                <w:sz w:val="20"/>
                <w:szCs w:val="20"/>
              </w:rPr>
            </w:pPr>
            <w:r w:rsidRPr="009F1245">
              <w:rPr>
                <w:rFonts w:ascii="Times New Roman" w:hAnsi="Times New Roman" w:cs="Times New Roman"/>
                <w:sz w:val="20"/>
                <w:szCs w:val="20"/>
              </w:rPr>
              <w:t>Kasrah dan ya</w:t>
            </w:r>
          </w:p>
        </w:tc>
        <w:tc>
          <w:tcPr>
            <w:tcW w:w="1165" w:type="dxa"/>
            <w:shd w:val="clear" w:color="auto" w:fill="auto"/>
          </w:tcPr>
          <w:p w14:paraId="6C448582" w14:textId="77777777" w:rsidR="008D372B" w:rsidRPr="009F1245" w:rsidRDefault="008D372B" w:rsidP="00DF7B66">
            <w:pPr>
              <w:spacing w:line="240" w:lineRule="auto"/>
              <w:jc w:val="center"/>
              <w:rPr>
                <w:rFonts w:ascii="Times New Roman" w:hAnsi="Times New Roman" w:cs="Times New Roman"/>
                <w:sz w:val="20"/>
                <w:szCs w:val="20"/>
              </w:rPr>
            </w:pPr>
            <w:r w:rsidRPr="009F1245">
              <w:rPr>
                <w:rFonts w:ascii="Times New Roman" w:hAnsi="Times New Roman" w:cs="Times New Roman"/>
                <w:sz w:val="20"/>
                <w:szCs w:val="20"/>
              </w:rPr>
              <w:t>ī</w:t>
            </w:r>
          </w:p>
        </w:tc>
        <w:tc>
          <w:tcPr>
            <w:tcW w:w="1834" w:type="dxa"/>
            <w:shd w:val="clear" w:color="auto" w:fill="auto"/>
          </w:tcPr>
          <w:p w14:paraId="1BC2AAB7" w14:textId="77777777" w:rsidR="008D372B" w:rsidRPr="009F1245" w:rsidRDefault="008D372B" w:rsidP="00DF7B66">
            <w:pPr>
              <w:spacing w:line="240" w:lineRule="auto"/>
              <w:jc w:val="center"/>
              <w:rPr>
                <w:rFonts w:ascii="Times New Roman" w:hAnsi="Times New Roman" w:cs="Times New Roman"/>
                <w:sz w:val="20"/>
                <w:szCs w:val="20"/>
              </w:rPr>
            </w:pPr>
            <w:r w:rsidRPr="009F1245">
              <w:rPr>
                <w:rFonts w:ascii="Times New Roman" w:hAnsi="Times New Roman" w:cs="Times New Roman"/>
                <w:sz w:val="20"/>
                <w:szCs w:val="20"/>
              </w:rPr>
              <w:t>i dan garis di atas</w:t>
            </w:r>
          </w:p>
        </w:tc>
      </w:tr>
      <w:tr w:rsidR="008D372B" w:rsidRPr="006131A6" w14:paraId="7304DC63" w14:textId="77777777" w:rsidTr="009F1245">
        <w:trPr>
          <w:jc w:val="center"/>
        </w:trPr>
        <w:tc>
          <w:tcPr>
            <w:tcW w:w="1271" w:type="dxa"/>
            <w:shd w:val="clear" w:color="auto" w:fill="auto"/>
          </w:tcPr>
          <w:p w14:paraId="47030250" w14:textId="77777777" w:rsidR="008D372B" w:rsidRPr="009F1245" w:rsidRDefault="008D372B" w:rsidP="00DF7B66">
            <w:pPr>
              <w:spacing w:line="240" w:lineRule="auto"/>
              <w:jc w:val="center"/>
              <w:rPr>
                <w:rFonts w:ascii="Traditional Arabic" w:hAnsi="Traditional Arabic" w:cs="Traditional Arabic"/>
                <w:sz w:val="20"/>
                <w:szCs w:val="20"/>
              </w:rPr>
            </w:pPr>
            <w:r w:rsidRPr="009F1245">
              <w:rPr>
                <w:rFonts w:ascii="Traditional Arabic" w:hAnsi="Traditional Arabic" w:cs="Traditional Arabic"/>
                <w:sz w:val="20"/>
                <w:szCs w:val="20"/>
                <w:rtl/>
              </w:rPr>
              <w:t>و.ُ..</w:t>
            </w:r>
          </w:p>
        </w:tc>
        <w:tc>
          <w:tcPr>
            <w:tcW w:w="1559" w:type="dxa"/>
            <w:shd w:val="clear" w:color="auto" w:fill="auto"/>
          </w:tcPr>
          <w:p w14:paraId="597C9865" w14:textId="77777777" w:rsidR="008D372B" w:rsidRPr="009F1245" w:rsidRDefault="008D372B" w:rsidP="00DF7B66">
            <w:pPr>
              <w:spacing w:line="240" w:lineRule="auto"/>
              <w:jc w:val="center"/>
              <w:rPr>
                <w:rFonts w:ascii="Times New Roman" w:hAnsi="Times New Roman" w:cs="Times New Roman"/>
                <w:sz w:val="20"/>
                <w:szCs w:val="20"/>
              </w:rPr>
            </w:pPr>
            <w:r w:rsidRPr="009F1245">
              <w:rPr>
                <w:rFonts w:ascii="Times New Roman" w:hAnsi="Times New Roman" w:cs="Times New Roman"/>
                <w:sz w:val="20"/>
                <w:szCs w:val="20"/>
              </w:rPr>
              <w:t>Dammah dan wau</w:t>
            </w:r>
          </w:p>
        </w:tc>
        <w:tc>
          <w:tcPr>
            <w:tcW w:w="1165" w:type="dxa"/>
            <w:shd w:val="clear" w:color="auto" w:fill="auto"/>
          </w:tcPr>
          <w:p w14:paraId="1BEF32A9" w14:textId="77777777" w:rsidR="008D372B" w:rsidRPr="009F1245" w:rsidRDefault="008D372B" w:rsidP="00DF7B66">
            <w:pPr>
              <w:spacing w:line="240" w:lineRule="auto"/>
              <w:jc w:val="center"/>
              <w:rPr>
                <w:rFonts w:ascii="Times New Roman" w:hAnsi="Times New Roman" w:cs="Times New Roman"/>
                <w:sz w:val="20"/>
                <w:szCs w:val="20"/>
              </w:rPr>
            </w:pPr>
            <w:r w:rsidRPr="009F1245">
              <w:rPr>
                <w:rFonts w:ascii="Times New Roman" w:hAnsi="Times New Roman" w:cs="Times New Roman"/>
                <w:sz w:val="20"/>
                <w:szCs w:val="20"/>
              </w:rPr>
              <w:t>ū</w:t>
            </w:r>
          </w:p>
        </w:tc>
        <w:tc>
          <w:tcPr>
            <w:tcW w:w="1834" w:type="dxa"/>
            <w:shd w:val="clear" w:color="auto" w:fill="auto"/>
          </w:tcPr>
          <w:p w14:paraId="42773A50" w14:textId="77777777" w:rsidR="008D372B" w:rsidRPr="009F1245" w:rsidRDefault="008D372B" w:rsidP="00DF7B66">
            <w:pPr>
              <w:spacing w:line="240" w:lineRule="auto"/>
              <w:jc w:val="center"/>
              <w:rPr>
                <w:rFonts w:ascii="Times New Roman" w:hAnsi="Times New Roman" w:cs="Times New Roman"/>
                <w:sz w:val="20"/>
                <w:szCs w:val="20"/>
              </w:rPr>
            </w:pPr>
            <w:r w:rsidRPr="009F1245">
              <w:rPr>
                <w:rFonts w:ascii="Times New Roman" w:hAnsi="Times New Roman" w:cs="Times New Roman"/>
                <w:sz w:val="20"/>
                <w:szCs w:val="20"/>
              </w:rPr>
              <w:t>u dan garis di atas</w:t>
            </w:r>
          </w:p>
        </w:tc>
      </w:tr>
    </w:tbl>
    <w:p w14:paraId="1C87AD31" w14:textId="77777777" w:rsidR="008D372B" w:rsidRPr="0021033E" w:rsidRDefault="008D372B" w:rsidP="00536D56">
      <w:pPr>
        <w:spacing w:before="240" w:line="276" w:lineRule="auto"/>
        <w:jc w:val="both"/>
        <w:rPr>
          <w:rFonts w:ascii="Times New Roman" w:hAnsi="Times New Roman" w:cs="Times New Roman"/>
        </w:rPr>
      </w:pPr>
      <w:r w:rsidRPr="0021033E">
        <w:rPr>
          <w:rFonts w:ascii="Times New Roman" w:hAnsi="Times New Roman" w:cs="Times New Roman"/>
        </w:rPr>
        <w:t>Contoh:</w:t>
      </w:r>
    </w:p>
    <w:p w14:paraId="1C0BE195" w14:textId="77777777" w:rsidR="008D372B" w:rsidRPr="0021033E" w:rsidRDefault="008D372B" w:rsidP="009174A7">
      <w:pPr>
        <w:pStyle w:val="ListParagraph"/>
        <w:numPr>
          <w:ilvl w:val="0"/>
          <w:numId w:val="85"/>
        </w:numPr>
        <w:spacing w:line="240" w:lineRule="auto"/>
        <w:jc w:val="both"/>
        <w:rPr>
          <w:rFonts w:ascii="Traditional Arabic" w:hAnsi="Traditional Arabic" w:cs="Traditional Arabic"/>
        </w:rPr>
      </w:pPr>
      <w:r w:rsidRPr="0021033E">
        <w:rPr>
          <w:rFonts w:ascii="Traditional Arabic" w:hAnsi="Traditional Arabic" w:cs="Traditional Arabic"/>
          <w:rtl/>
        </w:rPr>
        <w:t>قَالَ</w:t>
      </w:r>
      <w:r w:rsidRPr="0021033E">
        <w:rPr>
          <w:rFonts w:ascii="Traditional Arabic" w:hAnsi="Traditional Arabic" w:cs="Traditional Arabic"/>
        </w:rPr>
        <w:t xml:space="preserve"> </w:t>
      </w:r>
      <w:r w:rsidRPr="0021033E">
        <w:rPr>
          <w:rFonts w:ascii="Traditional Arabic" w:hAnsi="Traditional Arabic" w:cs="Traditional Arabic"/>
        </w:rPr>
        <w:tab/>
      </w:r>
      <w:r w:rsidRPr="0021033E">
        <w:rPr>
          <w:rFonts w:ascii="Times New Roman" w:hAnsi="Times New Roman" w:cs="Times New Roman"/>
        </w:rPr>
        <w:t>qāla</w:t>
      </w:r>
    </w:p>
    <w:p w14:paraId="0ED9CE20" w14:textId="77777777" w:rsidR="008D372B" w:rsidRPr="0021033E" w:rsidRDefault="008D372B" w:rsidP="009174A7">
      <w:pPr>
        <w:pStyle w:val="ListParagraph"/>
        <w:numPr>
          <w:ilvl w:val="0"/>
          <w:numId w:val="85"/>
        </w:numPr>
        <w:spacing w:line="240" w:lineRule="auto"/>
        <w:jc w:val="both"/>
        <w:rPr>
          <w:rFonts w:ascii="Times New Roman" w:hAnsi="Times New Roman" w:cs="Times New Roman"/>
        </w:rPr>
      </w:pPr>
      <w:r w:rsidRPr="0021033E">
        <w:rPr>
          <w:rFonts w:ascii="Traditional Arabic" w:hAnsi="Traditional Arabic" w:cs="Traditional Arabic"/>
          <w:rtl/>
        </w:rPr>
        <w:t>رَمَى</w:t>
      </w:r>
      <w:r w:rsidRPr="0021033E">
        <w:rPr>
          <w:rFonts w:ascii="Traditional Arabic" w:hAnsi="Traditional Arabic" w:cs="Traditional Arabic"/>
        </w:rPr>
        <w:t xml:space="preserve"> </w:t>
      </w:r>
      <w:r w:rsidRPr="0021033E">
        <w:rPr>
          <w:rFonts w:ascii="Traditional Arabic" w:hAnsi="Traditional Arabic" w:cs="Traditional Arabic"/>
        </w:rPr>
        <w:tab/>
      </w:r>
      <w:r w:rsidRPr="0021033E">
        <w:rPr>
          <w:rFonts w:ascii="Times New Roman" w:hAnsi="Times New Roman" w:cs="Times New Roman"/>
        </w:rPr>
        <w:t>ramā</w:t>
      </w:r>
    </w:p>
    <w:p w14:paraId="54C54F8E" w14:textId="77777777" w:rsidR="008D372B" w:rsidRPr="008E0248" w:rsidRDefault="008D372B" w:rsidP="008E0248">
      <w:pPr>
        <w:pStyle w:val="ListParagraph"/>
        <w:numPr>
          <w:ilvl w:val="0"/>
          <w:numId w:val="85"/>
        </w:numPr>
        <w:spacing w:line="240" w:lineRule="auto"/>
        <w:jc w:val="both"/>
        <w:rPr>
          <w:rFonts w:ascii="Traditional Arabic" w:hAnsi="Traditional Arabic" w:cs="Traditional Arabic"/>
        </w:rPr>
      </w:pPr>
      <w:r w:rsidRPr="0021033E">
        <w:rPr>
          <w:rFonts w:ascii="Traditional Arabic" w:hAnsi="Traditional Arabic" w:cs="Traditional Arabic"/>
          <w:rtl/>
        </w:rPr>
        <w:t>قِيْلَ</w:t>
      </w:r>
      <w:r w:rsidRPr="0021033E">
        <w:rPr>
          <w:rFonts w:ascii="Traditional Arabic" w:hAnsi="Traditional Arabic" w:cs="Traditional Arabic"/>
        </w:rPr>
        <w:t xml:space="preserve"> </w:t>
      </w:r>
      <w:r w:rsidRPr="0021033E">
        <w:rPr>
          <w:rFonts w:ascii="Traditional Arabic" w:hAnsi="Traditional Arabic" w:cs="Traditional Arabic"/>
        </w:rPr>
        <w:tab/>
      </w:r>
      <w:r w:rsidRPr="0021033E">
        <w:rPr>
          <w:rFonts w:ascii="Times New Roman" w:hAnsi="Times New Roman" w:cs="Times New Roman"/>
        </w:rPr>
        <w:t>qīla</w:t>
      </w:r>
    </w:p>
    <w:p w14:paraId="228781B6" w14:textId="77777777" w:rsidR="00387109" w:rsidRDefault="008D372B" w:rsidP="00387109">
      <w:pPr>
        <w:pStyle w:val="ListParagraph"/>
        <w:numPr>
          <w:ilvl w:val="0"/>
          <w:numId w:val="83"/>
        </w:numPr>
        <w:spacing w:line="276" w:lineRule="auto"/>
        <w:ind w:left="360"/>
        <w:jc w:val="both"/>
        <w:rPr>
          <w:rFonts w:ascii="Times New Roman" w:hAnsi="Times New Roman" w:cs="Times New Roman"/>
          <w:b/>
          <w:bCs/>
        </w:rPr>
      </w:pPr>
      <w:r w:rsidRPr="0021033E">
        <w:rPr>
          <w:rFonts w:ascii="Times New Roman" w:hAnsi="Times New Roman" w:cs="Times New Roman"/>
          <w:b/>
          <w:bCs/>
        </w:rPr>
        <w:t>Ta’ Marbutah</w:t>
      </w:r>
    </w:p>
    <w:p w14:paraId="34A3F461" w14:textId="29B86856" w:rsidR="008D372B" w:rsidRPr="00387109" w:rsidRDefault="008D372B" w:rsidP="00387109">
      <w:pPr>
        <w:pStyle w:val="ListParagraph"/>
        <w:spacing w:line="276" w:lineRule="auto"/>
        <w:ind w:left="360" w:firstLine="349"/>
        <w:jc w:val="both"/>
        <w:rPr>
          <w:rFonts w:ascii="Times New Roman" w:hAnsi="Times New Roman" w:cs="Times New Roman"/>
          <w:b/>
          <w:bCs/>
        </w:rPr>
      </w:pPr>
      <w:r w:rsidRPr="00387109">
        <w:rPr>
          <w:rFonts w:ascii="Times New Roman" w:hAnsi="Times New Roman" w:cs="Times New Roman"/>
        </w:rPr>
        <w:t>Transliterasi untuk ta’ marbutah ada dua, yaitu:</w:t>
      </w:r>
    </w:p>
    <w:p w14:paraId="10E3061B" w14:textId="77777777" w:rsidR="008D372B" w:rsidRPr="0021033E" w:rsidRDefault="008D372B" w:rsidP="008E0248">
      <w:pPr>
        <w:pStyle w:val="ListParagraph"/>
        <w:numPr>
          <w:ilvl w:val="0"/>
          <w:numId w:val="86"/>
        </w:numPr>
        <w:spacing w:line="276" w:lineRule="auto"/>
        <w:ind w:left="709"/>
        <w:jc w:val="both"/>
        <w:rPr>
          <w:rFonts w:ascii="Times New Roman" w:hAnsi="Times New Roman" w:cs="Times New Roman"/>
        </w:rPr>
      </w:pPr>
      <w:r w:rsidRPr="0021033E">
        <w:rPr>
          <w:rFonts w:ascii="Times New Roman" w:hAnsi="Times New Roman" w:cs="Times New Roman"/>
        </w:rPr>
        <w:t>Ta’ marbutah</w:t>
      </w:r>
      <w:r w:rsidRPr="0021033E">
        <w:rPr>
          <w:rFonts w:ascii="Times New Roman" w:hAnsi="Times New Roman" w:cs="Times New Roman"/>
          <w:i/>
          <w:iCs/>
        </w:rPr>
        <w:t xml:space="preserve"> </w:t>
      </w:r>
      <w:r w:rsidRPr="0021033E">
        <w:rPr>
          <w:rFonts w:ascii="Times New Roman" w:hAnsi="Times New Roman" w:cs="Times New Roman"/>
        </w:rPr>
        <w:t>hidup</w:t>
      </w:r>
    </w:p>
    <w:p w14:paraId="706DFD9E" w14:textId="77777777" w:rsidR="008D372B" w:rsidRPr="0021033E" w:rsidRDefault="008D372B" w:rsidP="008E0248">
      <w:pPr>
        <w:pStyle w:val="ListParagraph"/>
        <w:spacing w:line="276" w:lineRule="auto"/>
        <w:ind w:left="709"/>
        <w:jc w:val="both"/>
        <w:rPr>
          <w:rFonts w:ascii="Times New Roman" w:hAnsi="Times New Roman" w:cs="Times New Roman"/>
        </w:rPr>
      </w:pPr>
      <w:r w:rsidRPr="0021033E">
        <w:rPr>
          <w:rFonts w:ascii="Times New Roman" w:hAnsi="Times New Roman" w:cs="Times New Roman"/>
        </w:rPr>
        <w:t>Ta’ marbutah</w:t>
      </w:r>
      <w:r w:rsidRPr="0021033E">
        <w:rPr>
          <w:rFonts w:ascii="Times New Roman" w:hAnsi="Times New Roman" w:cs="Times New Roman"/>
          <w:i/>
          <w:iCs/>
        </w:rPr>
        <w:t xml:space="preserve"> </w:t>
      </w:r>
      <w:r w:rsidRPr="0021033E">
        <w:rPr>
          <w:rFonts w:ascii="Times New Roman" w:hAnsi="Times New Roman" w:cs="Times New Roman"/>
        </w:rPr>
        <w:t>hidup atau yang mendapat harakat fathah, kasrah, dan dammah, transliterasinya adalah “t”.</w:t>
      </w:r>
    </w:p>
    <w:p w14:paraId="46A77F00" w14:textId="77777777" w:rsidR="008D372B" w:rsidRPr="0021033E" w:rsidRDefault="008D372B" w:rsidP="008E0248">
      <w:pPr>
        <w:pStyle w:val="ListParagraph"/>
        <w:numPr>
          <w:ilvl w:val="0"/>
          <w:numId w:val="86"/>
        </w:numPr>
        <w:spacing w:line="276" w:lineRule="auto"/>
        <w:ind w:left="709"/>
        <w:jc w:val="both"/>
        <w:rPr>
          <w:rFonts w:ascii="Times New Roman" w:hAnsi="Times New Roman" w:cs="Times New Roman"/>
        </w:rPr>
      </w:pPr>
      <w:r w:rsidRPr="0021033E">
        <w:rPr>
          <w:rFonts w:ascii="Times New Roman" w:hAnsi="Times New Roman" w:cs="Times New Roman"/>
        </w:rPr>
        <w:t>Ta’ marbutah mati</w:t>
      </w:r>
    </w:p>
    <w:p w14:paraId="22BFEC5B" w14:textId="77777777" w:rsidR="008D372B" w:rsidRPr="0021033E" w:rsidRDefault="008D372B" w:rsidP="008E0248">
      <w:pPr>
        <w:pStyle w:val="ListParagraph"/>
        <w:spacing w:line="276" w:lineRule="auto"/>
        <w:ind w:left="709"/>
        <w:jc w:val="both"/>
        <w:rPr>
          <w:rFonts w:ascii="Times New Roman" w:hAnsi="Times New Roman" w:cs="Times New Roman"/>
        </w:rPr>
      </w:pPr>
      <w:r w:rsidRPr="0021033E">
        <w:rPr>
          <w:rFonts w:ascii="Times New Roman" w:hAnsi="Times New Roman" w:cs="Times New Roman"/>
        </w:rPr>
        <w:t>Ta’ marbutah mati atau yang mendapat harakat sukun, transliterasinya adalah “h”.</w:t>
      </w:r>
    </w:p>
    <w:p w14:paraId="37DB323B" w14:textId="77777777" w:rsidR="008D372B" w:rsidRPr="0021033E" w:rsidRDefault="008D372B" w:rsidP="008E0248">
      <w:pPr>
        <w:pStyle w:val="ListParagraph"/>
        <w:numPr>
          <w:ilvl w:val="0"/>
          <w:numId w:val="86"/>
        </w:numPr>
        <w:spacing w:line="276" w:lineRule="auto"/>
        <w:ind w:left="709"/>
        <w:jc w:val="both"/>
        <w:rPr>
          <w:rFonts w:ascii="Times New Roman" w:hAnsi="Times New Roman" w:cs="Times New Roman"/>
        </w:rPr>
      </w:pPr>
      <w:r w:rsidRPr="0021033E">
        <w:rPr>
          <w:rFonts w:ascii="Times New Roman" w:hAnsi="Times New Roman" w:cs="Times New Roman"/>
        </w:rPr>
        <w:t xml:space="preserve">Kalau pada kata terakhir dengan ta’ marbutah diikuti oleh kata yang menggunakan kata sandang </w:t>
      </w:r>
      <w:r w:rsidRPr="0021033E">
        <w:rPr>
          <w:rFonts w:ascii="Times New Roman" w:hAnsi="Times New Roman" w:cs="Times New Roman"/>
          <w:i/>
          <w:iCs/>
        </w:rPr>
        <w:t xml:space="preserve">al </w:t>
      </w:r>
      <w:r w:rsidRPr="0021033E">
        <w:rPr>
          <w:rFonts w:ascii="Times New Roman" w:hAnsi="Times New Roman" w:cs="Times New Roman"/>
        </w:rPr>
        <w:t>serta bacaan kedua kata itu terpisah, maka ta’ marbutah itu ditransliterasikan dengan “h”.</w:t>
      </w:r>
    </w:p>
    <w:p w14:paraId="6F22CCBC" w14:textId="77777777" w:rsidR="008D372B" w:rsidRPr="0021033E" w:rsidRDefault="008D372B" w:rsidP="00536D56">
      <w:pPr>
        <w:spacing w:line="276" w:lineRule="auto"/>
        <w:jc w:val="both"/>
        <w:rPr>
          <w:rFonts w:ascii="Times New Roman" w:hAnsi="Times New Roman" w:cs="Times New Roman"/>
        </w:rPr>
      </w:pPr>
      <w:r w:rsidRPr="0021033E">
        <w:rPr>
          <w:rFonts w:ascii="Times New Roman" w:hAnsi="Times New Roman" w:cs="Times New Roman"/>
        </w:rPr>
        <w:t>Contoh:</w:t>
      </w:r>
    </w:p>
    <w:p w14:paraId="25153731" w14:textId="77777777" w:rsidR="008D372B" w:rsidRPr="0021033E" w:rsidRDefault="008D372B" w:rsidP="009174A7">
      <w:pPr>
        <w:pStyle w:val="ListParagraph"/>
        <w:numPr>
          <w:ilvl w:val="0"/>
          <w:numId w:val="85"/>
        </w:numPr>
        <w:spacing w:line="240" w:lineRule="auto"/>
        <w:jc w:val="both"/>
        <w:rPr>
          <w:rFonts w:ascii="Times New Roman" w:hAnsi="Times New Roman" w:cs="Times New Roman"/>
        </w:rPr>
      </w:pPr>
      <w:r w:rsidRPr="0021033E">
        <w:rPr>
          <w:rFonts w:ascii="Traditional Arabic" w:hAnsi="Traditional Arabic" w:cs="Traditional Arabic"/>
          <w:rtl/>
        </w:rPr>
        <w:t>رَؤْضَةُ ا</w:t>
      </w:r>
      <w:r w:rsidRPr="0021033E">
        <w:rPr>
          <w:rFonts w:ascii="Traditional Arabic" w:hAnsi="Traditional Arabic" w:cs="Traditional Arabic" w:hint="cs"/>
          <w:rtl/>
        </w:rPr>
        <w:t>لأَ</w:t>
      </w:r>
      <w:r w:rsidRPr="0021033E">
        <w:rPr>
          <w:rFonts w:ascii="Traditional Arabic" w:hAnsi="Traditional Arabic" w:cs="Traditional Arabic"/>
          <w:rtl/>
        </w:rPr>
        <w:t>طْفَالِ</w:t>
      </w:r>
      <w:r w:rsidRPr="0021033E">
        <w:rPr>
          <w:rFonts w:ascii="Times New Roman" w:hAnsi="Times New Roman" w:cs="Times New Roman"/>
        </w:rPr>
        <w:t xml:space="preserve"> </w:t>
      </w:r>
      <w:r w:rsidRPr="0021033E">
        <w:rPr>
          <w:rFonts w:ascii="Times New Roman" w:hAnsi="Times New Roman" w:cs="Times New Roman"/>
        </w:rPr>
        <w:tab/>
        <w:t>raudah al-atfāl/raudahtul atfāl</w:t>
      </w:r>
    </w:p>
    <w:p w14:paraId="39F3260C" w14:textId="77777777" w:rsidR="008D372B" w:rsidRPr="0021033E" w:rsidRDefault="008D372B" w:rsidP="009174A7">
      <w:pPr>
        <w:pStyle w:val="ListParagraph"/>
        <w:numPr>
          <w:ilvl w:val="0"/>
          <w:numId w:val="85"/>
        </w:numPr>
        <w:spacing w:line="240" w:lineRule="auto"/>
        <w:jc w:val="both"/>
        <w:rPr>
          <w:rFonts w:ascii="Times New Roman" w:hAnsi="Times New Roman" w:cs="Times New Roman"/>
        </w:rPr>
      </w:pPr>
      <w:r w:rsidRPr="0021033E">
        <w:rPr>
          <w:rFonts w:ascii="Traditional Arabic" w:hAnsi="Traditional Arabic" w:cs="Traditional Arabic"/>
          <w:rtl/>
        </w:rPr>
        <w:t>الْمَدِيْنَةُ الْمُنَوَّرَةُ</w:t>
      </w:r>
      <w:r w:rsidRPr="0021033E">
        <w:rPr>
          <w:rFonts w:ascii="Times New Roman" w:hAnsi="Times New Roman" w:cs="Times New Roman"/>
        </w:rPr>
        <w:t xml:space="preserve"> </w:t>
      </w:r>
      <w:r w:rsidRPr="0021033E">
        <w:rPr>
          <w:rFonts w:ascii="Times New Roman" w:hAnsi="Times New Roman" w:cs="Times New Roman"/>
        </w:rPr>
        <w:tab/>
        <w:t>al-madīnah al-munawwarah</w:t>
      </w:r>
    </w:p>
    <w:p w14:paraId="1D39F688" w14:textId="77777777" w:rsidR="00387109" w:rsidRDefault="008D372B" w:rsidP="00387109">
      <w:pPr>
        <w:pStyle w:val="ListParagraph"/>
        <w:numPr>
          <w:ilvl w:val="0"/>
          <w:numId w:val="83"/>
        </w:numPr>
        <w:spacing w:line="276" w:lineRule="auto"/>
        <w:ind w:left="360"/>
        <w:jc w:val="both"/>
        <w:rPr>
          <w:rFonts w:ascii="Times New Roman" w:hAnsi="Times New Roman" w:cs="Times New Roman"/>
          <w:b/>
          <w:bCs/>
        </w:rPr>
      </w:pPr>
      <w:r w:rsidRPr="0021033E">
        <w:rPr>
          <w:rFonts w:ascii="Times New Roman" w:hAnsi="Times New Roman" w:cs="Times New Roman"/>
          <w:b/>
          <w:bCs/>
        </w:rPr>
        <w:t>Syaddah (Tasydid)</w:t>
      </w:r>
    </w:p>
    <w:p w14:paraId="4BBDA8F6" w14:textId="1D714392" w:rsidR="008D372B" w:rsidRPr="00387109" w:rsidRDefault="008D372B" w:rsidP="00387109">
      <w:pPr>
        <w:pStyle w:val="ListParagraph"/>
        <w:spacing w:line="276" w:lineRule="auto"/>
        <w:ind w:left="360" w:firstLine="360"/>
        <w:jc w:val="both"/>
        <w:rPr>
          <w:rFonts w:ascii="Times New Roman" w:hAnsi="Times New Roman" w:cs="Times New Roman"/>
          <w:b/>
          <w:bCs/>
        </w:rPr>
      </w:pPr>
      <w:r w:rsidRPr="00387109">
        <w:rPr>
          <w:rFonts w:ascii="Times New Roman" w:hAnsi="Times New Roman" w:cs="Times New Roman"/>
        </w:rPr>
        <w:t>Syaddah atau tasydid yang dalam tulisan Arab dilambangkan dengan sebuah tanda, tanda syaddah atau tanda tasydid, ditransliterasikan dengan huruf, yaitu huruf yang sama dengan huruf yang diberi tanda syaddah itu.</w:t>
      </w:r>
    </w:p>
    <w:p w14:paraId="4607B41E" w14:textId="77777777" w:rsidR="008D372B" w:rsidRPr="0021033E" w:rsidRDefault="008D372B" w:rsidP="00536D56">
      <w:pPr>
        <w:spacing w:line="276" w:lineRule="auto"/>
        <w:jc w:val="both"/>
        <w:rPr>
          <w:rFonts w:ascii="Times New Roman" w:hAnsi="Times New Roman" w:cs="Times New Roman"/>
        </w:rPr>
      </w:pPr>
      <w:r w:rsidRPr="0021033E">
        <w:rPr>
          <w:rFonts w:ascii="Times New Roman" w:hAnsi="Times New Roman" w:cs="Times New Roman"/>
        </w:rPr>
        <w:t>Contoh:</w:t>
      </w:r>
    </w:p>
    <w:p w14:paraId="3095B911" w14:textId="77777777" w:rsidR="008D372B" w:rsidRPr="0021033E" w:rsidRDefault="008D372B" w:rsidP="009174A7">
      <w:pPr>
        <w:pStyle w:val="ListParagraph"/>
        <w:numPr>
          <w:ilvl w:val="0"/>
          <w:numId w:val="85"/>
        </w:numPr>
        <w:spacing w:line="240" w:lineRule="auto"/>
        <w:jc w:val="both"/>
        <w:rPr>
          <w:rFonts w:ascii="Times New Roman" w:hAnsi="Times New Roman" w:cs="Times New Roman"/>
        </w:rPr>
      </w:pPr>
      <w:r w:rsidRPr="0021033E">
        <w:rPr>
          <w:rFonts w:ascii="Traditional Arabic" w:hAnsi="Traditional Arabic" w:cs="Traditional Arabic"/>
          <w:rtl/>
        </w:rPr>
        <w:lastRenderedPageBreak/>
        <w:t>نَزَّلَ</w:t>
      </w:r>
      <w:r w:rsidRPr="0021033E">
        <w:rPr>
          <w:rFonts w:ascii="Traditional Arabic" w:hAnsi="Traditional Arabic" w:cs="Traditional Arabic"/>
        </w:rPr>
        <w:t xml:space="preserve"> </w:t>
      </w:r>
      <w:r w:rsidRPr="0021033E">
        <w:rPr>
          <w:rFonts w:ascii="Times New Roman" w:hAnsi="Times New Roman" w:cs="Times New Roman"/>
        </w:rPr>
        <w:tab/>
        <w:t>nazzala</w:t>
      </w:r>
    </w:p>
    <w:p w14:paraId="7AE996AA" w14:textId="77777777" w:rsidR="008D372B" w:rsidRPr="0021033E" w:rsidRDefault="008D372B" w:rsidP="009174A7">
      <w:pPr>
        <w:pStyle w:val="ListParagraph"/>
        <w:numPr>
          <w:ilvl w:val="0"/>
          <w:numId w:val="85"/>
        </w:numPr>
        <w:spacing w:line="240" w:lineRule="auto"/>
        <w:jc w:val="both"/>
        <w:rPr>
          <w:rFonts w:ascii="Times New Roman" w:hAnsi="Times New Roman" w:cs="Times New Roman"/>
        </w:rPr>
      </w:pPr>
      <w:r w:rsidRPr="0021033E">
        <w:rPr>
          <w:rFonts w:ascii="Traditional Arabic" w:hAnsi="Traditional Arabic" w:cs="Traditional Arabic"/>
          <w:rtl/>
        </w:rPr>
        <w:t>البِرُّ</w:t>
      </w:r>
      <w:r w:rsidRPr="0021033E">
        <w:rPr>
          <w:rFonts w:ascii="Traditional Arabic" w:hAnsi="Traditional Arabic" w:cs="Traditional Arabic"/>
        </w:rPr>
        <w:t xml:space="preserve"> </w:t>
      </w:r>
      <w:r w:rsidRPr="0021033E">
        <w:rPr>
          <w:rFonts w:ascii="Traditional Arabic" w:hAnsi="Traditional Arabic" w:cs="Traditional Arabic"/>
        </w:rPr>
        <w:tab/>
      </w:r>
      <w:r w:rsidRPr="0021033E">
        <w:rPr>
          <w:rFonts w:ascii="Times New Roman" w:hAnsi="Times New Roman" w:cs="Times New Roman"/>
        </w:rPr>
        <w:t>al-birr</w:t>
      </w:r>
    </w:p>
    <w:p w14:paraId="141F1E04" w14:textId="77777777" w:rsidR="00387109" w:rsidRDefault="008D372B" w:rsidP="00387109">
      <w:pPr>
        <w:pStyle w:val="ListParagraph"/>
        <w:numPr>
          <w:ilvl w:val="0"/>
          <w:numId w:val="83"/>
        </w:numPr>
        <w:spacing w:line="276" w:lineRule="auto"/>
        <w:ind w:left="360"/>
        <w:jc w:val="both"/>
        <w:rPr>
          <w:rFonts w:ascii="Times New Roman" w:hAnsi="Times New Roman" w:cs="Times New Roman"/>
          <w:b/>
          <w:bCs/>
        </w:rPr>
      </w:pPr>
      <w:r w:rsidRPr="0021033E">
        <w:rPr>
          <w:rFonts w:ascii="Times New Roman" w:hAnsi="Times New Roman" w:cs="Times New Roman"/>
          <w:b/>
          <w:bCs/>
        </w:rPr>
        <w:t>Kata Sandang</w:t>
      </w:r>
    </w:p>
    <w:p w14:paraId="0EB9395C" w14:textId="086B36B9" w:rsidR="008D372B" w:rsidRPr="00387109" w:rsidRDefault="008D372B" w:rsidP="00387109">
      <w:pPr>
        <w:pStyle w:val="ListParagraph"/>
        <w:spacing w:line="276" w:lineRule="auto"/>
        <w:ind w:left="360" w:firstLine="349"/>
        <w:jc w:val="both"/>
        <w:rPr>
          <w:rFonts w:ascii="Times New Roman" w:hAnsi="Times New Roman" w:cs="Times New Roman"/>
          <w:b/>
          <w:bCs/>
        </w:rPr>
      </w:pPr>
      <w:r w:rsidRPr="00387109">
        <w:rPr>
          <w:rFonts w:ascii="Times New Roman" w:hAnsi="Times New Roman" w:cs="Times New Roman"/>
        </w:rPr>
        <w:t xml:space="preserve">Kata sandang dalam sistem tulisan Arab dilambangkan dengan huruf, yaitu </w:t>
      </w:r>
      <w:r w:rsidRPr="00387109">
        <w:rPr>
          <w:rFonts w:ascii="Times New Roman" w:hAnsi="Times New Roman" w:cs="Times New Roman" w:hint="cs"/>
          <w:rtl/>
        </w:rPr>
        <w:t>ال</w:t>
      </w:r>
      <w:r w:rsidRPr="00387109">
        <w:rPr>
          <w:rFonts w:ascii="Times New Roman" w:hAnsi="Times New Roman" w:cs="Times New Roman"/>
        </w:rPr>
        <w:t>, namun dalam transliterasi ini kata sandang itu dibedakan atas:</w:t>
      </w:r>
    </w:p>
    <w:p w14:paraId="72DA36FD" w14:textId="77777777" w:rsidR="008D372B" w:rsidRPr="0021033E" w:rsidRDefault="008D372B" w:rsidP="00CE3567">
      <w:pPr>
        <w:pStyle w:val="ListParagraph"/>
        <w:numPr>
          <w:ilvl w:val="0"/>
          <w:numId w:val="87"/>
        </w:numPr>
        <w:spacing w:line="276" w:lineRule="auto"/>
        <w:ind w:left="709"/>
        <w:jc w:val="both"/>
        <w:rPr>
          <w:rFonts w:ascii="Times New Roman" w:hAnsi="Times New Roman" w:cs="Times New Roman"/>
        </w:rPr>
      </w:pPr>
      <w:r w:rsidRPr="0021033E">
        <w:rPr>
          <w:rFonts w:ascii="Times New Roman" w:hAnsi="Times New Roman" w:cs="Times New Roman"/>
        </w:rPr>
        <w:t>Kata sandang yang diikuti huruf syamsiyah</w:t>
      </w:r>
    </w:p>
    <w:p w14:paraId="387C8D6F" w14:textId="77777777" w:rsidR="008D372B" w:rsidRPr="0021033E" w:rsidRDefault="008D372B" w:rsidP="00CE3567">
      <w:pPr>
        <w:pStyle w:val="ListParagraph"/>
        <w:spacing w:line="276" w:lineRule="auto"/>
        <w:ind w:left="709"/>
        <w:jc w:val="both"/>
        <w:rPr>
          <w:rFonts w:ascii="Times New Roman" w:hAnsi="Times New Roman" w:cs="Times New Roman"/>
        </w:rPr>
      </w:pPr>
      <w:r w:rsidRPr="0021033E">
        <w:rPr>
          <w:rFonts w:ascii="Times New Roman" w:hAnsi="Times New Roman" w:cs="Times New Roman"/>
        </w:rPr>
        <w:t>Kata sandang yang diikuti oleh huruf syamsiyah ditransliterasikan sesuai dengan bunyinya, yaitu huruf “l” diganti dengan huruf yang langsung mengikuti kata sandang itu.</w:t>
      </w:r>
    </w:p>
    <w:p w14:paraId="1D4AA92D" w14:textId="77777777" w:rsidR="008D372B" w:rsidRPr="0021033E" w:rsidRDefault="008D372B" w:rsidP="00CE3567">
      <w:pPr>
        <w:pStyle w:val="ListParagraph"/>
        <w:numPr>
          <w:ilvl w:val="0"/>
          <w:numId w:val="87"/>
        </w:numPr>
        <w:spacing w:line="276" w:lineRule="auto"/>
        <w:ind w:left="709"/>
        <w:jc w:val="both"/>
        <w:rPr>
          <w:rFonts w:ascii="Times New Roman" w:hAnsi="Times New Roman" w:cs="Times New Roman"/>
        </w:rPr>
      </w:pPr>
      <w:r w:rsidRPr="0021033E">
        <w:rPr>
          <w:rFonts w:ascii="Times New Roman" w:hAnsi="Times New Roman" w:cs="Times New Roman"/>
        </w:rPr>
        <w:t>Kata sandang yang diikuti huruf qamariyah</w:t>
      </w:r>
    </w:p>
    <w:p w14:paraId="6D2849F8" w14:textId="60D0B32D" w:rsidR="00387109" w:rsidRPr="00387109" w:rsidRDefault="008D372B" w:rsidP="00387109">
      <w:pPr>
        <w:pStyle w:val="ListParagraph"/>
        <w:spacing w:line="276" w:lineRule="auto"/>
        <w:ind w:left="709"/>
        <w:jc w:val="both"/>
        <w:rPr>
          <w:rFonts w:ascii="Times New Roman" w:hAnsi="Times New Roman" w:cs="Times New Roman"/>
        </w:rPr>
      </w:pPr>
      <w:r w:rsidRPr="0021033E">
        <w:rPr>
          <w:rFonts w:ascii="Times New Roman" w:hAnsi="Times New Roman" w:cs="Times New Roman"/>
        </w:rPr>
        <w:t>Kata sandang yang diikuti oleh huruf qamariyah ditransliterasikan dengan sesuai dengan aturan yang</w:t>
      </w:r>
      <w:r w:rsidR="00387109">
        <w:rPr>
          <w:rFonts w:ascii="Times New Roman" w:hAnsi="Times New Roman" w:cs="Times New Roman"/>
        </w:rPr>
        <w:t xml:space="preserve"> </w:t>
      </w:r>
      <w:r w:rsidRPr="0021033E">
        <w:rPr>
          <w:rFonts w:ascii="Times New Roman" w:hAnsi="Times New Roman" w:cs="Times New Roman"/>
        </w:rPr>
        <w:t>digariskan di depan dan sesuai dengan bunyinya.</w:t>
      </w:r>
    </w:p>
    <w:p w14:paraId="0D909E59" w14:textId="34F66FB5" w:rsidR="008D372B" w:rsidRPr="00387109" w:rsidRDefault="008D372B" w:rsidP="00387109">
      <w:pPr>
        <w:pStyle w:val="ListParagraph"/>
        <w:spacing w:line="276" w:lineRule="auto"/>
        <w:ind w:left="360" w:firstLine="349"/>
        <w:jc w:val="both"/>
        <w:rPr>
          <w:rFonts w:ascii="Times New Roman" w:hAnsi="Times New Roman" w:cs="Times New Roman"/>
        </w:rPr>
      </w:pPr>
      <w:r w:rsidRPr="00387109">
        <w:rPr>
          <w:rFonts w:ascii="Times New Roman" w:hAnsi="Times New Roman" w:cs="Times New Roman"/>
        </w:rPr>
        <w:t>Baik diikuti oleh huruf syamsiyah maupun qamariyah, kata sandang ditulis terpisah dari kata yang mengikuti dan dihubungkan dengan tanpa sempang.</w:t>
      </w:r>
    </w:p>
    <w:p w14:paraId="001774FB" w14:textId="77777777" w:rsidR="008D372B" w:rsidRPr="0021033E" w:rsidRDefault="008D372B" w:rsidP="00D44043">
      <w:pPr>
        <w:spacing w:line="276" w:lineRule="auto"/>
        <w:jc w:val="both"/>
        <w:rPr>
          <w:rFonts w:ascii="Times New Roman" w:hAnsi="Times New Roman" w:cs="Times New Roman"/>
        </w:rPr>
      </w:pPr>
      <w:r w:rsidRPr="0021033E">
        <w:rPr>
          <w:rFonts w:ascii="Times New Roman" w:hAnsi="Times New Roman" w:cs="Times New Roman"/>
        </w:rPr>
        <w:t>Contoh:</w:t>
      </w:r>
    </w:p>
    <w:p w14:paraId="1EEF80F3" w14:textId="77777777" w:rsidR="008D372B" w:rsidRPr="0021033E" w:rsidRDefault="008D372B" w:rsidP="009174A7">
      <w:pPr>
        <w:pStyle w:val="ListParagraph"/>
        <w:numPr>
          <w:ilvl w:val="0"/>
          <w:numId w:val="85"/>
        </w:numPr>
        <w:spacing w:line="240" w:lineRule="auto"/>
        <w:jc w:val="both"/>
        <w:rPr>
          <w:rFonts w:ascii="Times New Roman" w:hAnsi="Times New Roman" w:cs="Times New Roman"/>
        </w:rPr>
      </w:pPr>
      <w:r w:rsidRPr="0021033E">
        <w:rPr>
          <w:rFonts w:ascii="Traditional Arabic" w:hAnsi="Traditional Arabic" w:cs="Traditional Arabic"/>
          <w:rtl/>
        </w:rPr>
        <w:t>الرَّجُلُ</w:t>
      </w:r>
      <w:r w:rsidRPr="0021033E">
        <w:rPr>
          <w:rFonts w:ascii="Times New Roman" w:hAnsi="Times New Roman" w:cs="Times New Roman"/>
        </w:rPr>
        <w:t xml:space="preserve"> </w:t>
      </w:r>
      <w:r w:rsidRPr="0021033E">
        <w:rPr>
          <w:rFonts w:ascii="Times New Roman" w:hAnsi="Times New Roman" w:cs="Times New Roman"/>
        </w:rPr>
        <w:tab/>
        <w:t>ar-rajulu</w:t>
      </w:r>
    </w:p>
    <w:p w14:paraId="6532B3DB" w14:textId="77777777" w:rsidR="008D372B" w:rsidRPr="0021033E" w:rsidRDefault="008D372B" w:rsidP="009174A7">
      <w:pPr>
        <w:pStyle w:val="ListParagraph"/>
        <w:numPr>
          <w:ilvl w:val="0"/>
          <w:numId w:val="85"/>
        </w:numPr>
        <w:spacing w:line="240" w:lineRule="auto"/>
        <w:jc w:val="both"/>
        <w:rPr>
          <w:rFonts w:ascii="Times New Roman" w:hAnsi="Times New Roman" w:cs="Times New Roman"/>
        </w:rPr>
      </w:pPr>
      <w:r w:rsidRPr="0021033E">
        <w:rPr>
          <w:rFonts w:ascii="Traditional Arabic" w:hAnsi="Traditional Arabic" w:cs="Traditional Arabic"/>
          <w:rtl/>
        </w:rPr>
        <w:t>الْقَلَمُ</w:t>
      </w:r>
      <w:r w:rsidRPr="0021033E">
        <w:rPr>
          <w:rFonts w:ascii="Times New Roman" w:hAnsi="Times New Roman" w:cs="Times New Roman"/>
        </w:rPr>
        <w:tab/>
        <w:t>al-qalamu</w:t>
      </w:r>
    </w:p>
    <w:p w14:paraId="1EB5750E" w14:textId="77777777" w:rsidR="00387109" w:rsidRDefault="008D372B" w:rsidP="00387109">
      <w:pPr>
        <w:pStyle w:val="ListParagraph"/>
        <w:numPr>
          <w:ilvl w:val="0"/>
          <w:numId w:val="83"/>
        </w:numPr>
        <w:spacing w:line="276" w:lineRule="auto"/>
        <w:ind w:left="360"/>
        <w:jc w:val="both"/>
        <w:rPr>
          <w:rFonts w:ascii="Times New Roman" w:hAnsi="Times New Roman" w:cs="Times New Roman"/>
          <w:b/>
          <w:bCs/>
        </w:rPr>
      </w:pPr>
      <w:r w:rsidRPr="0021033E">
        <w:rPr>
          <w:rFonts w:ascii="Times New Roman" w:hAnsi="Times New Roman" w:cs="Times New Roman"/>
          <w:b/>
          <w:bCs/>
        </w:rPr>
        <w:t>Hamzah</w:t>
      </w:r>
    </w:p>
    <w:p w14:paraId="207BCC4A" w14:textId="085E24C6" w:rsidR="008D372B" w:rsidRPr="00387109" w:rsidRDefault="008D372B" w:rsidP="00387109">
      <w:pPr>
        <w:pStyle w:val="ListParagraph"/>
        <w:spacing w:line="276" w:lineRule="auto"/>
        <w:ind w:left="360" w:firstLine="360"/>
        <w:jc w:val="both"/>
        <w:rPr>
          <w:rFonts w:ascii="Times New Roman" w:hAnsi="Times New Roman" w:cs="Times New Roman"/>
          <w:b/>
          <w:bCs/>
        </w:rPr>
      </w:pPr>
      <w:r w:rsidRPr="00387109">
        <w:rPr>
          <w:rFonts w:ascii="Times New Roman" w:hAnsi="Times New Roman" w:cs="Times New Roman"/>
        </w:rPr>
        <w:t>Hamzah ditransliterasikan sebagai apostrof. Namun hal itu hanya berlaku bagi hamzah yang terletak di tengah dan di akhir kata. Sementara hamzah yang terletak di awal kata dilambangkan, karena dalam tulisan Arab berupa alif.</w:t>
      </w:r>
    </w:p>
    <w:p w14:paraId="4858F305" w14:textId="77777777" w:rsidR="008D372B" w:rsidRPr="0021033E" w:rsidRDefault="008D372B" w:rsidP="00536D56">
      <w:pPr>
        <w:spacing w:line="276" w:lineRule="auto"/>
        <w:jc w:val="both"/>
        <w:rPr>
          <w:rFonts w:ascii="Times New Roman" w:hAnsi="Times New Roman" w:cs="Times New Roman"/>
        </w:rPr>
      </w:pPr>
      <w:r w:rsidRPr="0021033E">
        <w:rPr>
          <w:rFonts w:ascii="Times New Roman" w:hAnsi="Times New Roman" w:cs="Times New Roman"/>
        </w:rPr>
        <w:t>Contoh:</w:t>
      </w:r>
    </w:p>
    <w:p w14:paraId="176FF33E" w14:textId="77777777" w:rsidR="008D372B" w:rsidRPr="0021033E" w:rsidRDefault="008D372B" w:rsidP="009174A7">
      <w:pPr>
        <w:pStyle w:val="ListParagraph"/>
        <w:numPr>
          <w:ilvl w:val="0"/>
          <w:numId w:val="85"/>
        </w:numPr>
        <w:spacing w:line="240" w:lineRule="auto"/>
        <w:jc w:val="both"/>
        <w:rPr>
          <w:rFonts w:ascii="Times New Roman" w:hAnsi="Times New Roman" w:cs="Times New Roman"/>
        </w:rPr>
      </w:pPr>
      <w:r w:rsidRPr="0021033E">
        <w:rPr>
          <w:rFonts w:ascii="Traditional Arabic" w:hAnsi="Traditional Arabic" w:cs="Traditional Arabic"/>
          <w:rtl/>
        </w:rPr>
        <w:t>تَأْخُذُ</w:t>
      </w:r>
      <w:r w:rsidRPr="0021033E">
        <w:rPr>
          <w:rFonts w:ascii="Traditional Arabic" w:hAnsi="Traditional Arabic" w:cs="Traditional Arabic"/>
        </w:rPr>
        <w:tab/>
      </w:r>
      <w:r w:rsidRPr="0021033E">
        <w:rPr>
          <w:rFonts w:ascii="Times New Roman" w:hAnsi="Times New Roman" w:cs="Times New Roman"/>
        </w:rPr>
        <w:t>ta’khużu</w:t>
      </w:r>
    </w:p>
    <w:p w14:paraId="3CD33EA1" w14:textId="77777777" w:rsidR="008D372B" w:rsidRPr="0021033E" w:rsidRDefault="008D372B" w:rsidP="009174A7">
      <w:pPr>
        <w:pStyle w:val="ListParagraph"/>
        <w:numPr>
          <w:ilvl w:val="0"/>
          <w:numId w:val="85"/>
        </w:numPr>
        <w:spacing w:line="240" w:lineRule="auto"/>
        <w:jc w:val="both"/>
        <w:rPr>
          <w:rFonts w:ascii="Traditional Arabic" w:hAnsi="Traditional Arabic" w:cs="Traditional Arabic"/>
        </w:rPr>
      </w:pPr>
      <w:r w:rsidRPr="0021033E">
        <w:rPr>
          <w:rFonts w:ascii="Traditional Arabic" w:hAnsi="Traditional Arabic" w:cs="Traditional Arabic"/>
          <w:rtl/>
        </w:rPr>
        <w:t>شَيئٌ</w:t>
      </w:r>
      <w:r w:rsidRPr="0021033E">
        <w:rPr>
          <w:rFonts w:ascii="Traditional Arabic" w:hAnsi="Traditional Arabic" w:cs="Traditional Arabic"/>
        </w:rPr>
        <w:tab/>
      </w:r>
      <w:r w:rsidRPr="0021033E">
        <w:rPr>
          <w:rFonts w:ascii="Times New Roman" w:hAnsi="Times New Roman" w:cs="Times New Roman"/>
        </w:rPr>
        <w:t>syai’un</w:t>
      </w:r>
    </w:p>
    <w:p w14:paraId="3039EF4A" w14:textId="77777777" w:rsidR="00387109" w:rsidRDefault="008D372B" w:rsidP="00387109">
      <w:pPr>
        <w:pStyle w:val="ListParagraph"/>
        <w:numPr>
          <w:ilvl w:val="0"/>
          <w:numId w:val="83"/>
        </w:numPr>
        <w:spacing w:line="276" w:lineRule="auto"/>
        <w:ind w:left="360"/>
        <w:jc w:val="both"/>
        <w:rPr>
          <w:rFonts w:ascii="Times New Roman" w:hAnsi="Times New Roman" w:cs="Times New Roman"/>
          <w:b/>
          <w:bCs/>
        </w:rPr>
      </w:pPr>
      <w:r w:rsidRPr="00387109">
        <w:rPr>
          <w:rFonts w:ascii="Times New Roman" w:hAnsi="Times New Roman" w:cs="Times New Roman"/>
          <w:b/>
          <w:bCs/>
        </w:rPr>
        <w:lastRenderedPageBreak/>
        <w:t>Penulisan Kata</w:t>
      </w:r>
    </w:p>
    <w:p w14:paraId="5ADEF35D" w14:textId="29F82897" w:rsidR="008D372B" w:rsidRPr="00387109" w:rsidRDefault="008D372B" w:rsidP="00387109">
      <w:pPr>
        <w:pStyle w:val="ListParagraph"/>
        <w:spacing w:line="276" w:lineRule="auto"/>
        <w:ind w:left="360" w:firstLine="360"/>
        <w:jc w:val="both"/>
        <w:rPr>
          <w:rFonts w:ascii="Times New Roman" w:hAnsi="Times New Roman" w:cs="Times New Roman"/>
          <w:b/>
          <w:bCs/>
        </w:rPr>
      </w:pPr>
      <w:r w:rsidRPr="00387109">
        <w:rPr>
          <w:rFonts w:ascii="Times New Roman" w:hAnsi="Times New Roman" w:cs="Times New Roman"/>
        </w:rPr>
        <w:t>Pada dasarnya setiap kata, baik fail, isim maupun huruf ditulis terpisah. Hanya kata-kata tertentu yang penulisannya dengan huruf Arab sudah lazim dirangkaikan dengan kata lain karena ada huruf atau har</w:t>
      </w:r>
      <w:r w:rsidR="00EE1704" w:rsidRPr="00387109">
        <w:rPr>
          <w:rFonts w:ascii="Times New Roman" w:hAnsi="Times New Roman" w:cs="Times New Roman"/>
        </w:rPr>
        <w:t>a</w:t>
      </w:r>
      <w:r w:rsidRPr="00387109">
        <w:rPr>
          <w:rFonts w:ascii="Times New Roman" w:hAnsi="Times New Roman" w:cs="Times New Roman"/>
        </w:rPr>
        <w:t>kat yang dihilangkan, maka penulisan kata tersebut dirangkaikan juga dengan kata lain yang mengikutinya.</w:t>
      </w:r>
    </w:p>
    <w:p w14:paraId="362B2169" w14:textId="77777777" w:rsidR="008D372B" w:rsidRPr="0021033E" w:rsidRDefault="008D372B" w:rsidP="00536D56">
      <w:pPr>
        <w:spacing w:line="276" w:lineRule="auto"/>
        <w:jc w:val="both"/>
        <w:rPr>
          <w:rFonts w:ascii="Times New Roman" w:hAnsi="Times New Roman" w:cs="Times New Roman"/>
        </w:rPr>
      </w:pPr>
      <w:r w:rsidRPr="0021033E">
        <w:rPr>
          <w:rFonts w:ascii="Times New Roman" w:hAnsi="Times New Roman" w:cs="Times New Roman"/>
        </w:rPr>
        <w:t>Contoh:</w:t>
      </w:r>
    </w:p>
    <w:p w14:paraId="2FAD7ED4" w14:textId="77777777" w:rsidR="008D372B" w:rsidRPr="0021033E" w:rsidRDefault="008D372B" w:rsidP="009174A7">
      <w:pPr>
        <w:pStyle w:val="ListParagraph"/>
        <w:numPr>
          <w:ilvl w:val="0"/>
          <w:numId w:val="85"/>
        </w:numPr>
        <w:spacing w:line="240" w:lineRule="auto"/>
        <w:ind w:left="567" w:hanging="207"/>
        <w:jc w:val="both"/>
        <w:rPr>
          <w:rFonts w:ascii="Times New Roman" w:hAnsi="Times New Roman" w:cs="Times New Roman"/>
        </w:rPr>
      </w:pPr>
      <w:r w:rsidRPr="0021033E">
        <w:rPr>
          <w:rFonts w:ascii="Traditional Arabic" w:hAnsi="Traditional Arabic" w:cs="Traditional Arabic"/>
          <w:rtl/>
        </w:rPr>
        <w:t>وَ إِنَّ اللهَ فَهُوَ خَيْرُ الرَّازِقِيْنَ</w:t>
      </w:r>
      <w:r w:rsidRPr="0021033E">
        <w:rPr>
          <w:rFonts w:ascii="Times New Roman" w:hAnsi="Times New Roman" w:cs="Times New Roman"/>
          <w:rtl/>
        </w:rPr>
        <w:tab/>
      </w:r>
      <w:r w:rsidRPr="0021033E">
        <w:rPr>
          <w:rFonts w:ascii="Times New Roman" w:hAnsi="Times New Roman" w:cs="Times New Roman"/>
        </w:rPr>
        <w:t>Wa innallāha lahuwa khair ar-rāziqīn</w:t>
      </w:r>
    </w:p>
    <w:p w14:paraId="2DE76202" w14:textId="77777777" w:rsidR="008D372B" w:rsidRPr="0021033E" w:rsidRDefault="008D372B" w:rsidP="009174A7">
      <w:pPr>
        <w:pStyle w:val="ListParagraph"/>
        <w:numPr>
          <w:ilvl w:val="0"/>
          <w:numId w:val="85"/>
        </w:numPr>
        <w:spacing w:line="240" w:lineRule="auto"/>
        <w:jc w:val="both"/>
        <w:rPr>
          <w:rFonts w:ascii="Times New Roman" w:hAnsi="Times New Roman" w:cs="Times New Roman"/>
        </w:rPr>
      </w:pPr>
      <w:r w:rsidRPr="0021033E">
        <w:rPr>
          <w:rFonts w:ascii="Traditional Arabic" w:hAnsi="Traditional Arabic" w:cs="Traditional Arabic"/>
          <w:rtl/>
        </w:rPr>
        <w:t>بِسْمِ اللهِ مَجْرَاهَا وَ مُرْسَاهَا</w:t>
      </w:r>
      <w:r w:rsidRPr="0021033E">
        <w:rPr>
          <w:rFonts w:ascii="Times New Roman" w:hAnsi="Times New Roman" w:cs="Times New Roman"/>
        </w:rPr>
        <w:tab/>
        <w:t>Bismillāhi majrehā wa mursāhā</w:t>
      </w:r>
    </w:p>
    <w:p w14:paraId="5A4D02A3" w14:textId="77777777" w:rsidR="00387109" w:rsidRDefault="008D372B" w:rsidP="00387109">
      <w:pPr>
        <w:pStyle w:val="ListParagraph"/>
        <w:numPr>
          <w:ilvl w:val="0"/>
          <w:numId w:val="83"/>
        </w:numPr>
        <w:spacing w:line="276" w:lineRule="auto"/>
        <w:ind w:left="360"/>
        <w:jc w:val="both"/>
        <w:rPr>
          <w:rFonts w:ascii="Times New Roman" w:hAnsi="Times New Roman" w:cs="Times New Roman"/>
          <w:b/>
          <w:bCs/>
        </w:rPr>
      </w:pPr>
      <w:r w:rsidRPr="0021033E">
        <w:rPr>
          <w:rFonts w:ascii="Times New Roman" w:hAnsi="Times New Roman" w:cs="Times New Roman"/>
          <w:b/>
          <w:bCs/>
        </w:rPr>
        <w:t>Huruf Kapital</w:t>
      </w:r>
    </w:p>
    <w:p w14:paraId="5DE9B3FA" w14:textId="150ACC51" w:rsidR="008D372B" w:rsidRPr="00387109" w:rsidRDefault="008D372B" w:rsidP="00387109">
      <w:pPr>
        <w:pStyle w:val="ListParagraph"/>
        <w:spacing w:line="276" w:lineRule="auto"/>
        <w:ind w:left="360" w:firstLine="360"/>
        <w:jc w:val="both"/>
        <w:rPr>
          <w:rFonts w:ascii="Times New Roman" w:hAnsi="Times New Roman" w:cs="Times New Roman"/>
          <w:b/>
          <w:bCs/>
        </w:rPr>
      </w:pPr>
      <w:r w:rsidRPr="00387109">
        <w:rPr>
          <w:rFonts w:ascii="Times New Roman" w:hAnsi="Times New Roman" w:cs="Times New Roman"/>
        </w:rPr>
        <w:t>Meskipun dalam sistem tulisan Arab huruf kapital tidak dikenal, dalam transliterasi ini huruf tersebut digunakan juga. Penggunaan huruf kapital seperti apa yang berlaku dalam EYD, di antaranya: huruf kapital digunakan untuk menuliskan huruf awal nama diri dan permulaan kalimat. Bilamana nama diri itu didahului oleh kata sandang, maka yang ditulis dengan huruf kapital tetap huruf awal nama diri tersebut, bukan huruf awal kata sandangnya.</w:t>
      </w:r>
    </w:p>
    <w:p w14:paraId="69AA642C" w14:textId="77777777" w:rsidR="008D372B" w:rsidRPr="0021033E" w:rsidRDefault="008D372B" w:rsidP="00536D56">
      <w:pPr>
        <w:spacing w:line="276" w:lineRule="auto"/>
        <w:jc w:val="both"/>
        <w:rPr>
          <w:rFonts w:ascii="Times New Roman" w:hAnsi="Times New Roman" w:cs="Times New Roman"/>
        </w:rPr>
      </w:pPr>
      <w:r w:rsidRPr="0021033E">
        <w:rPr>
          <w:rFonts w:ascii="Times New Roman" w:hAnsi="Times New Roman" w:cs="Times New Roman"/>
        </w:rPr>
        <w:t>Contoh:</w:t>
      </w:r>
    </w:p>
    <w:p w14:paraId="48D1CA78" w14:textId="6A81F712" w:rsidR="008D372B" w:rsidRPr="0021033E" w:rsidRDefault="008D372B" w:rsidP="009174A7">
      <w:pPr>
        <w:pStyle w:val="ListParagraph"/>
        <w:numPr>
          <w:ilvl w:val="0"/>
          <w:numId w:val="85"/>
        </w:numPr>
        <w:spacing w:after="0" w:line="240" w:lineRule="auto"/>
        <w:jc w:val="both"/>
        <w:rPr>
          <w:rFonts w:ascii="Times New Roman" w:hAnsi="Times New Roman" w:cs="Times New Roman"/>
        </w:rPr>
      </w:pPr>
      <w:r w:rsidRPr="0021033E">
        <w:rPr>
          <w:rFonts w:ascii="Traditional Arabic" w:hAnsi="Traditional Arabic" w:cs="Traditional Arabic"/>
          <w:rtl/>
        </w:rPr>
        <w:t>الْحَمْدُ للهِ رَبِّ الْعَالَمِيْنَ</w:t>
      </w:r>
      <w:r w:rsidRPr="0021033E">
        <w:rPr>
          <w:rFonts w:ascii="Times New Roman" w:hAnsi="Times New Roman" w:cs="Times New Roman"/>
        </w:rPr>
        <w:tab/>
      </w:r>
      <w:r w:rsidRPr="0021033E">
        <w:rPr>
          <w:rFonts w:ascii="Times New Roman" w:hAnsi="Times New Roman" w:cs="Times New Roman"/>
          <w:rtl/>
        </w:rPr>
        <w:tab/>
      </w:r>
      <w:r w:rsidRPr="0021033E">
        <w:rPr>
          <w:rFonts w:ascii="Times New Roman" w:hAnsi="Times New Roman" w:cs="Times New Roman"/>
        </w:rPr>
        <w:t>Al</w:t>
      </w:r>
      <w:r w:rsidR="009017FC">
        <w:rPr>
          <w:rFonts w:ascii="Times New Roman" w:hAnsi="Times New Roman" w:cs="Times New Roman"/>
        </w:rPr>
        <w:t>h</w:t>
      </w:r>
      <w:r w:rsidRPr="0021033E">
        <w:rPr>
          <w:rFonts w:ascii="Times New Roman" w:hAnsi="Times New Roman" w:cs="Times New Roman"/>
        </w:rPr>
        <w:t>amdu lillāhi rabbi al-`ālamīn</w:t>
      </w:r>
    </w:p>
    <w:p w14:paraId="3351394F" w14:textId="77777777" w:rsidR="008D372B" w:rsidRPr="0021033E" w:rsidRDefault="008D372B" w:rsidP="009174A7">
      <w:pPr>
        <w:pStyle w:val="ListParagraph"/>
        <w:numPr>
          <w:ilvl w:val="0"/>
          <w:numId w:val="85"/>
        </w:numPr>
        <w:spacing w:line="240" w:lineRule="auto"/>
        <w:jc w:val="both"/>
        <w:rPr>
          <w:rFonts w:ascii="Times New Roman" w:hAnsi="Times New Roman" w:cs="Times New Roman"/>
        </w:rPr>
      </w:pPr>
      <w:r w:rsidRPr="0021033E">
        <w:rPr>
          <w:rFonts w:ascii="Traditional Arabic" w:hAnsi="Traditional Arabic" w:cs="Traditional Arabic"/>
          <w:rtl/>
        </w:rPr>
        <w:t>الرَّحْمنِ الرَّحِيْمِ</w:t>
      </w:r>
      <w:r w:rsidRPr="0021033E">
        <w:rPr>
          <w:rFonts w:ascii="Traditional Arabic" w:hAnsi="Traditional Arabic" w:cs="Traditional Arabic"/>
        </w:rPr>
        <w:tab/>
      </w:r>
      <w:r w:rsidRPr="0021033E">
        <w:rPr>
          <w:rFonts w:ascii="Times New Roman" w:hAnsi="Times New Roman" w:cs="Times New Roman"/>
        </w:rPr>
        <w:tab/>
      </w:r>
      <w:r w:rsidRPr="0021033E">
        <w:rPr>
          <w:rFonts w:ascii="Times New Roman" w:hAnsi="Times New Roman" w:cs="Times New Roman"/>
        </w:rPr>
        <w:tab/>
        <w:t>Ar-rahmānir rahīm</w:t>
      </w:r>
    </w:p>
    <w:p w14:paraId="26684207" w14:textId="77777777" w:rsidR="00387109" w:rsidRDefault="008D372B" w:rsidP="00387109">
      <w:pPr>
        <w:pStyle w:val="ListParagraph"/>
        <w:spacing w:line="276" w:lineRule="auto"/>
        <w:ind w:left="360" w:firstLine="360"/>
        <w:jc w:val="both"/>
        <w:rPr>
          <w:rFonts w:ascii="Times New Roman" w:hAnsi="Times New Roman" w:cs="Times New Roman"/>
        </w:rPr>
      </w:pPr>
      <w:r w:rsidRPr="0021033E">
        <w:rPr>
          <w:rFonts w:ascii="Times New Roman" w:hAnsi="Times New Roman" w:cs="Times New Roman"/>
        </w:rPr>
        <w:t>Penggunaan huruf awal kapital untuk Allah hanya berlaku bila dalam tulisan Arabnya memang lengkap demikian dan kalau penulisan itu disatukan dengan kata lain sehingga ada huruf atau harakat yang dihilangkan, huruf kapital tidak dipergunakan.</w:t>
      </w:r>
    </w:p>
    <w:p w14:paraId="62375D4A" w14:textId="79289EFD" w:rsidR="008D372B" w:rsidRPr="00387109" w:rsidRDefault="008D372B" w:rsidP="00387109">
      <w:pPr>
        <w:spacing w:line="276" w:lineRule="auto"/>
        <w:jc w:val="both"/>
        <w:rPr>
          <w:rFonts w:ascii="Times New Roman" w:hAnsi="Times New Roman" w:cs="Times New Roman"/>
        </w:rPr>
      </w:pPr>
      <w:r w:rsidRPr="00387109">
        <w:rPr>
          <w:rFonts w:ascii="Times New Roman" w:hAnsi="Times New Roman" w:cs="Times New Roman"/>
        </w:rPr>
        <w:t>Contoh:</w:t>
      </w:r>
    </w:p>
    <w:p w14:paraId="0102DDD7" w14:textId="77777777" w:rsidR="008D372B" w:rsidRPr="0021033E" w:rsidRDefault="008D372B" w:rsidP="009174A7">
      <w:pPr>
        <w:pStyle w:val="ListParagraph"/>
        <w:numPr>
          <w:ilvl w:val="0"/>
          <w:numId w:val="85"/>
        </w:numPr>
        <w:spacing w:line="240" w:lineRule="auto"/>
        <w:jc w:val="both"/>
        <w:rPr>
          <w:rFonts w:ascii="Times New Roman" w:hAnsi="Times New Roman" w:cs="Times New Roman"/>
        </w:rPr>
      </w:pPr>
      <w:r w:rsidRPr="0021033E">
        <w:rPr>
          <w:rFonts w:ascii="Traditional Arabic" w:hAnsi="Traditional Arabic" w:cs="Traditional Arabic"/>
          <w:rtl/>
        </w:rPr>
        <w:lastRenderedPageBreak/>
        <w:t>اللهُ غَفُوْرٌ رَحِيْمٌ</w:t>
      </w:r>
      <w:r w:rsidRPr="0021033E">
        <w:rPr>
          <w:rFonts w:ascii="Times New Roman" w:hAnsi="Times New Roman" w:cs="Times New Roman"/>
        </w:rPr>
        <w:tab/>
      </w:r>
      <w:r w:rsidRPr="0021033E">
        <w:rPr>
          <w:rFonts w:ascii="Times New Roman" w:hAnsi="Times New Roman" w:cs="Times New Roman"/>
        </w:rPr>
        <w:tab/>
        <w:t>Allaāhu gafūrun rahīm</w:t>
      </w:r>
    </w:p>
    <w:p w14:paraId="6605418B" w14:textId="77777777" w:rsidR="008D372B" w:rsidRPr="0021033E" w:rsidRDefault="008D372B" w:rsidP="009174A7">
      <w:pPr>
        <w:pStyle w:val="ListParagraph"/>
        <w:numPr>
          <w:ilvl w:val="0"/>
          <w:numId w:val="85"/>
        </w:numPr>
        <w:spacing w:line="240" w:lineRule="auto"/>
        <w:jc w:val="both"/>
        <w:rPr>
          <w:rFonts w:ascii="Times New Roman" w:hAnsi="Times New Roman" w:cs="Times New Roman"/>
        </w:rPr>
      </w:pPr>
      <w:r w:rsidRPr="0021033E">
        <w:rPr>
          <w:rFonts w:ascii="Traditional Arabic" w:hAnsi="Traditional Arabic" w:cs="Traditional Arabic"/>
          <w:rtl/>
        </w:rPr>
        <w:t>لِلّهِ ا</w:t>
      </w:r>
      <w:r w:rsidRPr="0021033E">
        <w:rPr>
          <w:rFonts w:ascii="Traditional Arabic" w:hAnsi="Traditional Arabic" w:cs="Traditional Arabic" w:hint="cs"/>
          <w:rtl/>
        </w:rPr>
        <w:t>لأ</w:t>
      </w:r>
      <w:r w:rsidRPr="0021033E">
        <w:rPr>
          <w:rFonts w:ascii="Traditional Arabic" w:hAnsi="Traditional Arabic" w:cs="Traditional Arabic"/>
          <w:rtl/>
        </w:rPr>
        <w:t>ُمُوْرُ جَمِيْعًا</w:t>
      </w:r>
      <w:r w:rsidRPr="0021033E">
        <w:rPr>
          <w:rFonts w:ascii="Traditional Arabic" w:hAnsi="Traditional Arabic" w:cs="Traditional Arabic"/>
        </w:rPr>
        <w:tab/>
      </w:r>
      <w:r w:rsidRPr="0021033E">
        <w:rPr>
          <w:rFonts w:ascii="Traditional Arabic" w:hAnsi="Traditional Arabic" w:cs="Traditional Arabic"/>
        </w:rPr>
        <w:tab/>
      </w:r>
      <w:r w:rsidRPr="0021033E">
        <w:rPr>
          <w:rFonts w:ascii="Times New Roman" w:hAnsi="Times New Roman" w:cs="Times New Roman"/>
        </w:rPr>
        <w:t>Lillāhi al-amru jamī`an</w:t>
      </w:r>
    </w:p>
    <w:p w14:paraId="72B0536D" w14:textId="77777777" w:rsidR="008D372B" w:rsidRPr="0021033E" w:rsidRDefault="008D372B" w:rsidP="00536D56">
      <w:pPr>
        <w:pStyle w:val="ListParagraph"/>
        <w:numPr>
          <w:ilvl w:val="0"/>
          <w:numId w:val="83"/>
        </w:numPr>
        <w:spacing w:line="276" w:lineRule="auto"/>
        <w:ind w:left="360"/>
        <w:jc w:val="both"/>
        <w:rPr>
          <w:rFonts w:ascii="Times New Roman" w:hAnsi="Times New Roman" w:cs="Times New Roman"/>
          <w:b/>
          <w:bCs/>
        </w:rPr>
      </w:pPr>
      <w:r w:rsidRPr="0021033E">
        <w:rPr>
          <w:rFonts w:ascii="Times New Roman" w:hAnsi="Times New Roman" w:cs="Times New Roman"/>
          <w:b/>
          <w:bCs/>
        </w:rPr>
        <w:t>Tajwid</w:t>
      </w:r>
    </w:p>
    <w:p w14:paraId="717D7168" w14:textId="77777777" w:rsidR="008D372B" w:rsidRPr="0021033E" w:rsidRDefault="008D372B" w:rsidP="00536D56">
      <w:pPr>
        <w:spacing w:line="276" w:lineRule="auto"/>
        <w:ind w:firstLine="720"/>
        <w:jc w:val="both"/>
      </w:pPr>
      <w:r w:rsidRPr="0021033E">
        <w:rPr>
          <w:rFonts w:ascii="Times New Roman" w:hAnsi="Times New Roman" w:cs="Times New Roman"/>
        </w:rPr>
        <w:t>Bagi mereka yang menginginkan kefasihan dalam bacaan, pedoman transliterasi ini merupakan bagian yang tak terpisahkan dengan Ilmu Tajwid. Karena itu peresmian pedoman transliterasi ini perlu disertai dengan pedoman tajwid.</w:t>
      </w:r>
    </w:p>
    <w:p w14:paraId="7474A9E0" w14:textId="77777777" w:rsidR="008D372B" w:rsidRDefault="008D372B">
      <w:pPr>
        <w:rPr>
          <w:rFonts w:asciiTheme="majorBidi" w:hAnsiTheme="majorBidi" w:cstheme="majorBidi"/>
          <w:b/>
          <w:bCs/>
          <w:sz w:val="24"/>
          <w:szCs w:val="24"/>
          <w:lang w:val="en-US"/>
        </w:rPr>
      </w:pPr>
      <w:r>
        <w:br w:type="page"/>
      </w:r>
    </w:p>
    <w:p w14:paraId="3AA5E365" w14:textId="77777777" w:rsidR="008D372B" w:rsidRDefault="008D372B" w:rsidP="00D7331F">
      <w:pPr>
        <w:pStyle w:val="Heading1"/>
      </w:pPr>
      <w:bookmarkStart w:id="10" w:name="_Toc185961328"/>
      <w:r>
        <w:lastRenderedPageBreak/>
        <w:t>ABSTRAK</w:t>
      </w:r>
      <w:bookmarkEnd w:id="10"/>
      <w:r>
        <w:t xml:space="preserve"> </w:t>
      </w:r>
    </w:p>
    <w:p w14:paraId="3D5346B5" w14:textId="1D248349" w:rsidR="008C09E2" w:rsidRDefault="00704603" w:rsidP="00C83117">
      <w:pPr>
        <w:spacing w:line="240" w:lineRule="auto"/>
        <w:ind w:firstLine="720"/>
        <w:jc w:val="both"/>
        <w:rPr>
          <w:rFonts w:asciiTheme="majorBidi" w:hAnsiTheme="majorBidi" w:cstheme="majorBidi"/>
          <w:sz w:val="20"/>
          <w:szCs w:val="20"/>
        </w:rPr>
      </w:pPr>
      <w:r w:rsidRPr="00704603">
        <w:rPr>
          <w:rFonts w:asciiTheme="majorBidi" w:hAnsiTheme="majorBidi" w:cstheme="majorBidi"/>
          <w:sz w:val="20"/>
          <w:szCs w:val="20"/>
        </w:rPr>
        <w:t xml:space="preserve">Kasus pelecehan seksual anak seringkali sulit dibuktikan karena minimnya saksi yang menyaksikan secara langsung. Penerimaan terhadap kesaksian tidak langsung atau </w:t>
      </w:r>
      <w:r w:rsidRPr="00704603">
        <w:rPr>
          <w:rFonts w:asciiTheme="majorBidi" w:hAnsiTheme="majorBidi" w:cstheme="majorBidi"/>
          <w:i/>
          <w:iCs/>
          <w:sz w:val="20"/>
          <w:szCs w:val="20"/>
        </w:rPr>
        <w:t>testimonium de auditu</w:t>
      </w:r>
      <w:r w:rsidRPr="00704603">
        <w:rPr>
          <w:rFonts w:asciiTheme="majorBidi" w:hAnsiTheme="majorBidi" w:cstheme="majorBidi"/>
          <w:sz w:val="20"/>
          <w:szCs w:val="20"/>
        </w:rPr>
        <w:t xml:space="preserve"> dalam Putusan Mahkamah Syariah Takengon Nomor 9/JN/2023/MS.Tkn dinilai bertentangan dengan ketentuan yang telah ditetapkan dalam Qanun Hukum Acara </w:t>
      </w:r>
      <w:r w:rsidRPr="0014375A">
        <w:rPr>
          <w:rFonts w:asciiTheme="majorBidi" w:hAnsiTheme="majorBidi" w:cstheme="majorBidi"/>
          <w:i/>
          <w:iCs/>
          <w:sz w:val="20"/>
          <w:szCs w:val="20"/>
        </w:rPr>
        <w:t>Jinayat</w:t>
      </w:r>
      <w:r w:rsidRPr="00704603">
        <w:rPr>
          <w:rFonts w:asciiTheme="majorBidi" w:hAnsiTheme="majorBidi" w:cstheme="majorBidi"/>
          <w:sz w:val="20"/>
          <w:szCs w:val="20"/>
        </w:rPr>
        <w:t xml:space="preserve"> (QHAJ). Meskipun Kitab Undang-Undang Hukum Acara Pidana (KUHAP) telah memperluas definisi saksi, namun QHAJ masih berpegang pada syarat saksi yang mengharuskan secara langsung</w:t>
      </w:r>
      <w:r w:rsidR="00C83117" w:rsidRPr="00C83117">
        <w:t xml:space="preserve"> </w:t>
      </w:r>
      <w:r w:rsidR="00C83117" w:rsidRPr="00C83117">
        <w:rPr>
          <w:rFonts w:asciiTheme="majorBidi" w:hAnsiTheme="majorBidi" w:cstheme="majorBidi"/>
          <w:sz w:val="20"/>
          <w:szCs w:val="20"/>
        </w:rPr>
        <w:t>ia dengar sendiri, ia lihat sendiri dan ia alami sendiri</w:t>
      </w:r>
      <w:r w:rsidRPr="00704603">
        <w:rPr>
          <w:rFonts w:asciiTheme="majorBidi" w:hAnsiTheme="majorBidi" w:cstheme="majorBidi"/>
          <w:sz w:val="20"/>
          <w:szCs w:val="20"/>
        </w:rPr>
        <w:t xml:space="preserve">. Permasalahan terkait penerimaan kesaksian </w:t>
      </w:r>
      <w:r w:rsidRPr="00704603">
        <w:rPr>
          <w:rFonts w:asciiTheme="majorBidi" w:hAnsiTheme="majorBidi" w:cstheme="majorBidi"/>
          <w:i/>
          <w:iCs/>
          <w:sz w:val="20"/>
          <w:szCs w:val="20"/>
        </w:rPr>
        <w:t>testimonium de auditu</w:t>
      </w:r>
      <w:r w:rsidRPr="00704603">
        <w:rPr>
          <w:rFonts w:asciiTheme="majorBidi" w:hAnsiTheme="majorBidi" w:cstheme="majorBidi"/>
          <w:sz w:val="20"/>
          <w:szCs w:val="20"/>
        </w:rPr>
        <w:t xml:space="preserve"> dalam kasus tindak pidana pelecehan seksual terhadap anak menjadi fokus penelitian ini. Penelitian ini bertujuan untuk menganalisis konsep penerimaan kesaksian </w:t>
      </w:r>
      <w:r w:rsidRPr="00704603">
        <w:rPr>
          <w:rFonts w:asciiTheme="majorBidi" w:hAnsiTheme="majorBidi" w:cstheme="majorBidi"/>
          <w:i/>
          <w:iCs/>
          <w:sz w:val="20"/>
          <w:szCs w:val="20"/>
        </w:rPr>
        <w:t>testimonium de auditu</w:t>
      </w:r>
      <w:r w:rsidRPr="00704603">
        <w:rPr>
          <w:rFonts w:asciiTheme="majorBidi" w:hAnsiTheme="majorBidi" w:cstheme="majorBidi"/>
          <w:sz w:val="20"/>
          <w:szCs w:val="20"/>
        </w:rPr>
        <w:t xml:space="preserve"> dalam perspektif </w:t>
      </w:r>
      <w:r w:rsidR="0007025E">
        <w:rPr>
          <w:rFonts w:asciiTheme="majorBidi" w:hAnsiTheme="majorBidi" w:cstheme="majorBidi"/>
          <w:sz w:val="20"/>
          <w:szCs w:val="20"/>
        </w:rPr>
        <w:t xml:space="preserve"> KUHAP </w:t>
      </w:r>
      <w:r w:rsidRPr="00704603">
        <w:rPr>
          <w:rFonts w:asciiTheme="majorBidi" w:hAnsiTheme="majorBidi" w:cstheme="majorBidi"/>
          <w:sz w:val="20"/>
          <w:szCs w:val="20"/>
        </w:rPr>
        <w:t xml:space="preserve">dan </w:t>
      </w:r>
      <w:r w:rsidR="0007025E">
        <w:rPr>
          <w:rFonts w:asciiTheme="majorBidi" w:hAnsiTheme="majorBidi" w:cstheme="majorBidi"/>
          <w:sz w:val="20"/>
          <w:szCs w:val="20"/>
        </w:rPr>
        <w:t>QHAJ</w:t>
      </w:r>
      <w:r w:rsidRPr="00704603">
        <w:rPr>
          <w:rFonts w:asciiTheme="majorBidi" w:hAnsiTheme="majorBidi" w:cstheme="majorBidi"/>
          <w:i/>
          <w:iCs/>
          <w:sz w:val="20"/>
          <w:szCs w:val="20"/>
        </w:rPr>
        <w:t>.</w:t>
      </w:r>
      <w:r w:rsidR="008C09E2">
        <w:rPr>
          <w:rFonts w:asciiTheme="majorBidi" w:hAnsiTheme="majorBidi" w:cstheme="majorBidi"/>
          <w:sz w:val="20"/>
          <w:szCs w:val="20"/>
        </w:rPr>
        <w:t xml:space="preserve"> </w:t>
      </w:r>
    </w:p>
    <w:p w14:paraId="7F3366EF" w14:textId="15AA322B" w:rsidR="008D372B" w:rsidRPr="00CB5B4E" w:rsidRDefault="008D372B" w:rsidP="0014375A">
      <w:pPr>
        <w:spacing w:line="240" w:lineRule="auto"/>
        <w:ind w:firstLine="720"/>
        <w:jc w:val="both"/>
        <w:rPr>
          <w:rFonts w:asciiTheme="majorBidi" w:hAnsiTheme="majorBidi" w:cstheme="majorBidi"/>
          <w:sz w:val="20"/>
          <w:szCs w:val="20"/>
        </w:rPr>
      </w:pPr>
      <w:r w:rsidRPr="00CB5B4E">
        <w:rPr>
          <w:rFonts w:asciiTheme="majorBidi" w:hAnsiTheme="majorBidi" w:cstheme="majorBidi"/>
          <w:sz w:val="20"/>
          <w:szCs w:val="20"/>
        </w:rPr>
        <w:t>Penelitian ini menggunakan metode</w:t>
      </w:r>
      <w:r w:rsidR="008F37CB">
        <w:rPr>
          <w:rFonts w:asciiTheme="majorBidi" w:hAnsiTheme="majorBidi" w:cstheme="majorBidi"/>
          <w:sz w:val="20"/>
          <w:szCs w:val="20"/>
        </w:rPr>
        <w:t xml:space="preserve"> </w:t>
      </w:r>
      <w:r w:rsidRPr="00CB5B4E">
        <w:rPr>
          <w:rFonts w:asciiTheme="majorBidi" w:hAnsiTheme="majorBidi" w:cstheme="majorBidi"/>
          <w:sz w:val="20"/>
          <w:szCs w:val="20"/>
        </w:rPr>
        <w:t>kualitatif dengan pendekatan hukum normatif. Penelitian ini termasuk ke</w:t>
      </w:r>
      <w:r w:rsidR="00704603">
        <w:rPr>
          <w:rFonts w:asciiTheme="majorBidi" w:hAnsiTheme="majorBidi" w:cstheme="majorBidi"/>
          <w:sz w:val="20"/>
          <w:szCs w:val="20"/>
        </w:rPr>
        <w:t xml:space="preserve"> </w:t>
      </w:r>
      <w:r w:rsidRPr="00CB5B4E">
        <w:rPr>
          <w:rFonts w:asciiTheme="majorBidi" w:hAnsiTheme="majorBidi" w:cstheme="majorBidi"/>
          <w:sz w:val="20"/>
          <w:szCs w:val="20"/>
        </w:rPr>
        <w:t xml:space="preserve">dalam kajian pustaka yakni dengan mencari </w:t>
      </w:r>
      <w:r w:rsidR="008F37CB">
        <w:rPr>
          <w:rFonts w:asciiTheme="majorBidi" w:hAnsiTheme="majorBidi" w:cstheme="majorBidi"/>
          <w:sz w:val="20"/>
          <w:szCs w:val="20"/>
        </w:rPr>
        <w:t>dan</w:t>
      </w:r>
      <w:r w:rsidRPr="00CB5B4E">
        <w:rPr>
          <w:rFonts w:asciiTheme="majorBidi" w:hAnsiTheme="majorBidi" w:cstheme="majorBidi"/>
          <w:sz w:val="20"/>
          <w:szCs w:val="20"/>
        </w:rPr>
        <w:t xml:space="preserve"> mengumpulkan data yang sumbernya dari undang-undang, buku, dokumen resmi dan </w:t>
      </w:r>
      <w:r w:rsidR="008F37CB">
        <w:rPr>
          <w:rFonts w:asciiTheme="majorBidi" w:hAnsiTheme="majorBidi" w:cstheme="majorBidi"/>
          <w:sz w:val="20"/>
          <w:szCs w:val="20"/>
        </w:rPr>
        <w:t xml:space="preserve">juga </w:t>
      </w:r>
      <w:r w:rsidRPr="00CB5B4E">
        <w:rPr>
          <w:rFonts w:asciiTheme="majorBidi" w:hAnsiTheme="majorBidi" w:cstheme="majorBidi"/>
          <w:sz w:val="20"/>
          <w:szCs w:val="20"/>
        </w:rPr>
        <w:t>hasil penelitian lain yang berkaitan dengan penelitian</w:t>
      </w:r>
      <w:r w:rsidR="003562AA">
        <w:rPr>
          <w:rFonts w:asciiTheme="majorBidi" w:hAnsiTheme="majorBidi" w:cstheme="majorBidi"/>
          <w:sz w:val="20"/>
          <w:szCs w:val="20"/>
        </w:rPr>
        <w:t xml:space="preserve"> ini</w:t>
      </w:r>
      <w:r>
        <w:rPr>
          <w:rFonts w:asciiTheme="majorBidi" w:hAnsiTheme="majorBidi" w:cstheme="majorBidi"/>
          <w:sz w:val="20"/>
          <w:szCs w:val="20"/>
        </w:rPr>
        <w:t>.</w:t>
      </w:r>
      <w:r w:rsidR="008F37CB">
        <w:rPr>
          <w:rFonts w:asciiTheme="majorBidi" w:hAnsiTheme="majorBidi" w:cstheme="majorBidi"/>
          <w:sz w:val="20"/>
          <w:szCs w:val="20"/>
        </w:rPr>
        <w:t xml:space="preserve"> </w:t>
      </w:r>
      <w:r w:rsidR="008F37CB" w:rsidRPr="008F37CB">
        <w:rPr>
          <w:rFonts w:asciiTheme="majorBidi" w:hAnsiTheme="majorBidi" w:cstheme="majorBidi"/>
          <w:sz w:val="20"/>
          <w:szCs w:val="20"/>
        </w:rPr>
        <w:t>Data yang diperoleh kemudian dianalisis</w:t>
      </w:r>
      <w:r w:rsidR="008F37CB">
        <w:rPr>
          <w:rFonts w:asciiTheme="majorBidi" w:hAnsiTheme="majorBidi" w:cstheme="majorBidi"/>
          <w:sz w:val="20"/>
          <w:szCs w:val="20"/>
        </w:rPr>
        <w:t xml:space="preserve"> </w:t>
      </w:r>
      <w:r>
        <w:rPr>
          <w:rFonts w:asciiTheme="majorBidi" w:hAnsiTheme="majorBidi" w:cstheme="majorBidi"/>
          <w:sz w:val="20"/>
          <w:szCs w:val="20"/>
        </w:rPr>
        <w:t xml:space="preserve">dengan teknik analisis </w:t>
      </w:r>
      <w:r w:rsidRPr="00D9405E">
        <w:rPr>
          <w:rFonts w:asciiTheme="majorBidi" w:hAnsiTheme="majorBidi" w:cstheme="majorBidi"/>
          <w:sz w:val="20"/>
          <w:szCs w:val="20"/>
        </w:rPr>
        <w:t>deskriptif komparatif untuk mengidentifikasi pola</w:t>
      </w:r>
      <w:r>
        <w:rPr>
          <w:rFonts w:asciiTheme="majorBidi" w:hAnsiTheme="majorBidi" w:cstheme="majorBidi"/>
          <w:sz w:val="20"/>
          <w:szCs w:val="20"/>
        </w:rPr>
        <w:t xml:space="preserve"> dan </w:t>
      </w:r>
      <w:r w:rsidRPr="00D9405E">
        <w:rPr>
          <w:rFonts w:asciiTheme="majorBidi" w:hAnsiTheme="majorBidi" w:cstheme="majorBidi"/>
          <w:sz w:val="20"/>
          <w:szCs w:val="20"/>
        </w:rPr>
        <w:t>perbedaan</w:t>
      </w:r>
      <w:r>
        <w:rPr>
          <w:rFonts w:asciiTheme="majorBidi" w:hAnsiTheme="majorBidi" w:cstheme="majorBidi"/>
          <w:sz w:val="20"/>
          <w:szCs w:val="20"/>
        </w:rPr>
        <w:t xml:space="preserve"> </w:t>
      </w:r>
      <w:r w:rsidRPr="00D9405E">
        <w:rPr>
          <w:rFonts w:asciiTheme="majorBidi" w:hAnsiTheme="majorBidi" w:cstheme="majorBidi"/>
          <w:sz w:val="20"/>
          <w:szCs w:val="20"/>
        </w:rPr>
        <w:t>dari</w:t>
      </w:r>
      <w:r>
        <w:rPr>
          <w:rFonts w:asciiTheme="majorBidi" w:hAnsiTheme="majorBidi" w:cstheme="majorBidi"/>
          <w:sz w:val="20"/>
          <w:szCs w:val="20"/>
        </w:rPr>
        <w:t xml:space="preserve"> kedua perspektif</w:t>
      </w:r>
      <w:r w:rsidRPr="00D9405E">
        <w:rPr>
          <w:rFonts w:asciiTheme="majorBidi" w:hAnsiTheme="majorBidi" w:cstheme="majorBidi"/>
          <w:sz w:val="20"/>
          <w:szCs w:val="20"/>
        </w:rPr>
        <w:t>.</w:t>
      </w:r>
    </w:p>
    <w:p w14:paraId="514C6C5A" w14:textId="7214DAD0" w:rsidR="003E74D0" w:rsidRPr="008C09E2" w:rsidRDefault="003E74D0" w:rsidP="0014375A">
      <w:pPr>
        <w:spacing w:line="240" w:lineRule="auto"/>
        <w:ind w:firstLine="720"/>
        <w:jc w:val="both"/>
        <w:rPr>
          <w:rFonts w:asciiTheme="majorBidi" w:hAnsiTheme="majorBidi" w:cstheme="majorBidi"/>
          <w:i/>
          <w:iCs/>
          <w:sz w:val="20"/>
          <w:szCs w:val="20"/>
        </w:rPr>
      </w:pPr>
      <w:r w:rsidRPr="008C09E2">
        <w:rPr>
          <w:rFonts w:asciiTheme="majorBidi" w:hAnsiTheme="majorBidi" w:cstheme="majorBidi"/>
          <w:sz w:val="20"/>
          <w:szCs w:val="20"/>
        </w:rPr>
        <w:t xml:space="preserve">Penelitian ini menunjukkan bahwa kesaksian </w:t>
      </w:r>
      <w:r w:rsidRPr="008C09E2">
        <w:rPr>
          <w:rFonts w:asciiTheme="majorBidi" w:hAnsiTheme="majorBidi" w:cstheme="majorBidi"/>
          <w:i/>
          <w:iCs/>
          <w:sz w:val="20"/>
          <w:szCs w:val="20"/>
        </w:rPr>
        <w:t xml:space="preserve">testimonium de auditu </w:t>
      </w:r>
      <w:r w:rsidRPr="008C09E2">
        <w:rPr>
          <w:rFonts w:asciiTheme="majorBidi" w:hAnsiTheme="majorBidi" w:cstheme="majorBidi"/>
          <w:sz w:val="20"/>
          <w:szCs w:val="20"/>
        </w:rPr>
        <w:t>memiliki peran penting dalam sistem</w:t>
      </w:r>
      <w:r w:rsidR="00751C53">
        <w:rPr>
          <w:rFonts w:asciiTheme="majorBidi" w:hAnsiTheme="majorBidi" w:cstheme="majorBidi"/>
          <w:sz w:val="20"/>
          <w:szCs w:val="20"/>
        </w:rPr>
        <w:t xml:space="preserve"> pembuktian</w:t>
      </w:r>
      <w:r w:rsidRPr="008C09E2">
        <w:rPr>
          <w:rFonts w:asciiTheme="majorBidi" w:hAnsiTheme="majorBidi" w:cstheme="majorBidi"/>
          <w:sz w:val="20"/>
          <w:szCs w:val="20"/>
        </w:rPr>
        <w:t xml:space="preserve">, namun </w:t>
      </w:r>
      <w:r w:rsidR="003D7277">
        <w:rPr>
          <w:rFonts w:asciiTheme="majorBidi" w:hAnsiTheme="majorBidi" w:cstheme="majorBidi"/>
          <w:sz w:val="20"/>
          <w:szCs w:val="20"/>
        </w:rPr>
        <w:t xml:space="preserve">dalam </w:t>
      </w:r>
      <w:r w:rsidRPr="008C09E2">
        <w:rPr>
          <w:rFonts w:asciiTheme="majorBidi" w:hAnsiTheme="majorBidi" w:cstheme="majorBidi"/>
          <w:sz w:val="20"/>
          <w:szCs w:val="20"/>
        </w:rPr>
        <w:t xml:space="preserve">penerapannya </w:t>
      </w:r>
      <w:r w:rsidR="003D7277">
        <w:rPr>
          <w:rFonts w:asciiTheme="majorBidi" w:hAnsiTheme="majorBidi" w:cstheme="majorBidi"/>
          <w:sz w:val="20"/>
          <w:szCs w:val="20"/>
        </w:rPr>
        <w:t>ada p</w:t>
      </w:r>
      <w:r w:rsidRPr="008C09E2">
        <w:rPr>
          <w:rFonts w:asciiTheme="majorBidi" w:hAnsiTheme="majorBidi" w:cstheme="majorBidi"/>
          <w:sz w:val="20"/>
          <w:szCs w:val="20"/>
        </w:rPr>
        <w:t>erbeda</w:t>
      </w:r>
      <w:r w:rsidR="003D7277">
        <w:rPr>
          <w:rFonts w:asciiTheme="majorBidi" w:hAnsiTheme="majorBidi" w:cstheme="majorBidi"/>
          <w:sz w:val="20"/>
          <w:szCs w:val="20"/>
        </w:rPr>
        <w:t>an</w:t>
      </w:r>
      <w:r w:rsidRPr="008C09E2">
        <w:rPr>
          <w:rFonts w:asciiTheme="majorBidi" w:hAnsiTheme="majorBidi" w:cstheme="majorBidi"/>
          <w:sz w:val="20"/>
          <w:szCs w:val="20"/>
        </w:rPr>
        <w:t xml:space="preserve"> antara KUHAP dan Qanun Hukum Acara Jinayat (QHAJ). </w:t>
      </w:r>
      <w:r w:rsidRPr="008C09E2">
        <w:rPr>
          <w:rFonts w:asciiTheme="majorBidi" w:hAnsiTheme="majorBidi" w:cstheme="majorBidi"/>
          <w:i/>
          <w:iCs/>
          <w:sz w:val="20"/>
          <w:szCs w:val="20"/>
        </w:rPr>
        <w:t>Pertama</w:t>
      </w:r>
      <w:r w:rsidRPr="008C09E2">
        <w:rPr>
          <w:rFonts w:asciiTheme="majorBidi" w:hAnsiTheme="majorBidi" w:cstheme="majorBidi"/>
          <w:sz w:val="20"/>
          <w:szCs w:val="20"/>
        </w:rPr>
        <w:t xml:space="preserve">, </w:t>
      </w:r>
      <w:r w:rsidR="008C09E2" w:rsidRPr="008C09E2">
        <w:rPr>
          <w:rFonts w:asciiTheme="majorBidi" w:hAnsiTheme="majorBidi" w:cstheme="majorBidi"/>
          <w:sz w:val="20"/>
          <w:szCs w:val="20"/>
        </w:rPr>
        <w:t>d</w:t>
      </w:r>
      <w:r w:rsidRPr="008C09E2">
        <w:rPr>
          <w:rFonts w:asciiTheme="majorBidi" w:hAnsiTheme="majorBidi" w:cstheme="majorBidi"/>
          <w:sz w:val="20"/>
          <w:szCs w:val="20"/>
        </w:rPr>
        <w:t xml:space="preserve">alam KUHAP, kesaksian ini mendapatkan legitimasi hukum setelah Putusan Mahkamah Konstitusi Nomor 65/PUU-VIII/2010, yang mengakui </w:t>
      </w:r>
      <w:r w:rsidRPr="008C09E2">
        <w:rPr>
          <w:rFonts w:asciiTheme="majorBidi" w:hAnsiTheme="majorBidi" w:cstheme="majorBidi"/>
          <w:i/>
          <w:iCs/>
          <w:sz w:val="20"/>
          <w:szCs w:val="20"/>
        </w:rPr>
        <w:t>testimonium de auditu</w:t>
      </w:r>
      <w:r w:rsidRPr="008C09E2">
        <w:rPr>
          <w:rFonts w:asciiTheme="majorBidi" w:hAnsiTheme="majorBidi" w:cstheme="majorBidi"/>
          <w:sz w:val="20"/>
          <w:szCs w:val="20"/>
        </w:rPr>
        <w:t xml:space="preserve"> sebagai alat bukti yang sah. Hal ini menandakan adanya perubahan dalam cara pandang hukum terhadap keterangan saksi yang tidak langsung, sehingga dapat digunakan dalam proses pembuktian di pengadilan. </w:t>
      </w:r>
      <w:r w:rsidR="008C09E2" w:rsidRPr="008C09E2">
        <w:rPr>
          <w:rFonts w:asciiTheme="majorBidi" w:hAnsiTheme="majorBidi" w:cstheme="majorBidi"/>
          <w:i/>
          <w:iCs/>
          <w:sz w:val="20"/>
          <w:szCs w:val="20"/>
        </w:rPr>
        <w:t>Kedua</w:t>
      </w:r>
      <w:r w:rsidRPr="008C09E2">
        <w:rPr>
          <w:rFonts w:asciiTheme="majorBidi" w:hAnsiTheme="majorBidi" w:cstheme="majorBidi"/>
          <w:i/>
          <w:iCs/>
          <w:sz w:val="20"/>
          <w:szCs w:val="20"/>
        </w:rPr>
        <w:t>,</w:t>
      </w:r>
      <w:r w:rsidRPr="008C09E2">
        <w:rPr>
          <w:rFonts w:asciiTheme="majorBidi" w:hAnsiTheme="majorBidi" w:cstheme="majorBidi"/>
          <w:sz w:val="20"/>
          <w:szCs w:val="20"/>
        </w:rPr>
        <w:t xml:space="preserve"> </w:t>
      </w:r>
      <w:r w:rsidR="008C09E2" w:rsidRPr="008C09E2">
        <w:rPr>
          <w:rFonts w:asciiTheme="majorBidi" w:hAnsiTheme="majorBidi" w:cstheme="majorBidi"/>
          <w:sz w:val="20"/>
          <w:szCs w:val="20"/>
        </w:rPr>
        <w:t xml:space="preserve">dalam </w:t>
      </w:r>
      <w:r w:rsidRPr="008C09E2">
        <w:rPr>
          <w:rFonts w:asciiTheme="majorBidi" w:hAnsiTheme="majorBidi" w:cstheme="majorBidi"/>
          <w:sz w:val="20"/>
          <w:szCs w:val="20"/>
        </w:rPr>
        <w:t xml:space="preserve">QHAJ </w:t>
      </w:r>
      <w:r w:rsidR="0014375A">
        <w:rPr>
          <w:rFonts w:asciiTheme="majorBidi" w:hAnsiTheme="majorBidi" w:cstheme="majorBidi"/>
          <w:sz w:val="20"/>
          <w:szCs w:val="20"/>
        </w:rPr>
        <w:t xml:space="preserve">masih </w:t>
      </w:r>
      <w:r w:rsidRPr="008C09E2">
        <w:rPr>
          <w:rFonts w:asciiTheme="majorBidi" w:hAnsiTheme="majorBidi" w:cstheme="majorBidi"/>
          <w:sz w:val="20"/>
          <w:szCs w:val="20"/>
        </w:rPr>
        <w:t>tetap berpegang pada prinsip bahwa saksi haruslah orang yang melihat atau mendengar secara langsung</w:t>
      </w:r>
      <w:r w:rsidR="00A84DB4">
        <w:rPr>
          <w:rFonts w:asciiTheme="majorBidi" w:hAnsiTheme="majorBidi" w:cstheme="majorBidi"/>
          <w:sz w:val="20"/>
          <w:szCs w:val="20"/>
        </w:rPr>
        <w:t xml:space="preserve"> </w:t>
      </w:r>
      <w:r w:rsidR="003D7277">
        <w:rPr>
          <w:rFonts w:asciiTheme="majorBidi" w:hAnsiTheme="majorBidi" w:cstheme="majorBidi"/>
          <w:sz w:val="20"/>
          <w:szCs w:val="20"/>
        </w:rPr>
        <w:t>atau ia alami sendiri</w:t>
      </w:r>
      <w:r w:rsidRPr="008C09E2">
        <w:rPr>
          <w:rFonts w:asciiTheme="majorBidi" w:hAnsiTheme="majorBidi" w:cstheme="majorBidi"/>
          <w:sz w:val="20"/>
          <w:szCs w:val="20"/>
        </w:rPr>
        <w:t xml:space="preserve"> kejadian tersebut. Meskipun demikian, terdapat fleksibilitas dalam sistem peradilan Islam yang diungkapkan oleh Ibnu Qayyim al-Jauziyyah, yang menyatakan bahwa </w:t>
      </w:r>
      <w:r w:rsidRPr="008C09E2">
        <w:rPr>
          <w:rFonts w:asciiTheme="majorBidi" w:hAnsiTheme="majorBidi" w:cstheme="majorBidi"/>
          <w:i/>
          <w:iCs/>
          <w:sz w:val="20"/>
          <w:szCs w:val="20"/>
        </w:rPr>
        <w:t>testimonium de auditu</w:t>
      </w:r>
      <w:r w:rsidRPr="008C09E2">
        <w:rPr>
          <w:rFonts w:asciiTheme="majorBidi" w:hAnsiTheme="majorBidi" w:cstheme="majorBidi"/>
          <w:sz w:val="20"/>
          <w:szCs w:val="20"/>
        </w:rPr>
        <w:t xml:space="preserve"> dapat diterima jika informasi tersebut telah menyebar di masyarakat dan dianggap sebagai alat bukti </w:t>
      </w:r>
      <w:r w:rsidRPr="008C09E2">
        <w:rPr>
          <w:rFonts w:asciiTheme="majorBidi" w:hAnsiTheme="majorBidi" w:cstheme="majorBidi"/>
          <w:i/>
          <w:iCs/>
          <w:sz w:val="20"/>
          <w:szCs w:val="20"/>
        </w:rPr>
        <w:t>qarinah</w:t>
      </w:r>
      <w:r w:rsidR="00751C53">
        <w:rPr>
          <w:rFonts w:asciiTheme="majorBidi" w:hAnsiTheme="majorBidi" w:cstheme="majorBidi"/>
          <w:i/>
          <w:iCs/>
          <w:sz w:val="20"/>
          <w:szCs w:val="20"/>
        </w:rPr>
        <w:t>.</w:t>
      </w:r>
    </w:p>
    <w:p w14:paraId="26FD1B58" w14:textId="426900B1" w:rsidR="008D372B" w:rsidRPr="00CB5B4E" w:rsidRDefault="008D372B" w:rsidP="00AB4351">
      <w:pPr>
        <w:jc w:val="both"/>
        <w:rPr>
          <w:rFonts w:asciiTheme="majorBidi" w:hAnsiTheme="majorBidi" w:cstheme="majorBidi"/>
          <w:b/>
          <w:bCs/>
          <w:i/>
          <w:iCs/>
          <w:sz w:val="20"/>
          <w:szCs w:val="20"/>
          <w:lang w:val="en-US"/>
        </w:rPr>
      </w:pPr>
      <w:r w:rsidRPr="00CB5B4E">
        <w:rPr>
          <w:rFonts w:asciiTheme="majorBidi" w:hAnsiTheme="majorBidi" w:cstheme="majorBidi"/>
          <w:b/>
          <w:bCs/>
          <w:i/>
          <w:iCs/>
          <w:sz w:val="20"/>
          <w:szCs w:val="20"/>
        </w:rPr>
        <w:t>Kata kunci: Pelecehan Seksual Terhadap Anak, Testimonium De Auditu, Sistem Pembuktian</w:t>
      </w:r>
    </w:p>
    <w:p w14:paraId="570EBB49" w14:textId="116E4309" w:rsidR="008D372B" w:rsidRPr="00AF1B4C" w:rsidRDefault="008D372B" w:rsidP="00AF1B4C">
      <w:pPr>
        <w:pStyle w:val="Heading1"/>
      </w:pPr>
      <w:bookmarkStart w:id="11" w:name="_Toc185961329"/>
      <w:r w:rsidRPr="00AF1B4C">
        <w:lastRenderedPageBreak/>
        <w:t>ABSTRAC</w:t>
      </w:r>
      <w:r w:rsidR="00EE1704">
        <w:t>T</w:t>
      </w:r>
      <w:bookmarkEnd w:id="11"/>
    </w:p>
    <w:p w14:paraId="6B33C1D3" w14:textId="77777777" w:rsidR="008D372B" w:rsidRPr="003E41F2" w:rsidRDefault="008D372B" w:rsidP="003E41F2">
      <w:pPr>
        <w:spacing w:line="240" w:lineRule="auto"/>
        <w:ind w:firstLine="720"/>
        <w:jc w:val="both"/>
        <w:rPr>
          <w:rFonts w:asciiTheme="majorBidi" w:hAnsiTheme="majorBidi" w:cstheme="majorBidi"/>
          <w:sz w:val="20"/>
          <w:szCs w:val="20"/>
        </w:rPr>
      </w:pPr>
      <w:r w:rsidRPr="003E41F2">
        <w:rPr>
          <w:rFonts w:asciiTheme="majorBidi" w:hAnsiTheme="majorBidi" w:cstheme="majorBidi"/>
          <w:sz w:val="20"/>
          <w:szCs w:val="20"/>
        </w:rPr>
        <w:t>Cases of child sexual abuse are often difficult to prove due to a lack of direct witnesses. The acceptance of hearsay evidence in Takengon Sharia Court Decision Number 9/JN/2023/MS.Tkn is inconsistent with the provisions of the Qanun of Criminal Procedure (QHAJ) in cases of child sexual abuse. Although the Criminal Procedure Code (KUHAP) has broadened the definition of witnesses, the QHAJ still adheres to the requirement that witnesses must have directly seen, heard, and experienced the event themselves. This research focuses on the issue of applying hearsay evidence in cases of sexual crimes against minors, as exemplified in Takengon Sharia Court Decision Number 9/JN/2023/MS.Tkn. The study aims to analyze the concept of accepting hearsay evidence from the perspectives of positive law and sharia procedural law.</w:t>
      </w:r>
    </w:p>
    <w:p w14:paraId="3B9FA17B" w14:textId="77777777" w:rsidR="008D372B" w:rsidRPr="003E41F2" w:rsidRDefault="008D372B" w:rsidP="003E41F2">
      <w:pPr>
        <w:spacing w:line="240" w:lineRule="auto"/>
        <w:ind w:firstLine="720"/>
        <w:jc w:val="both"/>
        <w:rPr>
          <w:rFonts w:asciiTheme="majorBidi" w:hAnsiTheme="majorBidi" w:cstheme="majorBidi"/>
          <w:sz w:val="20"/>
          <w:szCs w:val="20"/>
        </w:rPr>
      </w:pPr>
      <w:r w:rsidRPr="003E41F2">
        <w:rPr>
          <w:rFonts w:asciiTheme="majorBidi" w:hAnsiTheme="majorBidi" w:cstheme="majorBidi"/>
          <w:sz w:val="20"/>
          <w:szCs w:val="20"/>
        </w:rPr>
        <w:t>This research employs a qualitative method with a normative legal approach. It involves a literature review by searching for and collecting data from laws, books, official documents, and other relevant research. The collected data is then analyzed using a descriptive comparative technique to identify patterns and differences between the two perspectives.</w:t>
      </w:r>
    </w:p>
    <w:p w14:paraId="7602BFD3" w14:textId="77777777" w:rsidR="008D372B" w:rsidRPr="003E41F2" w:rsidRDefault="008D372B" w:rsidP="003E41F2">
      <w:pPr>
        <w:spacing w:line="240" w:lineRule="auto"/>
        <w:ind w:firstLine="720"/>
        <w:jc w:val="both"/>
        <w:rPr>
          <w:rFonts w:asciiTheme="majorBidi" w:hAnsiTheme="majorBidi" w:cstheme="majorBidi"/>
          <w:sz w:val="20"/>
          <w:szCs w:val="20"/>
        </w:rPr>
      </w:pPr>
      <w:r w:rsidRPr="003E41F2">
        <w:rPr>
          <w:rFonts w:asciiTheme="majorBidi" w:hAnsiTheme="majorBidi" w:cstheme="majorBidi"/>
          <w:sz w:val="20"/>
          <w:szCs w:val="20"/>
        </w:rPr>
        <w:t>The results show that although hearsay evidence can be an important piece of evidence, there are significant differences in its application between the two legal systems. Positive law provides legal legitimacy to hearsay evidence and considers it admissible as witness testimony following Constitutional Court Decision Number 65/PUU-VIII/2010. Conversely, the Qanun of Criminal Procedure (QHAJ) still adheres to the requirement that witnesses must be individuals who have seen, heard, and experienced the event firsthand. However, there is flexibility in Islamic jurisprudence, as expressed by Ibn Qayyim Al-Jauziyyah, who stipulates that hearsay evidence can be accepted if the news or information has spread widely among the community, thus serving as circumstantial evidence.</w:t>
      </w:r>
    </w:p>
    <w:p w14:paraId="6286012E" w14:textId="77777777" w:rsidR="008D372B" w:rsidRPr="003E41F2" w:rsidRDefault="008D372B" w:rsidP="00AB4351">
      <w:pPr>
        <w:spacing w:line="240" w:lineRule="auto"/>
        <w:jc w:val="both"/>
        <w:rPr>
          <w:rFonts w:asciiTheme="majorBidi" w:hAnsiTheme="majorBidi" w:cstheme="majorBidi"/>
          <w:b/>
          <w:bCs/>
          <w:i/>
          <w:iCs/>
          <w:sz w:val="20"/>
          <w:szCs w:val="20"/>
          <w:lang w:val="en-US"/>
        </w:rPr>
      </w:pPr>
      <w:r w:rsidRPr="003E41F2">
        <w:rPr>
          <w:rFonts w:asciiTheme="majorBidi" w:hAnsiTheme="majorBidi" w:cstheme="majorBidi"/>
          <w:b/>
          <w:bCs/>
          <w:i/>
          <w:iCs/>
          <w:sz w:val="20"/>
          <w:szCs w:val="20"/>
          <w:lang w:val="en-US"/>
        </w:rPr>
        <w:t>Key words: Sexual Abuse Of Children, Testimonium De Auditu, Evidence System</w:t>
      </w:r>
    </w:p>
    <w:p w14:paraId="49E8218B" w14:textId="77777777" w:rsidR="008D372B" w:rsidRDefault="008D372B">
      <w:pPr>
        <w:rPr>
          <w:rFonts w:asciiTheme="majorBidi" w:hAnsiTheme="majorBidi" w:cstheme="majorBidi"/>
          <w:b/>
          <w:bCs/>
          <w:sz w:val="24"/>
          <w:szCs w:val="24"/>
          <w:lang w:val="en-US"/>
        </w:rPr>
      </w:pPr>
      <w:r>
        <w:br w:type="page"/>
      </w:r>
    </w:p>
    <w:p w14:paraId="695BB78C" w14:textId="77777777" w:rsidR="008D372B" w:rsidRPr="0021033E" w:rsidRDefault="008D372B" w:rsidP="0021033E">
      <w:pPr>
        <w:pStyle w:val="Heading1"/>
      </w:pPr>
      <w:bookmarkStart w:id="12" w:name="_Toc185961330"/>
      <w:r w:rsidRPr="00876F81">
        <w:lastRenderedPageBreak/>
        <w:t>KATA PENGANTAR</w:t>
      </w:r>
      <w:bookmarkEnd w:id="12"/>
    </w:p>
    <w:p w14:paraId="7E9D5ED5" w14:textId="55732ECB" w:rsidR="008D372B" w:rsidRPr="0021033E" w:rsidRDefault="008D372B" w:rsidP="00A42310">
      <w:pPr>
        <w:spacing w:line="276" w:lineRule="auto"/>
        <w:ind w:firstLine="567"/>
        <w:jc w:val="both"/>
        <w:rPr>
          <w:rFonts w:asciiTheme="majorBidi" w:hAnsiTheme="majorBidi" w:cstheme="majorBidi"/>
          <w:lang w:val="en-US"/>
        </w:rPr>
      </w:pPr>
      <w:r w:rsidRPr="0021033E">
        <w:rPr>
          <w:rFonts w:asciiTheme="majorBidi" w:hAnsiTheme="majorBidi" w:cstheme="majorBidi"/>
          <w:lang w:val="en-US"/>
        </w:rPr>
        <w:t>Alhamdulillah, dengan mengucapkan puji syukur saya panjatkan kehadirat Allah SWT, yang telah melimpahkan rahmat dan karunia-Nya, sehingga pada akhir</w:t>
      </w:r>
      <w:r w:rsidR="00EE1704">
        <w:rPr>
          <w:rFonts w:asciiTheme="majorBidi" w:hAnsiTheme="majorBidi" w:cstheme="majorBidi"/>
          <w:lang w:val="en-US"/>
        </w:rPr>
        <w:t>n</w:t>
      </w:r>
      <w:r w:rsidRPr="0021033E">
        <w:rPr>
          <w:rFonts w:asciiTheme="majorBidi" w:hAnsiTheme="majorBidi" w:cstheme="majorBidi"/>
          <w:lang w:val="en-US"/>
        </w:rPr>
        <w:t xml:space="preserve">ya penulis dapat menyelesaikan skripsi yang berjudul </w:t>
      </w:r>
      <w:r w:rsidR="00704603" w:rsidRPr="00704603">
        <w:rPr>
          <w:rFonts w:asciiTheme="majorBidi" w:hAnsiTheme="majorBidi" w:cstheme="majorBidi"/>
          <w:b/>
          <w:bCs/>
          <w:i/>
          <w:iCs/>
          <w:lang w:val="en-US"/>
        </w:rPr>
        <w:t>Analisis Kesaksian Testimonium De Auditu pada Tindak Pidana Pelecehan Seksual Terhadap Anak dalam Perspektif Kitab Undang-Undang Hukum Acara Pidana (</w:t>
      </w:r>
      <w:r w:rsidR="0034433C" w:rsidRPr="00704603">
        <w:rPr>
          <w:rFonts w:asciiTheme="majorBidi" w:hAnsiTheme="majorBidi" w:cstheme="majorBidi"/>
          <w:b/>
          <w:bCs/>
          <w:i/>
          <w:iCs/>
          <w:lang w:val="en-US"/>
        </w:rPr>
        <w:t>KUHAP</w:t>
      </w:r>
      <w:r w:rsidR="00704603" w:rsidRPr="00704603">
        <w:rPr>
          <w:rFonts w:asciiTheme="majorBidi" w:hAnsiTheme="majorBidi" w:cstheme="majorBidi"/>
          <w:b/>
          <w:bCs/>
          <w:i/>
          <w:iCs/>
          <w:lang w:val="en-US"/>
        </w:rPr>
        <w:t xml:space="preserve">) dan Qanun Hukum Acara Jinayat (Studi Putusan Mahkamah Syariah Takengon Nomor 9/JN?2023/MS.Tkn) </w:t>
      </w:r>
      <w:r w:rsidRPr="0021033E">
        <w:rPr>
          <w:rFonts w:asciiTheme="majorBidi" w:hAnsiTheme="majorBidi" w:cstheme="majorBidi"/>
          <w:lang w:val="en-US"/>
        </w:rPr>
        <w:t>Penulisan skripsi ini dibuat sebagai salah satu syarat kelulusan program Sarjana Hukum Pidana Islam dari Program Studi Hukum Pidana Islam Fakultas Syariah dan Hukum Universitas islam Negeri Walisongo Semarang. Penulis menyadari bahwa tanpa bimbingan dan dorongan dari semua pihak, maka penulisan skripsi ini tidak akan berjalan lancar. Oleh karena itu pada kesempatan ini, izinkanlah penulis menyampaikan ucapan terima kasih kepada:</w:t>
      </w:r>
    </w:p>
    <w:p w14:paraId="1CA0353F" w14:textId="77777777" w:rsidR="008D372B" w:rsidRPr="0021033E" w:rsidRDefault="008D372B" w:rsidP="00A42310">
      <w:pPr>
        <w:pStyle w:val="ListParagraph"/>
        <w:numPr>
          <w:ilvl w:val="0"/>
          <w:numId w:val="82"/>
        </w:numPr>
        <w:spacing w:line="276" w:lineRule="auto"/>
        <w:ind w:left="567" w:hanging="501"/>
        <w:jc w:val="both"/>
        <w:rPr>
          <w:rFonts w:asciiTheme="majorBidi" w:hAnsiTheme="majorBidi" w:cstheme="majorBidi"/>
          <w:lang w:val="en-US"/>
        </w:rPr>
      </w:pPr>
      <w:r w:rsidRPr="0021033E">
        <w:rPr>
          <w:rFonts w:asciiTheme="majorBidi" w:hAnsiTheme="majorBidi" w:cstheme="majorBidi"/>
          <w:lang w:val="en-US"/>
        </w:rPr>
        <w:t>Bapak Drs. H. Eman Sulaeman MH dan Arifana Nur Kholiq M.S.I,  selaku Dosen Pembimbing skripsi  yang telah menyediakan waktu, tenaga dan pikiran untuk mengarahkan penulis dalam penyusunan skripsi ini. Terima kasih atas ilmu dan pengetahuan yang telah diberikan.</w:t>
      </w:r>
    </w:p>
    <w:p w14:paraId="492766B6" w14:textId="77777777" w:rsidR="008D372B" w:rsidRPr="0021033E" w:rsidRDefault="008D372B" w:rsidP="00A42310">
      <w:pPr>
        <w:pStyle w:val="ListParagraph"/>
        <w:numPr>
          <w:ilvl w:val="0"/>
          <w:numId w:val="82"/>
        </w:numPr>
        <w:spacing w:line="276" w:lineRule="auto"/>
        <w:ind w:left="567" w:hanging="501"/>
        <w:jc w:val="both"/>
        <w:rPr>
          <w:rFonts w:asciiTheme="majorBidi" w:hAnsiTheme="majorBidi" w:cstheme="majorBidi"/>
          <w:lang w:val="en-US"/>
        </w:rPr>
      </w:pPr>
      <w:r w:rsidRPr="0021033E">
        <w:rPr>
          <w:rFonts w:asciiTheme="majorBidi" w:hAnsiTheme="majorBidi" w:cstheme="majorBidi"/>
          <w:lang w:val="en-US"/>
        </w:rPr>
        <w:t xml:space="preserve">Dosen Fakultas Syariah dan Hukum Universitas Islam Negeri Walisongo Semarang, yang telah memberikan ilmu dan pengalamannya serta mendidik penulis selama masa kuliah. </w:t>
      </w:r>
    </w:p>
    <w:p w14:paraId="2E278211" w14:textId="174AEC6F" w:rsidR="008D372B" w:rsidRPr="0021033E" w:rsidRDefault="008D372B" w:rsidP="00A42310">
      <w:pPr>
        <w:pStyle w:val="ListParagraph"/>
        <w:numPr>
          <w:ilvl w:val="0"/>
          <w:numId w:val="82"/>
        </w:numPr>
        <w:spacing w:line="276" w:lineRule="auto"/>
        <w:ind w:left="567" w:hanging="501"/>
        <w:jc w:val="both"/>
        <w:rPr>
          <w:rFonts w:asciiTheme="majorBidi" w:hAnsiTheme="majorBidi" w:cstheme="majorBidi"/>
          <w:lang w:val="en-US"/>
        </w:rPr>
      </w:pPr>
      <w:r>
        <w:rPr>
          <w:rFonts w:asciiTheme="majorBidi" w:hAnsiTheme="majorBidi" w:cstheme="majorBidi"/>
          <w:lang w:val="en-US"/>
        </w:rPr>
        <w:t>Grub Nasabah Herxi</w:t>
      </w:r>
      <w:r w:rsidR="00704603">
        <w:rPr>
          <w:rFonts w:asciiTheme="majorBidi" w:hAnsiTheme="majorBidi" w:cstheme="majorBidi"/>
          <w:lang w:val="en-US"/>
        </w:rPr>
        <w:t xml:space="preserve"> ( Tasim, Haqi, Gilang, Yusuf, Gilar, Cannol, Fiki, Intan, Nafisah, Dimas Solo, Thorik, Herxi, Ihyak, Kapid, Najid, Baihaqi)</w:t>
      </w:r>
      <w:r>
        <w:rPr>
          <w:rFonts w:asciiTheme="majorBidi" w:hAnsiTheme="majorBidi" w:cstheme="majorBidi"/>
          <w:lang w:val="en-US"/>
        </w:rPr>
        <w:t xml:space="preserve"> </w:t>
      </w:r>
      <w:r w:rsidRPr="0021033E">
        <w:rPr>
          <w:rFonts w:asciiTheme="majorBidi" w:hAnsiTheme="majorBidi" w:cstheme="majorBidi"/>
          <w:lang w:val="en-US"/>
        </w:rPr>
        <w:t xml:space="preserve">selaku teman baik semasa perkuliahan. Terima kasih telah membuat kehidupan perkuliahan terasa begitu cepat dan penuh kebahagiaan. </w:t>
      </w:r>
    </w:p>
    <w:p w14:paraId="3CB59F44" w14:textId="77777777" w:rsidR="008D372B" w:rsidRPr="0021033E" w:rsidRDefault="008D372B" w:rsidP="00A42310">
      <w:pPr>
        <w:pStyle w:val="ListParagraph"/>
        <w:numPr>
          <w:ilvl w:val="0"/>
          <w:numId w:val="82"/>
        </w:numPr>
        <w:spacing w:line="276" w:lineRule="auto"/>
        <w:ind w:left="567" w:hanging="501"/>
        <w:jc w:val="both"/>
        <w:rPr>
          <w:rFonts w:asciiTheme="majorBidi" w:hAnsiTheme="majorBidi" w:cstheme="majorBidi"/>
          <w:lang w:val="en-US"/>
        </w:rPr>
      </w:pPr>
      <w:r w:rsidRPr="0021033E">
        <w:rPr>
          <w:rFonts w:asciiTheme="majorBidi" w:hAnsiTheme="majorBidi" w:cstheme="majorBidi"/>
          <w:lang w:val="en-US"/>
        </w:rPr>
        <w:lastRenderedPageBreak/>
        <w:t>Rekan-Rekan Mahasiswa/I Hukum Pidana Islam angkatan 2021. Terima kasih atas kenangan dan pengalaman nya.</w:t>
      </w:r>
    </w:p>
    <w:p w14:paraId="1EABCC6C" w14:textId="58D4B748" w:rsidR="008D372B" w:rsidRPr="0021033E" w:rsidRDefault="008D372B" w:rsidP="00A42310">
      <w:pPr>
        <w:pStyle w:val="ListParagraph"/>
        <w:numPr>
          <w:ilvl w:val="0"/>
          <w:numId w:val="82"/>
        </w:numPr>
        <w:spacing w:line="276" w:lineRule="auto"/>
        <w:ind w:left="567" w:hanging="501"/>
        <w:jc w:val="both"/>
        <w:rPr>
          <w:rFonts w:asciiTheme="majorBidi" w:hAnsiTheme="majorBidi" w:cstheme="majorBidi"/>
          <w:lang w:val="en-US"/>
        </w:rPr>
      </w:pPr>
      <w:r w:rsidRPr="0021033E">
        <w:rPr>
          <w:rFonts w:asciiTheme="majorBidi" w:hAnsiTheme="majorBidi" w:cstheme="majorBidi"/>
          <w:lang w:val="en-US"/>
        </w:rPr>
        <w:t>Teman</w:t>
      </w:r>
      <w:r w:rsidR="003562AA">
        <w:rPr>
          <w:rFonts w:asciiTheme="majorBidi" w:hAnsiTheme="majorBidi" w:cstheme="majorBidi"/>
          <w:lang w:val="en-US"/>
        </w:rPr>
        <w:t>-</w:t>
      </w:r>
      <w:r w:rsidRPr="0021033E">
        <w:rPr>
          <w:rFonts w:asciiTheme="majorBidi" w:hAnsiTheme="majorBidi" w:cstheme="majorBidi"/>
          <w:lang w:val="en-US"/>
        </w:rPr>
        <w:t>teman kontrakan Karons</w:t>
      </w:r>
      <w:r w:rsidR="00EE1704">
        <w:rPr>
          <w:rFonts w:asciiTheme="majorBidi" w:hAnsiTheme="majorBidi" w:cstheme="majorBidi"/>
          <w:lang w:val="en-US"/>
        </w:rPr>
        <w:t>i</w:t>
      </w:r>
      <w:r w:rsidRPr="0021033E">
        <w:rPr>
          <w:rFonts w:asciiTheme="majorBidi" w:hAnsiTheme="majorBidi" w:cstheme="majorBidi"/>
          <w:lang w:val="en-US"/>
        </w:rPr>
        <w:t>h (Aldi, Arza’, Sibul, Zapa) dan s</w:t>
      </w:r>
      <w:r w:rsidR="005C000B">
        <w:rPr>
          <w:rFonts w:asciiTheme="majorBidi" w:hAnsiTheme="majorBidi" w:cstheme="majorBidi"/>
          <w:lang w:val="en-US"/>
        </w:rPr>
        <w:t>ahabat</w:t>
      </w:r>
      <w:r w:rsidRPr="0021033E">
        <w:rPr>
          <w:rFonts w:asciiTheme="majorBidi" w:hAnsiTheme="majorBidi" w:cstheme="majorBidi"/>
          <w:lang w:val="en-US"/>
        </w:rPr>
        <w:t xml:space="preserve"> Ghazi, terima kasih telah memberikan tempat transit</w:t>
      </w:r>
      <w:r w:rsidR="005C000B">
        <w:rPr>
          <w:rFonts w:asciiTheme="majorBidi" w:hAnsiTheme="majorBidi" w:cstheme="majorBidi"/>
          <w:lang w:val="en-US"/>
        </w:rPr>
        <w:t xml:space="preserve"> kepada penulis semasa kuliah. </w:t>
      </w:r>
      <w:r w:rsidRPr="0021033E">
        <w:rPr>
          <w:rFonts w:asciiTheme="majorBidi" w:hAnsiTheme="majorBidi" w:cstheme="majorBidi"/>
          <w:lang w:val="en-US"/>
        </w:rPr>
        <w:t xml:space="preserve"> </w:t>
      </w:r>
    </w:p>
    <w:p w14:paraId="3FCE011C" w14:textId="77777777" w:rsidR="008D372B" w:rsidRPr="0021033E" w:rsidRDefault="008D372B" w:rsidP="00A42310">
      <w:pPr>
        <w:pStyle w:val="ListParagraph"/>
        <w:numPr>
          <w:ilvl w:val="0"/>
          <w:numId w:val="82"/>
        </w:numPr>
        <w:spacing w:line="276" w:lineRule="auto"/>
        <w:ind w:left="567" w:hanging="501"/>
        <w:jc w:val="both"/>
        <w:rPr>
          <w:rFonts w:asciiTheme="majorBidi" w:hAnsiTheme="majorBidi" w:cstheme="majorBidi"/>
          <w:lang w:val="en-US"/>
        </w:rPr>
      </w:pPr>
      <w:r>
        <w:rPr>
          <w:rFonts w:asciiTheme="majorBidi" w:hAnsiTheme="majorBidi" w:cstheme="majorBidi"/>
          <w:lang w:val="en-US"/>
        </w:rPr>
        <w:t xml:space="preserve">Kepada </w:t>
      </w:r>
      <w:r w:rsidRPr="005F1698">
        <w:rPr>
          <w:rFonts w:asciiTheme="majorBidi" w:hAnsiTheme="majorBidi" w:cstheme="majorBidi"/>
          <w:lang w:val="en-US"/>
        </w:rPr>
        <w:t>semua pihak yang tak sempat penulis sebutkan yang telah membantu penulis khususnya dalam penulisan skripsi, terimakasih. Semoga semua kebaikan kalian berbalas dengan pahala dari Allah Yang Maha Kuasa.</w:t>
      </w:r>
    </w:p>
    <w:p w14:paraId="5D0D59A6" w14:textId="20A2108D" w:rsidR="008D372B" w:rsidRPr="0021033E" w:rsidRDefault="008D372B" w:rsidP="00A42310">
      <w:pPr>
        <w:pStyle w:val="ListParagraph"/>
        <w:numPr>
          <w:ilvl w:val="0"/>
          <w:numId w:val="82"/>
        </w:numPr>
        <w:spacing w:line="276" w:lineRule="auto"/>
        <w:ind w:left="567" w:hanging="501"/>
        <w:jc w:val="both"/>
        <w:rPr>
          <w:rFonts w:asciiTheme="majorBidi" w:hAnsiTheme="majorBidi" w:cstheme="majorBidi"/>
          <w:lang w:val="en-US"/>
        </w:rPr>
      </w:pPr>
      <w:r w:rsidRPr="0021033E">
        <w:rPr>
          <w:rFonts w:asciiTheme="majorBidi" w:hAnsiTheme="majorBidi" w:cstheme="majorBidi"/>
          <w:lang w:val="en-US"/>
        </w:rPr>
        <w:t xml:space="preserve">Terakhir, Terima kasih </w:t>
      </w:r>
      <w:r w:rsidR="00041248">
        <w:rPr>
          <w:rFonts w:asciiTheme="majorBidi" w:hAnsiTheme="majorBidi" w:cstheme="majorBidi"/>
          <w:lang w:val="en-US"/>
        </w:rPr>
        <w:t xml:space="preserve">untuk </w:t>
      </w:r>
      <w:r w:rsidRPr="0021033E">
        <w:rPr>
          <w:rFonts w:asciiTheme="majorBidi" w:hAnsiTheme="majorBidi" w:cstheme="majorBidi"/>
          <w:lang w:val="en-US"/>
        </w:rPr>
        <w:t xml:space="preserve">diri saya sendiri </w:t>
      </w:r>
      <w:r w:rsidRPr="0014375A">
        <w:rPr>
          <w:rFonts w:asciiTheme="majorBidi" w:hAnsiTheme="majorBidi" w:cstheme="majorBidi"/>
          <w:b/>
          <w:bCs/>
          <w:lang w:val="en-US"/>
        </w:rPr>
        <w:t xml:space="preserve">Hamid Reza Asefi </w:t>
      </w:r>
      <w:r w:rsidRPr="0021033E">
        <w:rPr>
          <w:rFonts w:asciiTheme="majorBidi" w:hAnsiTheme="majorBidi" w:cstheme="majorBidi"/>
          <w:lang w:val="en-US"/>
        </w:rPr>
        <w:t xml:space="preserve">yang sudah kuat melewati segala lika-liku yang terjadi. Saya bangga pada diri saya sendiri, mari bekerjasama untuk lebih berkembang lagi menjadi pribadi yang lebih baik dari hari ke hari. </w:t>
      </w:r>
    </w:p>
    <w:p w14:paraId="64352446" w14:textId="2859EAA7" w:rsidR="008D372B" w:rsidRPr="00D44043" w:rsidRDefault="008D372B" w:rsidP="00A42310">
      <w:pPr>
        <w:spacing w:line="276" w:lineRule="auto"/>
        <w:ind w:firstLine="567"/>
        <w:jc w:val="both"/>
        <w:rPr>
          <w:rFonts w:asciiTheme="majorBidi" w:hAnsiTheme="majorBidi" w:cstheme="majorBidi"/>
        </w:rPr>
      </w:pPr>
      <w:r w:rsidRPr="00D44043">
        <w:rPr>
          <w:rFonts w:asciiTheme="majorBidi" w:hAnsiTheme="majorBidi" w:cstheme="majorBidi"/>
        </w:rPr>
        <w:t>Penulis menyadari dalam penulisan skripsi ini masih terdapat banyak kekurangan dan kesalahan. Segala sesuatu yang baik datangnya dari Allah dan segala keluputan ataupun kesalahan adalah berasal dari penulis. Semoga penelitian ini bermanfaat dan dapat memberikan kontribusi terhadap perkembangan ilmu pengetahuan.</w:t>
      </w:r>
    </w:p>
    <w:p w14:paraId="65BD6BA4" w14:textId="2C7EFF47" w:rsidR="008D372B" w:rsidRPr="00D44043" w:rsidRDefault="008D372B" w:rsidP="00293618">
      <w:pPr>
        <w:tabs>
          <w:tab w:val="left" w:pos="1985"/>
        </w:tabs>
        <w:spacing w:line="276" w:lineRule="auto"/>
        <w:ind w:left="360" w:firstLine="360"/>
        <w:jc w:val="center"/>
        <w:rPr>
          <w:rFonts w:asciiTheme="majorBidi" w:hAnsiTheme="majorBidi" w:cstheme="majorBidi"/>
        </w:rPr>
      </w:pPr>
    </w:p>
    <w:tbl>
      <w:tblPr>
        <w:tblStyle w:val="TableGrid"/>
        <w:tblW w:w="3956" w:type="dxa"/>
        <w:tblInd w:w="26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6"/>
      </w:tblGrid>
      <w:tr w:rsidR="008D372B" w:rsidRPr="0021033E" w14:paraId="0A65D9E1" w14:textId="77777777" w:rsidTr="00293618">
        <w:trPr>
          <w:trHeight w:val="1015"/>
        </w:trPr>
        <w:tc>
          <w:tcPr>
            <w:tcW w:w="3956" w:type="dxa"/>
          </w:tcPr>
          <w:p w14:paraId="2ED76718" w14:textId="6F268B18" w:rsidR="008D372B" w:rsidRPr="0021033E" w:rsidRDefault="008D372B" w:rsidP="00ED783E">
            <w:pPr>
              <w:jc w:val="center"/>
              <w:rPr>
                <w:rFonts w:asciiTheme="majorBidi" w:hAnsiTheme="majorBidi" w:cstheme="majorBidi"/>
                <w:lang w:val="en-US"/>
              </w:rPr>
            </w:pPr>
            <w:r>
              <w:rPr>
                <w:rFonts w:asciiTheme="majorBidi" w:hAnsiTheme="majorBidi" w:cstheme="majorBidi"/>
                <w:lang w:val="en-US"/>
              </w:rPr>
              <w:t>Semarang</w:t>
            </w:r>
            <w:r w:rsidRPr="0021033E">
              <w:rPr>
                <w:rFonts w:asciiTheme="majorBidi" w:hAnsiTheme="majorBidi" w:cstheme="majorBidi"/>
                <w:lang w:val="en-US"/>
              </w:rPr>
              <w:t>, 30 September 2024</w:t>
            </w:r>
          </w:p>
          <w:p w14:paraId="189AC881" w14:textId="4B823333" w:rsidR="008D372B" w:rsidRDefault="00D33C88" w:rsidP="00200ACC">
            <w:pPr>
              <w:jc w:val="center"/>
              <w:rPr>
                <w:rFonts w:asciiTheme="majorBidi" w:hAnsiTheme="majorBidi" w:cstheme="majorBidi"/>
                <w:lang w:val="en-US"/>
              </w:rPr>
            </w:pPr>
            <w:r>
              <w:rPr>
                <w:rFonts w:asciiTheme="majorBidi" w:hAnsiTheme="majorBidi" w:cstheme="majorBidi"/>
                <w:noProof/>
                <w:sz w:val="24"/>
                <w:szCs w:val="24"/>
                <w:lang w:val="en-US"/>
              </w:rPr>
              <w:drawing>
                <wp:anchor distT="0" distB="0" distL="114300" distR="114300" simplePos="0" relativeHeight="251661312" behindDoc="0" locked="0" layoutInCell="1" allowOverlap="1" wp14:anchorId="01B24B3D" wp14:editId="35E2EF62">
                  <wp:simplePos x="0" y="0"/>
                  <wp:positionH relativeFrom="column">
                    <wp:posOffset>609600</wp:posOffset>
                  </wp:positionH>
                  <wp:positionV relativeFrom="paragraph">
                    <wp:posOffset>146685</wp:posOffset>
                  </wp:positionV>
                  <wp:extent cx="1143000" cy="716280"/>
                  <wp:effectExtent l="0" t="0" r="0" b="0"/>
                  <wp:wrapNone/>
                  <wp:docPr id="9473646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364653" name="Picture 947364653"/>
                          <pic:cNvPicPr/>
                        </pic:nvPicPr>
                        <pic:blipFill rotWithShape="1">
                          <a:blip r:embed="rId11" cstate="print">
                            <a:clrChange>
                              <a:clrFrom>
                                <a:srgbClr val="FFFFFF"/>
                              </a:clrFrom>
                              <a:clrTo>
                                <a:srgbClr val="FFFFFF">
                                  <a:alpha val="0"/>
                                </a:srgbClr>
                              </a:clrTo>
                            </a:clrChange>
                            <a:extLst>
                              <a:ext uri="{BEBA8EAE-BF5A-486C-A8C5-ECC9F3942E4B}">
                                <a14:imgProps xmlns:a14="http://schemas.microsoft.com/office/drawing/2010/main">
                                  <a14:imgLayer r:embed="rId12">
                                    <a14:imgEffect>
                                      <a14:backgroundRemoval t="15624" b="79491" l="10000" r="90000"/>
                                    </a14:imgEffect>
                                  </a14:imgLayer>
                                </a14:imgProps>
                              </a:ext>
                              <a:ext uri="{28A0092B-C50C-407E-A947-70E740481C1C}">
                                <a14:useLocalDpi xmlns:a14="http://schemas.microsoft.com/office/drawing/2010/main" val="0"/>
                              </a:ext>
                            </a:extLst>
                          </a:blip>
                          <a:srcRect t="7641" b="12525"/>
                          <a:stretch/>
                        </pic:blipFill>
                        <pic:spPr bwMode="auto">
                          <a:xfrm>
                            <a:off x="0" y="0"/>
                            <a:ext cx="1143000" cy="716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372B" w:rsidRPr="0021033E">
              <w:rPr>
                <w:rFonts w:asciiTheme="majorBidi" w:hAnsiTheme="majorBidi" w:cstheme="majorBidi"/>
                <w:lang w:val="en-US"/>
              </w:rPr>
              <w:t xml:space="preserve">Penulis </w:t>
            </w:r>
          </w:p>
          <w:p w14:paraId="1DF81A4D" w14:textId="274DCA18" w:rsidR="009E3B69" w:rsidRDefault="009E3B69" w:rsidP="00200ACC">
            <w:pPr>
              <w:jc w:val="center"/>
              <w:rPr>
                <w:rFonts w:asciiTheme="majorBidi" w:hAnsiTheme="majorBidi" w:cstheme="majorBidi"/>
                <w:lang w:val="en-US"/>
              </w:rPr>
            </w:pPr>
          </w:p>
          <w:p w14:paraId="25999935" w14:textId="604D02B5" w:rsidR="009E3B69" w:rsidRPr="0021033E" w:rsidRDefault="009E3B69" w:rsidP="00200ACC">
            <w:pPr>
              <w:jc w:val="center"/>
              <w:rPr>
                <w:rFonts w:asciiTheme="majorBidi" w:hAnsiTheme="majorBidi" w:cstheme="majorBidi"/>
                <w:lang w:val="en-US"/>
              </w:rPr>
            </w:pPr>
          </w:p>
          <w:p w14:paraId="050ACCF7" w14:textId="19B35866" w:rsidR="008D372B" w:rsidRPr="0021033E" w:rsidRDefault="008D372B" w:rsidP="00200ACC">
            <w:pPr>
              <w:jc w:val="center"/>
              <w:rPr>
                <w:rFonts w:asciiTheme="majorBidi" w:hAnsiTheme="majorBidi" w:cstheme="majorBidi"/>
                <w:lang w:val="en-US"/>
              </w:rPr>
            </w:pPr>
          </w:p>
        </w:tc>
      </w:tr>
      <w:tr w:rsidR="008D372B" w:rsidRPr="0021033E" w14:paraId="4D62A5AF" w14:textId="77777777" w:rsidTr="00293618">
        <w:trPr>
          <w:trHeight w:val="288"/>
        </w:trPr>
        <w:tc>
          <w:tcPr>
            <w:tcW w:w="3956" w:type="dxa"/>
          </w:tcPr>
          <w:p w14:paraId="00643E6C" w14:textId="13DD20F0" w:rsidR="008D372B" w:rsidRPr="00472D04" w:rsidRDefault="008D372B" w:rsidP="00ED783E">
            <w:pPr>
              <w:jc w:val="center"/>
              <w:rPr>
                <w:rFonts w:asciiTheme="majorBidi" w:hAnsiTheme="majorBidi" w:cstheme="majorBidi"/>
                <w:b/>
                <w:bCs/>
                <w:u w:val="single"/>
                <w:lang w:val="en-US"/>
              </w:rPr>
            </w:pPr>
            <w:r w:rsidRPr="00472D04">
              <w:rPr>
                <w:rFonts w:asciiTheme="majorBidi" w:hAnsiTheme="majorBidi" w:cstheme="majorBidi"/>
                <w:b/>
                <w:bCs/>
                <w:u w:val="single"/>
                <w:lang w:val="en-US"/>
              </w:rPr>
              <w:t>Hamid Reza Asefi</w:t>
            </w:r>
          </w:p>
          <w:p w14:paraId="20BB52C2" w14:textId="77777777" w:rsidR="008D372B" w:rsidRPr="0021033E" w:rsidRDefault="008D372B" w:rsidP="00ED783E">
            <w:pPr>
              <w:jc w:val="center"/>
              <w:rPr>
                <w:rFonts w:asciiTheme="majorBidi" w:hAnsiTheme="majorBidi" w:cstheme="majorBidi"/>
                <w:lang w:val="en-US"/>
              </w:rPr>
            </w:pPr>
            <w:r w:rsidRPr="00472D04">
              <w:rPr>
                <w:rFonts w:asciiTheme="majorBidi" w:hAnsiTheme="majorBidi" w:cstheme="majorBidi"/>
                <w:b/>
                <w:bCs/>
                <w:lang w:val="en-US"/>
              </w:rPr>
              <w:t>Nim. 2102026031</w:t>
            </w:r>
            <w:r w:rsidRPr="0021033E">
              <w:rPr>
                <w:rFonts w:asciiTheme="majorBidi" w:hAnsiTheme="majorBidi" w:cstheme="majorBidi"/>
                <w:lang w:val="en-US"/>
              </w:rPr>
              <w:t xml:space="preserve"> </w:t>
            </w:r>
          </w:p>
        </w:tc>
      </w:tr>
    </w:tbl>
    <w:p w14:paraId="757692E9" w14:textId="3F4B1284" w:rsidR="008D372B" w:rsidRPr="00C55F88" w:rsidRDefault="008D372B" w:rsidP="009E3B69">
      <w:pPr>
        <w:tabs>
          <w:tab w:val="left" w:pos="2004"/>
        </w:tabs>
        <w:rPr>
          <w:rFonts w:asciiTheme="majorBidi" w:hAnsiTheme="majorBidi" w:cstheme="majorBidi"/>
          <w:sz w:val="24"/>
          <w:szCs w:val="24"/>
          <w:lang w:val="en-US"/>
        </w:rPr>
      </w:pPr>
    </w:p>
    <w:p w14:paraId="0B8FD4F3" w14:textId="77777777" w:rsidR="00A42310" w:rsidRDefault="00A42310" w:rsidP="0021033E">
      <w:pPr>
        <w:pStyle w:val="Heading1"/>
        <w:sectPr w:rsidR="00A42310" w:rsidSect="008A1297">
          <w:footerReference w:type="default" r:id="rId13"/>
          <w:footerReference w:type="first" r:id="rId14"/>
          <w:pgSz w:w="8391" w:h="11906" w:code="11"/>
          <w:pgMar w:top="1134" w:right="1134" w:bottom="1134" w:left="1418" w:header="709" w:footer="709" w:gutter="0"/>
          <w:pgNumType w:fmt="lowerRoman" w:start="1"/>
          <w:cols w:space="708"/>
          <w:titlePg/>
          <w:docGrid w:linePitch="360"/>
        </w:sectPr>
      </w:pPr>
      <w:bookmarkStart w:id="13" w:name="_Toc185961331"/>
    </w:p>
    <w:p w14:paraId="60EEF12C" w14:textId="77777777" w:rsidR="008D372B" w:rsidRPr="00751111" w:rsidRDefault="008D372B" w:rsidP="0021033E">
      <w:pPr>
        <w:pStyle w:val="Heading1"/>
      </w:pPr>
      <w:r w:rsidRPr="00751111">
        <w:lastRenderedPageBreak/>
        <w:t>DAFTAR ISI</w:t>
      </w:r>
      <w:bookmarkEnd w:id="13"/>
    </w:p>
    <w:sdt>
      <w:sdtPr>
        <w:rPr>
          <w:rFonts w:asciiTheme="majorBidi" w:eastAsiaTheme="minorHAnsi" w:hAnsiTheme="majorBidi" w:cstheme="minorBidi"/>
          <w:color w:val="auto"/>
          <w:kern w:val="2"/>
          <w:sz w:val="22"/>
          <w:szCs w:val="22"/>
          <w:lang w:val="en-ID"/>
          <w14:ligatures w14:val="standardContextual"/>
        </w:rPr>
        <w:id w:val="551193183"/>
        <w:docPartObj>
          <w:docPartGallery w:val="Table of Contents"/>
          <w:docPartUnique/>
        </w:docPartObj>
      </w:sdtPr>
      <w:sdtEndPr>
        <w:rPr>
          <w:rFonts w:cstheme="majorBidi"/>
          <w:b/>
          <w:bCs/>
          <w:noProof/>
        </w:rPr>
      </w:sdtEndPr>
      <w:sdtContent>
        <w:p w14:paraId="49A720FE" w14:textId="77777777" w:rsidR="008D372B" w:rsidRPr="009B7112" w:rsidRDefault="008D372B" w:rsidP="009B7112">
          <w:pPr>
            <w:pStyle w:val="TOCHeading"/>
            <w:spacing w:line="276" w:lineRule="auto"/>
            <w:jc w:val="both"/>
            <w:rPr>
              <w:rFonts w:asciiTheme="majorBidi" w:hAnsiTheme="majorBidi"/>
              <w:sz w:val="22"/>
              <w:szCs w:val="22"/>
            </w:rPr>
          </w:pPr>
        </w:p>
        <w:p w14:paraId="19413089" w14:textId="5C8161D8" w:rsidR="009F7719" w:rsidRPr="009F7719" w:rsidRDefault="008D372B" w:rsidP="009F7719">
          <w:pPr>
            <w:pStyle w:val="TOC1"/>
            <w:spacing w:line="240" w:lineRule="auto"/>
            <w:rPr>
              <w:rFonts w:eastAsiaTheme="minorEastAsia"/>
              <w:b w:val="0"/>
              <w:bCs w:val="0"/>
              <w:lang w:eastAsia="en-ID"/>
            </w:rPr>
          </w:pPr>
          <w:r w:rsidRPr="009F7719">
            <w:rPr>
              <w:noProof w:val="0"/>
            </w:rPr>
            <w:fldChar w:fldCharType="begin"/>
          </w:r>
          <w:r w:rsidRPr="009F7719">
            <w:instrText xml:space="preserve"> TOC \o "1-3" \h \z \u </w:instrText>
          </w:r>
          <w:r w:rsidRPr="009F7719">
            <w:rPr>
              <w:noProof w:val="0"/>
            </w:rPr>
            <w:fldChar w:fldCharType="separate"/>
          </w:r>
          <w:hyperlink w:anchor="_Toc185961321" w:history="1">
            <w:r w:rsidR="009F7719" w:rsidRPr="009F7719">
              <w:rPr>
                <w:rStyle w:val="Hyperlink"/>
              </w:rPr>
              <w:t>HALAMAN JUDUL</w:t>
            </w:r>
            <w:r w:rsidR="009F7719" w:rsidRPr="009F7719">
              <w:rPr>
                <w:webHidden/>
              </w:rPr>
              <w:tab/>
            </w:r>
            <w:r w:rsidR="009F7719" w:rsidRPr="009F7719">
              <w:rPr>
                <w:webHidden/>
              </w:rPr>
              <w:fldChar w:fldCharType="begin"/>
            </w:r>
            <w:r w:rsidR="009F7719" w:rsidRPr="009F7719">
              <w:rPr>
                <w:webHidden/>
              </w:rPr>
              <w:instrText xml:space="preserve"> PAGEREF _Toc185961321 \h </w:instrText>
            </w:r>
            <w:r w:rsidR="009F7719" w:rsidRPr="009F7719">
              <w:rPr>
                <w:webHidden/>
              </w:rPr>
            </w:r>
            <w:r w:rsidR="009F7719" w:rsidRPr="009F7719">
              <w:rPr>
                <w:webHidden/>
              </w:rPr>
              <w:fldChar w:fldCharType="separate"/>
            </w:r>
            <w:r w:rsidR="00474234">
              <w:rPr>
                <w:webHidden/>
              </w:rPr>
              <w:t>ii</w:t>
            </w:r>
            <w:r w:rsidR="009F7719" w:rsidRPr="009F7719">
              <w:rPr>
                <w:webHidden/>
              </w:rPr>
              <w:fldChar w:fldCharType="end"/>
            </w:r>
          </w:hyperlink>
        </w:p>
        <w:p w14:paraId="74EFC11F" w14:textId="53EEE16E" w:rsidR="009F7719" w:rsidRPr="009F7719" w:rsidRDefault="009F7719" w:rsidP="009F7719">
          <w:pPr>
            <w:pStyle w:val="TOC1"/>
            <w:spacing w:line="240" w:lineRule="auto"/>
            <w:rPr>
              <w:rFonts w:eastAsiaTheme="minorEastAsia"/>
              <w:b w:val="0"/>
              <w:bCs w:val="0"/>
              <w:lang w:eastAsia="en-ID"/>
            </w:rPr>
          </w:pPr>
          <w:hyperlink w:anchor="_Toc185961322" w:history="1">
            <w:r w:rsidRPr="009F7719">
              <w:rPr>
                <w:rStyle w:val="Hyperlink"/>
              </w:rPr>
              <w:t>PERSETUJUAN PEMBIMBING</w:t>
            </w:r>
            <w:r w:rsidRPr="009F7719">
              <w:rPr>
                <w:webHidden/>
              </w:rPr>
              <w:tab/>
            </w:r>
            <w:r w:rsidRPr="009F7719">
              <w:rPr>
                <w:webHidden/>
              </w:rPr>
              <w:fldChar w:fldCharType="begin"/>
            </w:r>
            <w:r w:rsidRPr="009F7719">
              <w:rPr>
                <w:webHidden/>
              </w:rPr>
              <w:instrText xml:space="preserve"> PAGEREF _Toc185961322 \h </w:instrText>
            </w:r>
            <w:r w:rsidRPr="009F7719">
              <w:rPr>
                <w:webHidden/>
              </w:rPr>
            </w:r>
            <w:r w:rsidRPr="009F7719">
              <w:rPr>
                <w:webHidden/>
              </w:rPr>
              <w:fldChar w:fldCharType="separate"/>
            </w:r>
            <w:r w:rsidR="00474234">
              <w:rPr>
                <w:webHidden/>
              </w:rPr>
              <w:t>ii</w:t>
            </w:r>
            <w:r w:rsidRPr="009F7719">
              <w:rPr>
                <w:webHidden/>
              </w:rPr>
              <w:fldChar w:fldCharType="end"/>
            </w:r>
          </w:hyperlink>
        </w:p>
        <w:p w14:paraId="2CD0BBCC" w14:textId="7125B3C1" w:rsidR="009F7719" w:rsidRPr="009F7719" w:rsidRDefault="009F7719" w:rsidP="009F7719">
          <w:pPr>
            <w:pStyle w:val="TOC1"/>
            <w:spacing w:line="240" w:lineRule="auto"/>
            <w:rPr>
              <w:rFonts w:eastAsiaTheme="minorEastAsia"/>
              <w:b w:val="0"/>
              <w:bCs w:val="0"/>
              <w:lang w:eastAsia="en-ID"/>
            </w:rPr>
          </w:pPr>
          <w:hyperlink w:anchor="_Toc185961323" w:history="1">
            <w:r w:rsidRPr="009F7719">
              <w:rPr>
                <w:rStyle w:val="Hyperlink"/>
              </w:rPr>
              <w:t>HALAMAN  PENGESAHAN</w:t>
            </w:r>
            <w:r w:rsidRPr="009F7719">
              <w:rPr>
                <w:webHidden/>
              </w:rPr>
              <w:tab/>
            </w:r>
            <w:r w:rsidRPr="009F7719">
              <w:rPr>
                <w:webHidden/>
              </w:rPr>
              <w:fldChar w:fldCharType="begin"/>
            </w:r>
            <w:r w:rsidRPr="009F7719">
              <w:rPr>
                <w:webHidden/>
              </w:rPr>
              <w:instrText xml:space="preserve"> PAGEREF _Toc185961323 \h </w:instrText>
            </w:r>
            <w:r w:rsidRPr="009F7719">
              <w:rPr>
                <w:webHidden/>
              </w:rPr>
            </w:r>
            <w:r w:rsidRPr="009F7719">
              <w:rPr>
                <w:webHidden/>
              </w:rPr>
              <w:fldChar w:fldCharType="separate"/>
            </w:r>
            <w:r w:rsidR="00474234">
              <w:rPr>
                <w:webHidden/>
              </w:rPr>
              <w:t>iii</w:t>
            </w:r>
            <w:r w:rsidRPr="009F7719">
              <w:rPr>
                <w:webHidden/>
              </w:rPr>
              <w:fldChar w:fldCharType="end"/>
            </w:r>
          </w:hyperlink>
        </w:p>
        <w:p w14:paraId="5EC14C90" w14:textId="6930B236" w:rsidR="009F7719" w:rsidRPr="009F7719" w:rsidRDefault="009F7719" w:rsidP="009F7719">
          <w:pPr>
            <w:pStyle w:val="TOC1"/>
            <w:spacing w:line="240" w:lineRule="auto"/>
            <w:rPr>
              <w:rFonts w:eastAsiaTheme="minorEastAsia"/>
              <w:b w:val="0"/>
              <w:bCs w:val="0"/>
              <w:lang w:eastAsia="en-ID"/>
            </w:rPr>
          </w:pPr>
          <w:hyperlink w:anchor="_Toc185961324" w:history="1">
            <w:r w:rsidRPr="009F7719">
              <w:rPr>
                <w:rStyle w:val="Hyperlink"/>
              </w:rPr>
              <w:t>MOTTO</w:t>
            </w:r>
            <w:r w:rsidRPr="009F7719">
              <w:rPr>
                <w:webHidden/>
              </w:rPr>
              <w:tab/>
            </w:r>
            <w:r w:rsidRPr="009F7719">
              <w:rPr>
                <w:webHidden/>
              </w:rPr>
              <w:fldChar w:fldCharType="begin"/>
            </w:r>
            <w:r w:rsidRPr="009F7719">
              <w:rPr>
                <w:webHidden/>
              </w:rPr>
              <w:instrText xml:space="preserve"> PAGEREF _Toc185961324 \h </w:instrText>
            </w:r>
            <w:r w:rsidRPr="009F7719">
              <w:rPr>
                <w:webHidden/>
              </w:rPr>
            </w:r>
            <w:r w:rsidRPr="009F7719">
              <w:rPr>
                <w:webHidden/>
              </w:rPr>
              <w:fldChar w:fldCharType="separate"/>
            </w:r>
            <w:r w:rsidR="00474234">
              <w:rPr>
                <w:webHidden/>
              </w:rPr>
              <w:t>iv</w:t>
            </w:r>
            <w:r w:rsidRPr="009F7719">
              <w:rPr>
                <w:webHidden/>
              </w:rPr>
              <w:fldChar w:fldCharType="end"/>
            </w:r>
          </w:hyperlink>
        </w:p>
        <w:p w14:paraId="38A306C8" w14:textId="6833B182" w:rsidR="009F7719" w:rsidRPr="009F7719" w:rsidRDefault="009F7719" w:rsidP="009F7719">
          <w:pPr>
            <w:pStyle w:val="TOC1"/>
            <w:spacing w:line="240" w:lineRule="auto"/>
            <w:rPr>
              <w:rFonts w:eastAsiaTheme="minorEastAsia"/>
              <w:b w:val="0"/>
              <w:bCs w:val="0"/>
              <w:lang w:eastAsia="en-ID"/>
            </w:rPr>
          </w:pPr>
          <w:hyperlink w:anchor="_Toc185961325" w:history="1">
            <w:r w:rsidRPr="009F7719">
              <w:rPr>
                <w:rStyle w:val="Hyperlink"/>
              </w:rPr>
              <w:t>PERSEMBAHAN</w:t>
            </w:r>
            <w:r w:rsidRPr="009F7719">
              <w:rPr>
                <w:webHidden/>
              </w:rPr>
              <w:tab/>
            </w:r>
            <w:r w:rsidRPr="009F7719">
              <w:rPr>
                <w:webHidden/>
              </w:rPr>
              <w:fldChar w:fldCharType="begin"/>
            </w:r>
            <w:r w:rsidRPr="009F7719">
              <w:rPr>
                <w:webHidden/>
              </w:rPr>
              <w:instrText xml:space="preserve"> PAGEREF _Toc185961325 \h </w:instrText>
            </w:r>
            <w:r w:rsidRPr="009F7719">
              <w:rPr>
                <w:webHidden/>
              </w:rPr>
            </w:r>
            <w:r w:rsidRPr="009F7719">
              <w:rPr>
                <w:webHidden/>
              </w:rPr>
              <w:fldChar w:fldCharType="separate"/>
            </w:r>
            <w:r w:rsidR="00474234">
              <w:rPr>
                <w:webHidden/>
              </w:rPr>
              <w:t>v</w:t>
            </w:r>
            <w:r w:rsidRPr="009F7719">
              <w:rPr>
                <w:webHidden/>
              </w:rPr>
              <w:fldChar w:fldCharType="end"/>
            </w:r>
          </w:hyperlink>
        </w:p>
        <w:p w14:paraId="6147F1A8" w14:textId="4D9501FE" w:rsidR="009F7719" w:rsidRPr="009F7719" w:rsidRDefault="009F7719" w:rsidP="009F7719">
          <w:pPr>
            <w:pStyle w:val="TOC1"/>
            <w:spacing w:line="240" w:lineRule="auto"/>
            <w:rPr>
              <w:rFonts w:eastAsiaTheme="minorEastAsia"/>
              <w:b w:val="0"/>
              <w:bCs w:val="0"/>
              <w:lang w:eastAsia="en-ID"/>
            </w:rPr>
          </w:pPr>
          <w:hyperlink w:anchor="_Toc185961326" w:history="1">
            <w:r w:rsidRPr="009F7719">
              <w:rPr>
                <w:rStyle w:val="Hyperlink"/>
              </w:rPr>
              <w:t>DEKLARASI</w:t>
            </w:r>
            <w:r w:rsidRPr="009F7719">
              <w:rPr>
                <w:webHidden/>
              </w:rPr>
              <w:tab/>
            </w:r>
            <w:r w:rsidRPr="009F7719">
              <w:rPr>
                <w:webHidden/>
              </w:rPr>
              <w:fldChar w:fldCharType="begin"/>
            </w:r>
            <w:r w:rsidRPr="009F7719">
              <w:rPr>
                <w:webHidden/>
              </w:rPr>
              <w:instrText xml:space="preserve"> PAGEREF _Toc185961326 \h </w:instrText>
            </w:r>
            <w:r w:rsidRPr="009F7719">
              <w:rPr>
                <w:webHidden/>
              </w:rPr>
            </w:r>
            <w:r w:rsidRPr="009F7719">
              <w:rPr>
                <w:webHidden/>
              </w:rPr>
              <w:fldChar w:fldCharType="separate"/>
            </w:r>
            <w:r w:rsidR="00474234">
              <w:rPr>
                <w:webHidden/>
              </w:rPr>
              <w:t>vi</w:t>
            </w:r>
            <w:r w:rsidRPr="009F7719">
              <w:rPr>
                <w:webHidden/>
              </w:rPr>
              <w:fldChar w:fldCharType="end"/>
            </w:r>
          </w:hyperlink>
        </w:p>
        <w:p w14:paraId="200EB36B" w14:textId="3512A033" w:rsidR="009F7719" w:rsidRPr="009F7719" w:rsidRDefault="009F7719" w:rsidP="009F7719">
          <w:pPr>
            <w:pStyle w:val="TOC1"/>
            <w:spacing w:line="240" w:lineRule="auto"/>
            <w:rPr>
              <w:rFonts w:eastAsiaTheme="minorEastAsia"/>
              <w:b w:val="0"/>
              <w:bCs w:val="0"/>
              <w:lang w:eastAsia="en-ID"/>
            </w:rPr>
          </w:pPr>
          <w:hyperlink w:anchor="_Toc185961327" w:history="1">
            <w:r w:rsidRPr="009F7719">
              <w:rPr>
                <w:rStyle w:val="Hyperlink"/>
              </w:rPr>
              <w:t>PEDOMAN TRANSLITERASI ARAB-LATIN</w:t>
            </w:r>
            <w:r w:rsidRPr="009F7719">
              <w:rPr>
                <w:webHidden/>
              </w:rPr>
              <w:tab/>
            </w:r>
            <w:r w:rsidRPr="009F7719">
              <w:rPr>
                <w:webHidden/>
              </w:rPr>
              <w:fldChar w:fldCharType="begin"/>
            </w:r>
            <w:r w:rsidRPr="009F7719">
              <w:rPr>
                <w:webHidden/>
              </w:rPr>
              <w:instrText xml:space="preserve"> PAGEREF _Toc185961327 \h </w:instrText>
            </w:r>
            <w:r w:rsidRPr="009F7719">
              <w:rPr>
                <w:webHidden/>
              </w:rPr>
            </w:r>
            <w:r w:rsidRPr="009F7719">
              <w:rPr>
                <w:webHidden/>
              </w:rPr>
              <w:fldChar w:fldCharType="separate"/>
            </w:r>
            <w:r w:rsidR="00474234">
              <w:rPr>
                <w:webHidden/>
              </w:rPr>
              <w:t>vii</w:t>
            </w:r>
            <w:r w:rsidRPr="009F7719">
              <w:rPr>
                <w:webHidden/>
              </w:rPr>
              <w:fldChar w:fldCharType="end"/>
            </w:r>
          </w:hyperlink>
        </w:p>
        <w:p w14:paraId="6F05CD3C" w14:textId="48AFA5EE" w:rsidR="009F7719" w:rsidRPr="009F7719" w:rsidRDefault="009F7719" w:rsidP="009F7719">
          <w:pPr>
            <w:pStyle w:val="TOC1"/>
            <w:spacing w:line="240" w:lineRule="auto"/>
            <w:rPr>
              <w:rFonts w:eastAsiaTheme="minorEastAsia"/>
              <w:b w:val="0"/>
              <w:bCs w:val="0"/>
              <w:lang w:eastAsia="en-ID"/>
            </w:rPr>
          </w:pPr>
          <w:hyperlink w:anchor="_Toc185961328" w:history="1">
            <w:r w:rsidRPr="009F7719">
              <w:rPr>
                <w:rStyle w:val="Hyperlink"/>
              </w:rPr>
              <w:t>ABSTRAK</w:t>
            </w:r>
            <w:r w:rsidRPr="009F7719">
              <w:rPr>
                <w:webHidden/>
              </w:rPr>
              <w:tab/>
            </w:r>
            <w:r w:rsidRPr="009F7719">
              <w:rPr>
                <w:webHidden/>
              </w:rPr>
              <w:fldChar w:fldCharType="begin"/>
            </w:r>
            <w:r w:rsidRPr="009F7719">
              <w:rPr>
                <w:webHidden/>
              </w:rPr>
              <w:instrText xml:space="preserve"> PAGEREF _Toc185961328 \h </w:instrText>
            </w:r>
            <w:r w:rsidRPr="009F7719">
              <w:rPr>
                <w:webHidden/>
              </w:rPr>
            </w:r>
            <w:r w:rsidRPr="009F7719">
              <w:rPr>
                <w:webHidden/>
              </w:rPr>
              <w:fldChar w:fldCharType="separate"/>
            </w:r>
            <w:r w:rsidR="00474234">
              <w:rPr>
                <w:webHidden/>
              </w:rPr>
              <w:t>xiv</w:t>
            </w:r>
            <w:r w:rsidRPr="009F7719">
              <w:rPr>
                <w:webHidden/>
              </w:rPr>
              <w:fldChar w:fldCharType="end"/>
            </w:r>
          </w:hyperlink>
        </w:p>
        <w:p w14:paraId="4C9F6DEF" w14:textId="0B8ADFCF" w:rsidR="009F7719" w:rsidRPr="009F7719" w:rsidRDefault="009F7719" w:rsidP="009F7719">
          <w:pPr>
            <w:pStyle w:val="TOC1"/>
            <w:spacing w:line="240" w:lineRule="auto"/>
            <w:rPr>
              <w:rFonts w:eastAsiaTheme="minorEastAsia"/>
              <w:b w:val="0"/>
              <w:bCs w:val="0"/>
              <w:lang w:eastAsia="en-ID"/>
            </w:rPr>
          </w:pPr>
          <w:hyperlink w:anchor="_Toc185961329" w:history="1">
            <w:r w:rsidRPr="009F7719">
              <w:rPr>
                <w:rStyle w:val="Hyperlink"/>
              </w:rPr>
              <w:t>ABSTRACT</w:t>
            </w:r>
            <w:r w:rsidRPr="009F7719">
              <w:rPr>
                <w:webHidden/>
              </w:rPr>
              <w:tab/>
            </w:r>
            <w:r w:rsidRPr="009F7719">
              <w:rPr>
                <w:webHidden/>
              </w:rPr>
              <w:fldChar w:fldCharType="begin"/>
            </w:r>
            <w:r w:rsidRPr="009F7719">
              <w:rPr>
                <w:webHidden/>
              </w:rPr>
              <w:instrText xml:space="preserve"> PAGEREF _Toc185961329 \h </w:instrText>
            </w:r>
            <w:r w:rsidRPr="009F7719">
              <w:rPr>
                <w:webHidden/>
              </w:rPr>
            </w:r>
            <w:r w:rsidRPr="009F7719">
              <w:rPr>
                <w:webHidden/>
              </w:rPr>
              <w:fldChar w:fldCharType="separate"/>
            </w:r>
            <w:r w:rsidR="00474234">
              <w:rPr>
                <w:webHidden/>
              </w:rPr>
              <w:t>xv</w:t>
            </w:r>
            <w:r w:rsidRPr="009F7719">
              <w:rPr>
                <w:webHidden/>
              </w:rPr>
              <w:fldChar w:fldCharType="end"/>
            </w:r>
          </w:hyperlink>
        </w:p>
        <w:p w14:paraId="1B493C79" w14:textId="6F358B52" w:rsidR="009F7719" w:rsidRPr="009F7719" w:rsidRDefault="009F7719" w:rsidP="009F7719">
          <w:pPr>
            <w:pStyle w:val="TOC1"/>
            <w:spacing w:line="240" w:lineRule="auto"/>
            <w:rPr>
              <w:rFonts w:eastAsiaTheme="minorEastAsia"/>
              <w:b w:val="0"/>
              <w:bCs w:val="0"/>
              <w:lang w:eastAsia="en-ID"/>
            </w:rPr>
          </w:pPr>
          <w:hyperlink w:anchor="_Toc185961330" w:history="1">
            <w:r w:rsidRPr="009F7719">
              <w:rPr>
                <w:rStyle w:val="Hyperlink"/>
              </w:rPr>
              <w:t>KATA PENGANTAR</w:t>
            </w:r>
            <w:r w:rsidRPr="009F7719">
              <w:rPr>
                <w:webHidden/>
              </w:rPr>
              <w:tab/>
            </w:r>
            <w:r w:rsidRPr="009F7719">
              <w:rPr>
                <w:webHidden/>
              </w:rPr>
              <w:fldChar w:fldCharType="begin"/>
            </w:r>
            <w:r w:rsidRPr="009F7719">
              <w:rPr>
                <w:webHidden/>
              </w:rPr>
              <w:instrText xml:space="preserve"> PAGEREF _Toc185961330 \h </w:instrText>
            </w:r>
            <w:r w:rsidRPr="009F7719">
              <w:rPr>
                <w:webHidden/>
              </w:rPr>
            </w:r>
            <w:r w:rsidRPr="009F7719">
              <w:rPr>
                <w:webHidden/>
              </w:rPr>
              <w:fldChar w:fldCharType="separate"/>
            </w:r>
            <w:r w:rsidR="00474234">
              <w:rPr>
                <w:webHidden/>
              </w:rPr>
              <w:t>xvi</w:t>
            </w:r>
            <w:r w:rsidRPr="009F7719">
              <w:rPr>
                <w:webHidden/>
              </w:rPr>
              <w:fldChar w:fldCharType="end"/>
            </w:r>
          </w:hyperlink>
        </w:p>
        <w:p w14:paraId="63A1AED8" w14:textId="3D106194" w:rsidR="009F7719" w:rsidRPr="009F7719" w:rsidRDefault="009F7719" w:rsidP="009F7719">
          <w:pPr>
            <w:pStyle w:val="TOC1"/>
            <w:spacing w:line="240" w:lineRule="auto"/>
            <w:rPr>
              <w:rFonts w:eastAsiaTheme="minorEastAsia"/>
              <w:b w:val="0"/>
              <w:bCs w:val="0"/>
              <w:lang w:eastAsia="en-ID"/>
            </w:rPr>
          </w:pPr>
          <w:hyperlink w:anchor="_Toc185961331" w:history="1">
            <w:r w:rsidRPr="009F7719">
              <w:rPr>
                <w:rStyle w:val="Hyperlink"/>
              </w:rPr>
              <w:t>DAFTAR ISI</w:t>
            </w:r>
            <w:r w:rsidRPr="009F7719">
              <w:rPr>
                <w:webHidden/>
              </w:rPr>
              <w:tab/>
            </w:r>
            <w:r w:rsidRPr="009F7719">
              <w:rPr>
                <w:webHidden/>
              </w:rPr>
              <w:fldChar w:fldCharType="begin"/>
            </w:r>
            <w:r w:rsidRPr="009F7719">
              <w:rPr>
                <w:webHidden/>
              </w:rPr>
              <w:instrText xml:space="preserve"> PAGEREF _Toc185961331 \h </w:instrText>
            </w:r>
            <w:r w:rsidRPr="009F7719">
              <w:rPr>
                <w:webHidden/>
              </w:rPr>
            </w:r>
            <w:r w:rsidRPr="009F7719">
              <w:rPr>
                <w:webHidden/>
              </w:rPr>
              <w:fldChar w:fldCharType="separate"/>
            </w:r>
            <w:r w:rsidR="00474234">
              <w:rPr>
                <w:webHidden/>
              </w:rPr>
              <w:t>i</w:t>
            </w:r>
            <w:r w:rsidRPr="009F7719">
              <w:rPr>
                <w:webHidden/>
              </w:rPr>
              <w:fldChar w:fldCharType="end"/>
            </w:r>
          </w:hyperlink>
        </w:p>
        <w:p w14:paraId="4CBD79D9" w14:textId="0F24E53B" w:rsidR="009F7719" w:rsidRPr="009F7719" w:rsidRDefault="009F7719" w:rsidP="009F7719">
          <w:pPr>
            <w:pStyle w:val="TOC1"/>
            <w:spacing w:line="240" w:lineRule="auto"/>
            <w:rPr>
              <w:rFonts w:eastAsiaTheme="minorEastAsia"/>
              <w:b w:val="0"/>
              <w:bCs w:val="0"/>
              <w:lang w:eastAsia="en-ID"/>
            </w:rPr>
          </w:pPr>
          <w:hyperlink w:anchor="_Toc185961332" w:history="1">
            <w:r w:rsidRPr="009F7719">
              <w:rPr>
                <w:rStyle w:val="Hyperlink"/>
              </w:rPr>
              <w:t>BAB I PENDAHULUAN</w:t>
            </w:r>
            <w:r w:rsidRPr="009F7719">
              <w:rPr>
                <w:webHidden/>
              </w:rPr>
              <w:tab/>
            </w:r>
            <w:r w:rsidRPr="009F7719">
              <w:rPr>
                <w:webHidden/>
              </w:rPr>
              <w:fldChar w:fldCharType="begin"/>
            </w:r>
            <w:r w:rsidRPr="009F7719">
              <w:rPr>
                <w:webHidden/>
              </w:rPr>
              <w:instrText xml:space="preserve"> PAGEREF _Toc185961332 \h </w:instrText>
            </w:r>
            <w:r w:rsidRPr="009F7719">
              <w:rPr>
                <w:webHidden/>
              </w:rPr>
            </w:r>
            <w:r w:rsidRPr="009F7719">
              <w:rPr>
                <w:webHidden/>
              </w:rPr>
              <w:fldChar w:fldCharType="separate"/>
            </w:r>
            <w:r w:rsidR="00474234">
              <w:rPr>
                <w:webHidden/>
              </w:rPr>
              <w:t>1</w:t>
            </w:r>
            <w:r w:rsidRPr="009F7719">
              <w:rPr>
                <w:webHidden/>
              </w:rPr>
              <w:fldChar w:fldCharType="end"/>
            </w:r>
          </w:hyperlink>
        </w:p>
        <w:p w14:paraId="1BF84A75" w14:textId="201A703C" w:rsidR="009F7719" w:rsidRPr="009F7719" w:rsidRDefault="009F7719" w:rsidP="009F7719">
          <w:pPr>
            <w:pStyle w:val="TOC2"/>
            <w:tabs>
              <w:tab w:val="left" w:pos="660"/>
              <w:tab w:val="right" w:leader="dot" w:pos="5829"/>
            </w:tabs>
            <w:spacing w:line="240" w:lineRule="auto"/>
            <w:rPr>
              <w:rFonts w:asciiTheme="majorBidi" w:eastAsiaTheme="minorEastAsia" w:hAnsiTheme="majorBidi" w:cstheme="majorBidi"/>
              <w:noProof/>
              <w:lang w:eastAsia="en-ID"/>
            </w:rPr>
          </w:pPr>
          <w:hyperlink w:anchor="_Toc185961333" w:history="1">
            <w:r w:rsidRPr="009F7719">
              <w:rPr>
                <w:rStyle w:val="Hyperlink"/>
                <w:rFonts w:asciiTheme="majorBidi" w:hAnsiTheme="majorBidi" w:cstheme="majorBidi"/>
                <w:noProof/>
              </w:rPr>
              <w:t>A.</w:t>
            </w:r>
            <w:r w:rsidRPr="009F7719">
              <w:rPr>
                <w:rFonts w:asciiTheme="majorBidi" w:eastAsiaTheme="minorEastAsia" w:hAnsiTheme="majorBidi" w:cstheme="majorBidi"/>
                <w:noProof/>
                <w:lang w:eastAsia="en-ID"/>
              </w:rPr>
              <w:tab/>
            </w:r>
            <w:r w:rsidRPr="009F7719">
              <w:rPr>
                <w:rStyle w:val="Hyperlink"/>
                <w:rFonts w:asciiTheme="majorBidi" w:hAnsiTheme="majorBidi" w:cstheme="majorBidi"/>
                <w:noProof/>
              </w:rPr>
              <w:t>Latar Belakang</w:t>
            </w:r>
            <w:r w:rsidRPr="009F7719">
              <w:rPr>
                <w:rFonts w:asciiTheme="majorBidi" w:hAnsiTheme="majorBidi" w:cstheme="majorBidi"/>
                <w:noProof/>
                <w:webHidden/>
              </w:rPr>
              <w:tab/>
            </w:r>
            <w:r w:rsidRPr="009F7719">
              <w:rPr>
                <w:rFonts w:asciiTheme="majorBidi" w:hAnsiTheme="majorBidi" w:cstheme="majorBidi"/>
                <w:noProof/>
                <w:webHidden/>
              </w:rPr>
              <w:fldChar w:fldCharType="begin"/>
            </w:r>
            <w:r w:rsidRPr="009F7719">
              <w:rPr>
                <w:rFonts w:asciiTheme="majorBidi" w:hAnsiTheme="majorBidi" w:cstheme="majorBidi"/>
                <w:noProof/>
                <w:webHidden/>
              </w:rPr>
              <w:instrText xml:space="preserve"> PAGEREF _Toc185961333 \h </w:instrText>
            </w:r>
            <w:r w:rsidRPr="009F7719">
              <w:rPr>
                <w:rFonts w:asciiTheme="majorBidi" w:hAnsiTheme="majorBidi" w:cstheme="majorBidi"/>
                <w:noProof/>
                <w:webHidden/>
              </w:rPr>
            </w:r>
            <w:r w:rsidRPr="009F7719">
              <w:rPr>
                <w:rFonts w:asciiTheme="majorBidi" w:hAnsiTheme="majorBidi" w:cstheme="majorBidi"/>
                <w:noProof/>
                <w:webHidden/>
              </w:rPr>
              <w:fldChar w:fldCharType="separate"/>
            </w:r>
            <w:r w:rsidR="00474234">
              <w:rPr>
                <w:rFonts w:asciiTheme="majorBidi" w:hAnsiTheme="majorBidi" w:cstheme="majorBidi"/>
                <w:noProof/>
                <w:webHidden/>
              </w:rPr>
              <w:t>1</w:t>
            </w:r>
            <w:r w:rsidRPr="009F7719">
              <w:rPr>
                <w:rFonts w:asciiTheme="majorBidi" w:hAnsiTheme="majorBidi" w:cstheme="majorBidi"/>
                <w:noProof/>
                <w:webHidden/>
              </w:rPr>
              <w:fldChar w:fldCharType="end"/>
            </w:r>
          </w:hyperlink>
        </w:p>
        <w:p w14:paraId="1F4D2F11" w14:textId="74180771" w:rsidR="009F7719" w:rsidRPr="009F7719" w:rsidRDefault="009F7719" w:rsidP="009F7719">
          <w:pPr>
            <w:pStyle w:val="TOC2"/>
            <w:tabs>
              <w:tab w:val="left" w:pos="660"/>
              <w:tab w:val="right" w:leader="dot" w:pos="5829"/>
            </w:tabs>
            <w:spacing w:line="240" w:lineRule="auto"/>
            <w:rPr>
              <w:rFonts w:asciiTheme="majorBidi" w:eastAsiaTheme="minorEastAsia" w:hAnsiTheme="majorBidi" w:cstheme="majorBidi"/>
              <w:noProof/>
              <w:lang w:eastAsia="en-ID"/>
            </w:rPr>
          </w:pPr>
          <w:hyperlink w:anchor="_Toc185961334" w:history="1">
            <w:r w:rsidRPr="009F7719">
              <w:rPr>
                <w:rStyle w:val="Hyperlink"/>
                <w:rFonts w:asciiTheme="majorBidi" w:hAnsiTheme="majorBidi" w:cstheme="majorBidi"/>
                <w:noProof/>
              </w:rPr>
              <w:t>B.</w:t>
            </w:r>
            <w:r w:rsidRPr="009F7719">
              <w:rPr>
                <w:rFonts w:asciiTheme="majorBidi" w:eastAsiaTheme="minorEastAsia" w:hAnsiTheme="majorBidi" w:cstheme="majorBidi"/>
                <w:noProof/>
                <w:lang w:eastAsia="en-ID"/>
              </w:rPr>
              <w:tab/>
            </w:r>
            <w:r w:rsidRPr="009F7719">
              <w:rPr>
                <w:rStyle w:val="Hyperlink"/>
                <w:rFonts w:asciiTheme="majorBidi" w:hAnsiTheme="majorBidi" w:cstheme="majorBidi"/>
                <w:noProof/>
              </w:rPr>
              <w:t>Rumusan Masalah</w:t>
            </w:r>
            <w:r w:rsidRPr="009F7719">
              <w:rPr>
                <w:rFonts w:asciiTheme="majorBidi" w:hAnsiTheme="majorBidi" w:cstheme="majorBidi"/>
                <w:noProof/>
                <w:webHidden/>
              </w:rPr>
              <w:tab/>
            </w:r>
            <w:r w:rsidRPr="009F7719">
              <w:rPr>
                <w:rFonts w:asciiTheme="majorBidi" w:hAnsiTheme="majorBidi" w:cstheme="majorBidi"/>
                <w:noProof/>
                <w:webHidden/>
              </w:rPr>
              <w:fldChar w:fldCharType="begin"/>
            </w:r>
            <w:r w:rsidRPr="009F7719">
              <w:rPr>
                <w:rFonts w:asciiTheme="majorBidi" w:hAnsiTheme="majorBidi" w:cstheme="majorBidi"/>
                <w:noProof/>
                <w:webHidden/>
              </w:rPr>
              <w:instrText xml:space="preserve"> PAGEREF _Toc185961334 \h </w:instrText>
            </w:r>
            <w:r w:rsidRPr="009F7719">
              <w:rPr>
                <w:rFonts w:asciiTheme="majorBidi" w:hAnsiTheme="majorBidi" w:cstheme="majorBidi"/>
                <w:noProof/>
                <w:webHidden/>
              </w:rPr>
            </w:r>
            <w:r w:rsidRPr="009F7719">
              <w:rPr>
                <w:rFonts w:asciiTheme="majorBidi" w:hAnsiTheme="majorBidi" w:cstheme="majorBidi"/>
                <w:noProof/>
                <w:webHidden/>
              </w:rPr>
              <w:fldChar w:fldCharType="separate"/>
            </w:r>
            <w:r w:rsidR="00474234">
              <w:rPr>
                <w:rFonts w:asciiTheme="majorBidi" w:hAnsiTheme="majorBidi" w:cstheme="majorBidi"/>
                <w:noProof/>
                <w:webHidden/>
              </w:rPr>
              <w:t>9</w:t>
            </w:r>
            <w:r w:rsidRPr="009F7719">
              <w:rPr>
                <w:rFonts w:asciiTheme="majorBidi" w:hAnsiTheme="majorBidi" w:cstheme="majorBidi"/>
                <w:noProof/>
                <w:webHidden/>
              </w:rPr>
              <w:fldChar w:fldCharType="end"/>
            </w:r>
          </w:hyperlink>
        </w:p>
        <w:p w14:paraId="6F135A5E" w14:textId="042B1959" w:rsidR="009F7719" w:rsidRPr="009F7719" w:rsidRDefault="009F7719" w:rsidP="009F7719">
          <w:pPr>
            <w:pStyle w:val="TOC2"/>
            <w:tabs>
              <w:tab w:val="left" w:pos="660"/>
              <w:tab w:val="right" w:leader="dot" w:pos="5829"/>
            </w:tabs>
            <w:spacing w:line="240" w:lineRule="auto"/>
            <w:rPr>
              <w:rFonts w:asciiTheme="majorBidi" w:eastAsiaTheme="minorEastAsia" w:hAnsiTheme="majorBidi" w:cstheme="majorBidi"/>
              <w:noProof/>
              <w:lang w:eastAsia="en-ID"/>
            </w:rPr>
          </w:pPr>
          <w:hyperlink w:anchor="_Toc185961335" w:history="1">
            <w:r w:rsidRPr="009F7719">
              <w:rPr>
                <w:rStyle w:val="Hyperlink"/>
                <w:rFonts w:asciiTheme="majorBidi" w:hAnsiTheme="majorBidi" w:cstheme="majorBidi"/>
                <w:noProof/>
              </w:rPr>
              <w:t>C.</w:t>
            </w:r>
            <w:r w:rsidRPr="009F7719">
              <w:rPr>
                <w:rFonts w:asciiTheme="majorBidi" w:eastAsiaTheme="minorEastAsia" w:hAnsiTheme="majorBidi" w:cstheme="majorBidi"/>
                <w:noProof/>
                <w:lang w:eastAsia="en-ID"/>
              </w:rPr>
              <w:tab/>
            </w:r>
            <w:r w:rsidRPr="009F7719">
              <w:rPr>
                <w:rStyle w:val="Hyperlink"/>
                <w:rFonts w:asciiTheme="majorBidi" w:hAnsiTheme="majorBidi" w:cstheme="majorBidi"/>
                <w:noProof/>
              </w:rPr>
              <w:t>Tujuan Penelitian</w:t>
            </w:r>
            <w:r w:rsidRPr="009F7719">
              <w:rPr>
                <w:rFonts w:asciiTheme="majorBidi" w:hAnsiTheme="majorBidi" w:cstheme="majorBidi"/>
                <w:noProof/>
                <w:webHidden/>
              </w:rPr>
              <w:tab/>
            </w:r>
            <w:r w:rsidRPr="009F7719">
              <w:rPr>
                <w:rFonts w:asciiTheme="majorBidi" w:hAnsiTheme="majorBidi" w:cstheme="majorBidi"/>
                <w:noProof/>
                <w:webHidden/>
              </w:rPr>
              <w:fldChar w:fldCharType="begin"/>
            </w:r>
            <w:r w:rsidRPr="009F7719">
              <w:rPr>
                <w:rFonts w:asciiTheme="majorBidi" w:hAnsiTheme="majorBidi" w:cstheme="majorBidi"/>
                <w:noProof/>
                <w:webHidden/>
              </w:rPr>
              <w:instrText xml:space="preserve"> PAGEREF _Toc185961335 \h </w:instrText>
            </w:r>
            <w:r w:rsidRPr="009F7719">
              <w:rPr>
                <w:rFonts w:asciiTheme="majorBidi" w:hAnsiTheme="majorBidi" w:cstheme="majorBidi"/>
                <w:noProof/>
                <w:webHidden/>
              </w:rPr>
            </w:r>
            <w:r w:rsidRPr="009F7719">
              <w:rPr>
                <w:rFonts w:asciiTheme="majorBidi" w:hAnsiTheme="majorBidi" w:cstheme="majorBidi"/>
                <w:noProof/>
                <w:webHidden/>
              </w:rPr>
              <w:fldChar w:fldCharType="separate"/>
            </w:r>
            <w:r w:rsidR="00474234">
              <w:rPr>
                <w:rFonts w:asciiTheme="majorBidi" w:hAnsiTheme="majorBidi" w:cstheme="majorBidi"/>
                <w:noProof/>
                <w:webHidden/>
              </w:rPr>
              <w:t>10</w:t>
            </w:r>
            <w:r w:rsidRPr="009F7719">
              <w:rPr>
                <w:rFonts w:asciiTheme="majorBidi" w:hAnsiTheme="majorBidi" w:cstheme="majorBidi"/>
                <w:noProof/>
                <w:webHidden/>
              </w:rPr>
              <w:fldChar w:fldCharType="end"/>
            </w:r>
          </w:hyperlink>
        </w:p>
        <w:p w14:paraId="547EB505" w14:textId="0C713D56" w:rsidR="009F7719" w:rsidRPr="009F7719" w:rsidRDefault="009F7719" w:rsidP="009F7719">
          <w:pPr>
            <w:pStyle w:val="TOC2"/>
            <w:tabs>
              <w:tab w:val="left" w:pos="660"/>
              <w:tab w:val="right" w:leader="dot" w:pos="5829"/>
            </w:tabs>
            <w:spacing w:line="240" w:lineRule="auto"/>
            <w:rPr>
              <w:rFonts w:asciiTheme="majorBidi" w:eastAsiaTheme="minorEastAsia" w:hAnsiTheme="majorBidi" w:cstheme="majorBidi"/>
              <w:noProof/>
              <w:lang w:eastAsia="en-ID"/>
            </w:rPr>
          </w:pPr>
          <w:hyperlink w:anchor="_Toc185961336" w:history="1">
            <w:r w:rsidRPr="009F7719">
              <w:rPr>
                <w:rStyle w:val="Hyperlink"/>
                <w:rFonts w:asciiTheme="majorBidi" w:hAnsiTheme="majorBidi" w:cstheme="majorBidi"/>
                <w:noProof/>
              </w:rPr>
              <w:t>D.</w:t>
            </w:r>
            <w:r w:rsidRPr="009F7719">
              <w:rPr>
                <w:rFonts w:asciiTheme="majorBidi" w:eastAsiaTheme="minorEastAsia" w:hAnsiTheme="majorBidi" w:cstheme="majorBidi"/>
                <w:noProof/>
                <w:lang w:eastAsia="en-ID"/>
              </w:rPr>
              <w:tab/>
            </w:r>
            <w:r w:rsidRPr="009F7719">
              <w:rPr>
                <w:rStyle w:val="Hyperlink"/>
                <w:rFonts w:asciiTheme="majorBidi" w:hAnsiTheme="majorBidi" w:cstheme="majorBidi"/>
                <w:noProof/>
              </w:rPr>
              <w:t>Manfaat Penelitian</w:t>
            </w:r>
            <w:r w:rsidRPr="009F7719">
              <w:rPr>
                <w:rFonts w:asciiTheme="majorBidi" w:hAnsiTheme="majorBidi" w:cstheme="majorBidi"/>
                <w:noProof/>
                <w:webHidden/>
              </w:rPr>
              <w:tab/>
            </w:r>
            <w:r w:rsidRPr="009F7719">
              <w:rPr>
                <w:rFonts w:asciiTheme="majorBidi" w:hAnsiTheme="majorBidi" w:cstheme="majorBidi"/>
                <w:noProof/>
                <w:webHidden/>
              </w:rPr>
              <w:fldChar w:fldCharType="begin"/>
            </w:r>
            <w:r w:rsidRPr="009F7719">
              <w:rPr>
                <w:rFonts w:asciiTheme="majorBidi" w:hAnsiTheme="majorBidi" w:cstheme="majorBidi"/>
                <w:noProof/>
                <w:webHidden/>
              </w:rPr>
              <w:instrText xml:space="preserve"> PAGEREF _Toc185961336 \h </w:instrText>
            </w:r>
            <w:r w:rsidRPr="009F7719">
              <w:rPr>
                <w:rFonts w:asciiTheme="majorBidi" w:hAnsiTheme="majorBidi" w:cstheme="majorBidi"/>
                <w:noProof/>
                <w:webHidden/>
              </w:rPr>
            </w:r>
            <w:r w:rsidRPr="009F7719">
              <w:rPr>
                <w:rFonts w:asciiTheme="majorBidi" w:hAnsiTheme="majorBidi" w:cstheme="majorBidi"/>
                <w:noProof/>
                <w:webHidden/>
              </w:rPr>
              <w:fldChar w:fldCharType="separate"/>
            </w:r>
            <w:r w:rsidR="00474234">
              <w:rPr>
                <w:rFonts w:asciiTheme="majorBidi" w:hAnsiTheme="majorBidi" w:cstheme="majorBidi"/>
                <w:noProof/>
                <w:webHidden/>
              </w:rPr>
              <w:t>10</w:t>
            </w:r>
            <w:r w:rsidRPr="009F7719">
              <w:rPr>
                <w:rFonts w:asciiTheme="majorBidi" w:hAnsiTheme="majorBidi" w:cstheme="majorBidi"/>
                <w:noProof/>
                <w:webHidden/>
              </w:rPr>
              <w:fldChar w:fldCharType="end"/>
            </w:r>
          </w:hyperlink>
        </w:p>
        <w:p w14:paraId="1BF357D0" w14:textId="2161EAC0" w:rsidR="009F7719" w:rsidRPr="009F7719" w:rsidRDefault="009F7719" w:rsidP="009F7719">
          <w:pPr>
            <w:pStyle w:val="TOC2"/>
            <w:tabs>
              <w:tab w:val="left" w:pos="660"/>
              <w:tab w:val="right" w:leader="dot" w:pos="5829"/>
            </w:tabs>
            <w:spacing w:line="240" w:lineRule="auto"/>
            <w:rPr>
              <w:rFonts w:asciiTheme="majorBidi" w:eastAsiaTheme="minorEastAsia" w:hAnsiTheme="majorBidi" w:cstheme="majorBidi"/>
              <w:noProof/>
              <w:lang w:eastAsia="en-ID"/>
            </w:rPr>
          </w:pPr>
          <w:hyperlink w:anchor="_Toc185961337" w:history="1">
            <w:r w:rsidRPr="009F7719">
              <w:rPr>
                <w:rStyle w:val="Hyperlink"/>
                <w:rFonts w:asciiTheme="majorBidi" w:hAnsiTheme="majorBidi" w:cstheme="majorBidi"/>
                <w:noProof/>
              </w:rPr>
              <w:t>E.</w:t>
            </w:r>
            <w:r w:rsidRPr="009F7719">
              <w:rPr>
                <w:rFonts w:asciiTheme="majorBidi" w:eastAsiaTheme="minorEastAsia" w:hAnsiTheme="majorBidi" w:cstheme="majorBidi"/>
                <w:noProof/>
                <w:lang w:eastAsia="en-ID"/>
              </w:rPr>
              <w:tab/>
            </w:r>
            <w:r w:rsidRPr="009F7719">
              <w:rPr>
                <w:rStyle w:val="Hyperlink"/>
                <w:rFonts w:asciiTheme="majorBidi" w:hAnsiTheme="majorBidi" w:cstheme="majorBidi"/>
                <w:noProof/>
              </w:rPr>
              <w:t>Telaah Pustaka</w:t>
            </w:r>
            <w:r w:rsidRPr="009F7719">
              <w:rPr>
                <w:rFonts w:asciiTheme="majorBidi" w:hAnsiTheme="majorBidi" w:cstheme="majorBidi"/>
                <w:noProof/>
                <w:webHidden/>
              </w:rPr>
              <w:tab/>
            </w:r>
            <w:r w:rsidRPr="009F7719">
              <w:rPr>
                <w:rFonts w:asciiTheme="majorBidi" w:hAnsiTheme="majorBidi" w:cstheme="majorBidi"/>
                <w:noProof/>
                <w:webHidden/>
              </w:rPr>
              <w:fldChar w:fldCharType="begin"/>
            </w:r>
            <w:r w:rsidRPr="009F7719">
              <w:rPr>
                <w:rFonts w:asciiTheme="majorBidi" w:hAnsiTheme="majorBidi" w:cstheme="majorBidi"/>
                <w:noProof/>
                <w:webHidden/>
              </w:rPr>
              <w:instrText xml:space="preserve"> PAGEREF _Toc185961337 \h </w:instrText>
            </w:r>
            <w:r w:rsidRPr="009F7719">
              <w:rPr>
                <w:rFonts w:asciiTheme="majorBidi" w:hAnsiTheme="majorBidi" w:cstheme="majorBidi"/>
                <w:noProof/>
                <w:webHidden/>
              </w:rPr>
            </w:r>
            <w:r w:rsidRPr="009F7719">
              <w:rPr>
                <w:rFonts w:asciiTheme="majorBidi" w:hAnsiTheme="majorBidi" w:cstheme="majorBidi"/>
                <w:noProof/>
                <w:webHidden/>
              </w:rPr>
              <w:fldChar w:fldCharType="separate"/>
            </w:r>
            <w:r w:rsidR="00474234">
              <w:rPr>
                <w:rFonts w:asciiTheme="majorBidi" w:hAnsiTheme="majorBidi" w:cstheme="majorBidi"/>
                <w:noProof/>
                <w:webHidden/>
              </w:rPr>
              <w:t>12</w:t>
            </w:r>
            <w:r w:rsidRPr="009F7719">
              <w:rPr>
                <w:rFonts w:asciiTheme="majorBidi" w:hAnsiTheme="majorBidi" w:cstheme="majorBidi"/>
                <w:noProof/>
                <w:webHidden/>
              </w:rPr>
              <w:fldChar w:fldCharType="end"/>
            </w:r>
          </w:hyperlink>
        </w:p>
        <w:p w14:paraId="617C759E" w14:textId="3AA1C4FF" w:rsidR="009F7719" w:rsidRPr="009F7719" w:rsidRDefault="009F7719" w:rsidP="009F7719">
          <w:pPr>
            <w:pStyle w:val="TOC2"/>
            <w:tabs>
              <w:tab w:val="left" w:pos="660"/>
              <w:tab w:val="right" w:leader="dot" w:pos="5829"/>
            </w:tabs>
            <w:spacing w:line="240" w:lineRule="auto"/>
            <w:rPr>
              <w:rFonts w:asciiTheme="majorBidi" w:eastAsiaTheme="minorEastAsia" w:hAnsiTheme="majorBidi" w:cstheme="majorBidi"/>
              <w:noProof/>
              <w:lang w:eastAsia="en-ID"/>
            </w:rPr>
          </w:pPr>
          <w:hyperlink w:anchor="_Toc185961338" w:history="1">
            <w:r w:rsidRPr="009F7719">
              <w:rPr>
                <w:rStyle w:val="Hyperlink"/>
                <w:rFonts w:asciiTheme="majorBidi" w:hAnsiTheme="majorBidi" w:cstheme="majorBidi"/>
                <w:noProof/>
              </w:rPr>
              <w:t>F.</w:t>
            </w:r>
            <w:r w:rsidRPr="009F7719">
              <w:rPr>
                <w:rFonts w:asciiTheme="majorBidi" w:eastAsiaTheme="minorEastAsia" w:hAnsiTheme="majorBidi" w:cstheme="majorBidi"/>
                <w:noProof/>
                <w:lang w:eastAsia="en-ID"/>
              </w:rPr>
              <w:tab/>
            </w:r>
            <w:r w:rsidRPr="009F7719">
              <w:rPr>
                <w:rStyle w:val="Hyperlink"/>
                <w:rFonts w:asciiTheme="majorBidi" w:hAnsiTheme="majorBidi" w:cstheme="majorBidi"/>
                <w:noProof/>
              </w:rPr>
              <w:t>Metode Penelitian</w:t>
            </w:r>
            <w:r w:rsidRPr="009F7719">
              <w:rPr>
                <w:rFonts w:asciiTheme="majorBidi" w:hAnsiTheme="majorBidi" w:cstheme="majorBidi"/>
                <w:noProof/>
                <w:webHidden/>
              </w:rPr>
              <w:tab/>
            </w:r>
            <w:r w:rsidRPr="009F7719">
              <w:rPr>
                <w:rFonts w:asciiTheme="majorBidi" w:hAnsiTheme="majorBidi" w:cstheme="majorBidi"/>
                <w:noProof/>
                <w:webHidden/>
              </w:rPr>
              <w:fldChar w:fldCharType="begin"/>
            </w:r>
            <w:r w:rsidRPr="009F7719">
              <w:rPr>
                <w:rFonts w:asciiTheme="majorBidi" w:hAnsiTheme="majorBidi" w:cstheme="majorBidi"/>
                <w:noProof/>
                <w:webHidden/>
              </w:rPr>
              <w:instrText xml:space="preserve"> PAGEREF _Toc185961338 \h </w:instrText>
            </w:r>
            <w:r w:rsidRPr="009F7719">
              <w:rPr>
                <w:rFonts w:asciiTheme="majorBidi" w:hAnsiTheme="majorBidi" w:cstheme="majorBidi"/>
                <w:noProof/>
                <w:webHidden/>
              </w:rPr>
            </w:r>
            <w:r w:rsidRPr="009F7719">
              <w:rPr>
                <w:rFonts w:asciiTheme="majorBidi" w:hAnsiTheme="majorBidi" w:cstheme="majorBidi"/>
                <w:noProof/>
                <w:webHidden/>
              </w:rPr>
              <w:fldChar w:fldCharType="separate"/>
            </w:r>
            <w:r w:rsidR="00474234">
              <w:rPr>
                <w:rFonts w:asciiTheme="majorBidi" w:hAnsiTheme="majorBidi" w:cstheme="majorBidi"/>
                <w:noProof/>
                <w:webHidden/>
              </w:rPr>
              <w:t>16</w:t>
            </w:r>
            <w:r w:rsidRPr="009F7719">
              <w:rPr>
                <w:rFonts w:asciiTheme="majorBidi" w:hAnsiTheme="majorBidi" w:cstheme="majorBidi"/>
                <w:noProof/>
                <w:webHidden/>
              </w:rPr>
              <w:fldChar w:fldCharType="end"/>
            </w:r>
          </w:hyperlink>
        </w:p>
        <w:p w14:paraId="7EB90AEE" w14:textId="42BA59E4" w:rsidR="009F7719" w:rsidRPr="009F7719" w:rsidRDefault="009F7719" w:rsidP="009F7719">
          <w:pPr>
            <w:pStyle w:val="TOC2"/>
            <w:tabs>
              <w:tab w:val="left" w:pos="660"/>
              <w:tab w:val="right" w:leader="dot" w:pos="5829"/>
            </w:tabs>
            <w:spacing w:line="240" w:lineRule="auto"/>
            <w:rPr>
              <w:rFonts w:asciiTheme="majorBidi" w:eastAsiaTheme="minorEastAsia" w:hAnsiTheme="majorBidi" w:cstheme="majorBidi"/>
              <w:noProof/>
              <w:lang w:eastAsia="en-ID"/>
            </w:rPr>
          </w:pPr>
          <w:hyperlink w:anchor="_Toc185961339" w:history="1">
            <w:r w:rsidRPr="009F7719">
              <w:rPr>
                <w:rStyle w:val="Hyperlink"/>
                <w:rFonts w:asciiTheme="majorBidi" w:hAnsiTheme="majorBidi" w:cstheme="majorBidi"/>
                <w:noProof/>
              </w:rPr>
              <w:t>G.</w:t>
            </w:r>
            <w:r w:rsidRPr="009F7719">
              <w:rPr>
                <w:rFonts w:asciiTheme="majorBidi" w:eastAsiaTheme="minorEastAsia" w:hAnsiTheme="majorBidi" w:cstheme="majorBidi"/>
                <w:noProof/>
                <w:lang w:eastAsia="en-ID"/>
              </w:rPr>
              <w:tab/>
            </w:r>
            <w:r w:rsidRPr="009F7719">
              <w:rPr>
                <w:rStyle w:val="Hyperlink"/>
                <w:rFonts w:asciiTheme="majorBidi" w:hAnsiTheme="majorBidi" w:cstheme="majorBidi"/>
                <w:noProof/>
              </w:rPr>
              <w:t>Sistematika Penulisan</w:t>
            </w:r>
            <w:r w:rsidRPr="009F7719">
              <w:rPr>
                <w:rFonts w:asciiTheme="majorBidi" w:hAnsiTheme="majorBidi" w:cstheme="majorBidi"/>
                <w:noProof/>
                <w:webHidden/>
              </w:rPr>
              <w:tab/>
            </w:r>
            <w:r w:rsidRPr="009F7719">
              <w:rPr>
                <w:rFonts w:asciiTheme="majorBidi" w:hAnsiTheme="majorBidi" w:cstheme="majorBidi"/>
                <w:noProof/>
                <w:webHidden/>
              </w:rPr>
              <w:fldChar w:fldCharType="begin"/>
            </w:r>
            <w:r w:rsidRPr="009F7719">
              <w:rPr>
                <w:rFonts w:asciiTheme="majorBidi" w:hAnsiTheme="majorBidi" w:cstheme="majorBidi"/>
                <w:noProof/>
                <w:webHidden/>
              </w:rPr>
              <w:instrText xml:space="preserve"> PAGEREF _Toc185961339 \h </w:instrText>
            </w:r>
            <w:r w:rsidRPr="009F7719">
              <w:rPr>
                <w:rFonts w:asciiTheme="majorBidi" w:hAnsiTheme="majorBidi" w:cstheme="majorBidi"/>
                <w:noProof/>
                <w:webHidden/>
              </w:rPr>
            </w:r>
            <w:r w:rsidRPr="009F7719">
              <w:rPr>
                <w:rFonts w:asciiTheme="majorBidi" w:hAnsiTheme="majorBidi" w:cstheme="majorBidi"/>
                <w:noProof/>
                <w:webHidden/>
              </w:rPr>
              <w:fldChar w:fldCharType="separate"/>
            </w:r>
            <w:r w:rsidR="00474234">
              <w:rPr>
                <w:rFonts w:asciiTheme="majorBidi" w:hAnsiTheme="majorBidi" w:cstheme="majorBidi"/>
                <w:noProof/>
                <w:webHidden/>
              </w:rPr>
              <w:t>20</w:t>
            </w:r>
            <w:r w:rsidRPr="009F7719">
              <w:rPr>
                <w:rFonts w:asciiTheme="majorBidi" w:hAnsiTheme="majorBidi" w:cstheme="majorBidi"/>
                <w:noProof/>
                <w:webHidden/>
              </w:rPr>
              <w:fldChar w:fldCharType="end"/>
            </w:r>
          </w:hyperlink>
        </w:p>
        <w:p w14:paraId="1BE5592E" w14:textId="541FCF12" w:rsidR="009F7719" w:rsidRPr="009F7719" w:rsidRDefault="009F7719" w:rsidP="009F7719">
          <w:pPr>
            <w:pStyle w:val="TOC1"/>
            <w:spacing w:line="240" w:lineRule="auto"/>
            <w:rPr>
              <w:rFonts w:eastAsiaTheme="minorEastAsia"/>
              <w:b w:val="0"/>
              <w:bCs w:val="0"/>
              <w:lang w:eastAsia="en-ID"/>
            </w:rPr>
          </w:pPr>
          <w:hyperlink w:anchor="_Toc185961340" w:history="1">
            <w:r w:rsidRPr="009F7719">
              <w:rPr>
                <w:rStyle w:val="Hyperlink"/>
              </w:rPr>
              <w:t xml:space="preserve">BAB II   TINDAK PIDANA PELECEHAN SEKSUAL, SISTEM PEMBUKTIAN DALAM HUKUM ACARA PIDANA POSITIF DAN HUKUM ACARA </w:t>
            </w:r>
            <w:r w:rsidRPr="009F7719">
              <w:rPr>
                <w:rStyle w:val="Hyperlink"/>
                <w:i/>
                <w:iCs/>
              </w:rPr>
              <w:t>JINAYAT</w:t>
            </w:r>
            <w:r w:rsidRPr="009F7719">
              <w:rPr>
                <w:webHidden/>
              </w:rPr>
              <w:tab/>
            </w:r>
            <w:r w:rsidRPr="009F7719">
              <w:rPr>
                <w:webHidden/>
              </w:rPr>
              <w:fldChar w:fldCharType="begin"/>
            </w:r>
            <w:r w:rsidRPr="009F7719">
              <w:rPr>
                <w:webHidden/>
              </w:rPr>
              <w:instrText xml:space="preserve"> PAGEREF _Toc185961340 \h </w:instrText>
            </w:r>
            <w:r w:rsidRPr="009F7719">
              <w:rPr>
                <w:webHidden/>
              </w:rPr>
            </w:r>
            <w:r w:rsidRPr="009F7719">
              <w:rPr>
                <w:webHidden/>
              </w:rPr>
              <w:fldChar w:fldCharType="separate"/>
            </w:r>
            <w:r w:rsidR="00474234">
              <w:rPr>
                <w:webHidden/>
              </w:rPr>
              <w:t>22</w:t>
            </w:r>
            <w:r w:rsidRPr="009F7719">
              <w:rPr>
                <w:webHidden/>
              </w:rPr>
              <w:fldChar w:fldCharType="end"/>
            </w:r>
          </w:hyperlink>
        </w:p>
        <w:p w14:paraId="489AF1FB" w14:textId="378C9DF7" w:rsidR="009F7719" w:rsidRPr="009F7719" w:rsidRDefault="009F7719" w:rsidP="009F7719">
          <w:pPr>
            <w:pStyle w:val="TOC2"/>
            <w:tabs>
              <w:tab w:val="left" w:pos="660"/>
              <w:tab w:val="right" w:leader="dot" w:pos="5829"/>
            </w:tabs>
            <w:spacing w:line="240" w:lineRule="auto"/>
            <w:rPr>
              <w:rFonts w:asciiTheme="majorBidi" w:eastAsiaTheme="minorEastAsia" w:hAnsiTheme="majorBidi" w:cstheme="majorBidi"/>
              <w:noProof/>
              <w:lang w:eastAsia="en-ID"/>
            </w:rPr>
          </w:pPr>
          <w:hyperlink w:anchor="_Toc185961341" w:history="1">
            <w:r w:rsidRPr="009F7719">
              <w:rPr>
                <w:rStyle w:val="Hyperlink"/>
                <w:rFonts w:asciiTheme="majorBidi" w:hAnsiTheme="majorBidi" w:cstheme="majorBidi"/>
                <w:noProof/>
              </w:rPr>
              <w:t>A.</w:t>
            </w:r>
            <w:r w:rsidRPr="009F7719">
              <w:rPr>
                <w:rFonts w:asciiTheme="majorBidi" w:eastAsiaTheme="minorEastAsia" w:hAnsiTheme="majorBidi" w:cstheme="majorBidi"/>
                <w:noProof/>
                <w:lang w:eastAsia="en-ID"/>
              </w:rPr>
              <w:tab/>
            </w:r>
            <w:r w:rsidRPr="009F7719">
              <w:rPr>
                <w:rStyle w:val="Hyperlink"/>
                <w:rFonts w:asciiTheme="majorBidi" w:hAnsiTheme="majorBidi" w:cstheme="majorBidi"/>
                <w:noProof/>
              </w:rPr>
              <w:t>Pengertian Tindak Pidana Pelecehan Seksual</w:t>
            </w:r>
            <w:r w:rsidRPr="009F7719">
              <w:rPr>
                <w:rFonts w:asciiTheme="majorBidi" w:hAnsiTheme="majorBidi" w:cstheme="majorBidi"/>
                <w:noProof/>
                <w:webHidden/>
              </w:rPr>
              <w:tab/>
            </w:r>
            <w:r w:rsidRPr="009F7719">
              <w:rPr>
                <w:rFonts w:asciiTheme="majorBidi" w:hAnsiTheme="majorBidi" w:cstheme="majorBidi"/>
                <w:noProof/>
                <w:webHidden/>
              </w:rPr>
              <w:fldChar w:fldCharType="begin"/>
            </w:r>
            <w:r w:rsidRPr="009F7719">
              <w:rPr>
                <w:rFonts w:asciiTheme="majorBidi" w:hAnsiTheme="majorBidi" w:cstheme="majorBidi"/>
                <w:noProof/>
                <w:webHidden/>
              </w:rPr>
              <w:instrText xml:space="preserve"> PAGEREF _Toc185961341 \h </w:instrText>
            </w:r>
            <w:r w:rsidRPr="009F7719">
              <w:rPr>
                <w:rFonts w:asciiTheme="majorBidi" w:hAnsiTheme="majorBidi" w:cstheme="majorBidi"/>
                <w:noProof/>
                <w:webHidden/>
              </w:rPr>
            </w:r>
            <w:r w:rsidRPr="009F7719">
              <w:rPr>
                <w:rFonts w:asciiTheme="majorBidi" w:hAnsiTheme="majorBidi" w:cstheme="majorBidi"/>
                <w:noProof/>
                <w:webHidden/>
              </w:rPr>
              <w:fldChar w:fldCharType="separate"/>
            </w:r>
            <w:r w:rsidR="00474234">
              <w:rPr>
                <w:rFonts w:asciiTheme="majorBidi" w:hAnsiTheme="majorBidi" w:cstheme="majorBidi"/>
                <w:noProof/>
                <w:webHidden/>
              </w:rPr>
              <w:t>22</w:t>
            </w:r>
            <w:r w:rsidRPr="009F7719">
              <w:rPr>
                <w:rFonts w:asciiTheme="majorBidi" w:hAnsiTheme="majorBidi" w:cstheme="majorBidi"/>
                <w:noProof/>
                <w:webHidden/>
              </w:rPr>
              <w:fldChar w:fldCharType="end"/>
            </w:r>
          </w:hyperlink>
        </w:p>
        <w:p w14:paraId="7B4213D4" w14:textId="74EDCEBB" w:rsidR="009F7719" w:rsidRPr="009F7719" w:rsidRDefault="009F7719" w:rsidP="009F7719">
          <w:pPr>
            <w:pStyle w:val="TOC2"/>
            <w:tabs>
              <w:tab w:val="left" w:pos="660"/>
              <w:tab w:val="right" w:leader="dot" w:pos="5829"/>
            </w:tabs>
            <w:spacing w:line="240" w:lineRule="auto"/>
            <w:rPr>
              <w:rFonts w:asciiTheme="majorBidi" w:eastAsiaTheme="minorEastAsia" w:hAnsiTheme="majorBidi" w:cstheme="majorBidi"/>
              <w:noProof/>
              <w:lang w:eastAsia="en-ID"/>
            </w:rPr>
          </w:pPr>
          <w:hyperlink w:anchor="_Toc185961342" w:history="1">
            <w:r w:rsidRPr="009F7719">
              <w:rPr>
                <w:rStyle w:val="Hyperlink"/>
                <w:rFonts w:asciiTheme="majorBidi" w:hAnsiTheme="majorBidi" w:cstheme="majorBidi"/>
                <w:noProof/>
              </w:rPr>
              <w:t>B.</w:t>
            </w:r>
            <w:r w:rsidRPr="009F7719">
              <w:rPr>
                <w:rFonts w:asciiTheme="majorBidi" w:eastAsiaTheme="minorEastAsia" w:hAnsiTheme="majorBidi" w:cstheme="majorBidi"/>
                <w:noProof/>
                <w:lang w:eastAsia="en-ID"/>
              </w:rPr>
              <w:tab/>
            </w:r>
            <w:r w:rsidRPr="009F7719">
              <w:rPr>
                <w:rStyle w:val="Hyperlink"/>
                <w:rFonts w:asciiTheme="majorBidi" w:hAnsiTheme="majorBidi" w:cstheme="majorBidi"/>
                <w:noProof/>
              </w:rPr>
              <w:t>Sistem Pembuktian Tindak Pidana dalam KUHAP</w:t>
            </w:r>
            <w:r w:rsidRPr="009F7719">
              <w:rPr>
                <w:rFonts w:asciiTheme="majorBidi" w:hAnsiTheme="majorBidi" w:cstheme="majorBidi"/>
                <w:noProof/>
                <w:webHidden/>
              </w:rPr>
              <w:tab/>
            </w:r>
            <w:r w:rsidRPr="009F7719">
              <w:rPr>
                <w:rFonts w:asciiTheme="majorBidi" w:hAnsiTheme="majorBidi" w:cstheme="majorBidi"/>
                <w:noProof/>
                <w:webHidden/>
              </w:rPr>
              <w:fldChar w:fldCharType="begin"/>
            </w:r>
            <w:r w:rsidRPr="009F7719">
              <w:rPr>
                <w:rFonts w:asciiTheme="majorBidi" w:hAnsiTheme="majorBidi" w:cstheme="majorBidi"/>
                <w:noProof/>
                <w:webHidden/>
              </w:rPr>
              <w:instrText xml:space="preserve"> PAGEREF _Toc185961342 \h </w:instrText>
            </w:r>
            <w:r w:rsidRPr="009F7719">
              <w:rPr>
                <w:rFonts w:asciiTheme="majorBidi" w:hAnsiTheme="majorBidi" w:cstheme="majorBidi"/>
                <w:noProof/>
                <w:webHidden/>
              </w:rPr>
            </w:r>
            <w:r w:rsidRPr="009F7719">
              <w:rPr>
                <w:rFonts w:asciiTheme="majorBidi" w:hAnsiTheme="majorBidi" w:cstheme="majorBidi"/>
                <w:noProof/>
                <w:webHidden/>
              </w:rPr>
              <w:fldChar w:fldCharType="separate"/>
            </w:r>
            <w:r w:rsidR="00474234">
              <w:rPr>
                <w:rFonts w:asciiTheme="majorBidi" w:hAnsiTheme="majorBidi" w:cstheme="majorBidi"/>
                <w:noProof/>
                <w:webHidden/>
              </w:rPr>
              <w:t>26</w:t>
            </w:r>
            <w:r w:rsidRPr="009F7719">
              <w:rPr>
                <w:rFonts w:asciiTheme="majorBidi" w:hAnsiTheme="majorBidi" w:cstheme="majorBidi"/>
                <w:noProof/>
                <w:webHidden/>
              </w:rPr>
              <w:fldChar w:fldCharType="end"/>
            </w:r>
          </w:hyperlink>
        </w:p>
        <w:p w14:paraId="30FFB091" w14:textId="21FD58A3" w:rsidR="009F7719" w:rsidRPr="009F7719" w:rsidRDefault="009F7719" w:rsidP="009F7719">
          <w:pPr>
            <w:pStyle w:val="TOC2"/>
            <w:tabs>
              <w:tab w:val="left" w:pos="660"/>
              <w:tab w:val="right" w:leader="dot" w:pos="5829"/>
            </w:tabs>
            <w:spacing w:line="240" w:lineRule="auto"/>
            <w:rPr>
              <w:rFonts w:asciiTheme="majorBidi" w:eastAsiaTheme="minorEastAsia" w:hAnsiTheme="majorBidi" w:cstheme="majorBidi"/>
              <w:noProof/>
              <w:lang w:eastAsia="en-ID"/>
            </w:rPr>
          </w:pPr>
          <w:hyperlink w:anchor="_Toc185961343" w:history="1">
            <w:r w:rsidRPr="009F7719">
              <w:rPr>
                <w:rStyle w:val="Hyperlink"/>
                <w:rFonts w:asciiTheme="majorBidi" w:hAnsiTheme="majorBidi" w:cstheme="majorBidi"/>
                <w:noProof/>
              </w:rPr>
              <w:t>C.</w:t>
            </w:r>
            <w:r w:rsidRPr="009F7719">
              <w:rPr>
                <w:rFonts w:asciiTheme="majorBidi" w:eastAsiaTheme="minorEastAsia" w:hAnsiTheme="majorBidi" w:cstheme="majorBidi"/>
                <w:noProof/>
                <w:lang w:eastAsia="en-ID"/>
              </w:rPr>
              <w:tab/>
            </w:r>
            <w:r w:rsidRPr="009F7719">
              <w:rPr>
                <w:rStyle w:val="Hyperlink"/>
                <w:rFonts w:asciiTheme="majorBidi" w:hAnsiTheme="majorBidi" w:cstheme="majorBidi"/>
                <w:noProof/>
              </w:rPr>
              <w:t xml:space="preserve">Sistem Pembuktian dalam Hukum Acara </w:t>
            </w:r>
            <w:r w:rsidRPr="009F7719">
              <w:rPr>
                <w:rStyle w:val="Hyperlink"/>
                <w:rFonts w:asciiTheme="majorBidi" w:hAnsiTheme="majorBidi" w:cstheme="majorBidi"/>
                <w:i/>
                <w:iCs/>
                <w:noProof/>
              </w:rPr>
              <w:t>Jinayat</w:t>
            </w:r>
            <w:r w:rsidRPr="009F7719">
              <w:rPr>
                <w:rFonts w:asciiTheme="majorBidi" w:hAnsiTheme="majorBidi" w:cstheme="majorBidi"/>
                <w:noProof/>
                <w:webHidden/>
              </w:rPr>
              <w:tab/>
            </w:r>
            <w:r w:rsidRPr="009F7719">
              <w:rPr>
                <w:rFonts w:asciiTheme="majorBidi" w:hAnsiTheme="majorBidi" w:cstheme="majorBidi"/>
                <w:noProof/>
                <w:webHidden/>
              </w:rPr>
              <w:fldChar w:fldCharType="begin"/>
            </w:r>
            <w:r w:rsidRPr="009F7719">
              <w:rPr>
                <w:rFonts w:asciiTheme="majorBidi" w:hAnsiTheme="majorBidi" w:cstheme="majorBidi"/>
                <w:noProof/>
                <w:webHidden/>
              </w:rPr>
              <w:instrText xml:space="preserve"> PAGEREF _Toc185961343 \h </w:instrText>
            </w:r>
            <w:r w:rsidRPr="009F7719">
              <w:rPr>
                <w:rFonts w:asciiTheme="majorBidi" w:hAnsiTheme="majorBidi" w:cstheme="majorBidi"/>
                <w:noProof/>
                <w:webHidden/>
              </w:rPr>
            </w:r>
            <w:r w:rsidRPr="009F7719">
              <w:rPr>
                <w:rFonts w:asciiTheme="majorBidi" w:hAnsiTheme="majorBidi" w:cstheme="majorBidi"/>
                <w:noProof/>
                <w:webHidden/>
              </w:rPr>
              <w:fldChar w:fldCharType="separate"/>
            </w:r>
            <w:r w:rsidR="00474234">
              <w:rPr>
                <w:rFonts w:asciiTheme="majorBidi" w:hAnsiTheme="majorBidi" w:cstheme="majorBidi"/>
                <w:noProof/>
                <w:webHidden/>
              </w:rPr>
              <w:t>45</w:t>
            </w:r>
            <w:r w:rsidRPr="009F7719">
              <w:rPr>
                <w:rFonts w:asciiTheme="majorBidi" w:hAnsiTheme="majorBidi" w:cstheme="majorBidi"/>
                <w:noProof/>
                <w:webHidden/>
              </w:rPr>
              <w:fldChar w:fldCharType="end"/>
            </w:r>
          </w:hyperlink>
        </w:p>
        <w:p w14:paraId="5C256A97" w14:textId="614AF62A" w:rsidR="009F7719" w:rsidRPr="009F7719" w:rsidRDefault="009F7719" w:rsidP="009F7719">
          <w:pPr>
            <w:pStyle w:val="TOC1"/>
            <w:spacing w:line="240" w:lineRule="auto"/>
            <w:rPr>
              <w:rFonts w:eastAsiaTheme="minorEastAsia"/>
              <w:b w:val="0"/>
              <w:bCs w:val="0"/>
              <w:lang w:eastAsia="en-ID"/>
            </w:rPr>
          </w:pPr>
          <w:hyperlink w:anchor="_Toc185961344" w:history="1">
            <w:r w:rsidRPr="009F7719">
              <w:rPr>
                <w:rStyle w:val="Hyperlink"/>
              </w:rPr>
              <w:t xml:space="preserve">BAB III  GAMBARAN UMUM KESAKSIAN </w:t>
            </w:r>
            <w:r w:rsidRPr="009F7719">
              <w:rPr>
                <w:rStyle w:val="Hyperlink"/>
                <w:i/>
                <w:iCs/>
              </w:rPr>
              <w:t>TESTIMONIUM DE AUDITU</w:t>
            </w:r>
            <w:r w:rsidRPr="009F7719">
              <w:rPr>
                <w:rStyle w:val="Hyperlink"/>
              </w:rPr>
              <w:t xml:space="preserve">  PADA TINDAK PIDANA PELECEHAN SEKSUAL TERHADAP ANAK DALAM PUTUSAN MAHKAMAH SYARIAH TAKENGON NOMOR 9/JN/2023/MS.TKN</w:t>
            </w:r>
            <w:r w:rsidRPr="009F7719">
              <w:rPr>
                <w:webHidden/>
              </w:rPr>
              <w:tab/>
            </w:r>
            <w:r w:rsidRPr="009F7719">
              <w:rPr>
                <w:webHidden/>
              </w:rPr>
              <w:fldChar w:fldCharType="begin"/>
            </w:r>
            <w:r w:rsidRPr="009F7719">
              <w:rPr>
                <w:webHidden/>
              </w:rPr>
              <w:instrText xml:space="preserve"> PAGEREF _Toc185961344 \h </w:instrText>
            </w:r>
            <w:r w:rsidRPr="009F7719">
              <w:rPr>
                <w:webHidden/>
              </w:rPr>
            </w:r>
            <w:r w:rsidRPr="009F7719">
              <w:rPr>
                <w:webHidden/>
              </w:rPr>
              <w:fldChar w:fldCharType="separate"/>
            </w:r>
            <w:r w:rsidR="00474234">
              <w:rPr>
                <w:webHidden/>
              </w:rPr>
              <w:t>59</w:t>
            </w:r>
            <w:r w:rsidRPr="009F7719">
              <w:rPr>
                <w:webHidden/>
              </w:rPr>
              <w:fldChar w:fldCharType="end"/>
            </w:r>
          </w:hyperlink>
        </w:p>
        <w:p w14:paraId="2276FA60" w14:textId="0DD109B2" w:rsidR="009F7719" w:rsidRPr="009F7719" w:rsidRDefault="009F7719" w:rsidP="009F7719">
          <w:pPr>
            <w:pStyle w:val="TOC2"/>
            <w:tabs>
              <w:tab w:val="left" w:pos="660"/>
              <w:tab w:val="right" w:leader="dot" w:pos="5829"/>
            </w:tabs>
            <w:spacing w:line="240" w:lineRule="auto"/>
            <w:rPr>
              <w:rFonts w:asciiTheme="majorBidi" w:eastAsiaTheme="minorEastAsia" w:hAnsiTheme="majorBidi" w:cstheme="majorBidi"/>
              <w:noProof/>
              <w:lang w:eastAsia="en-ID"/>
            </w:rPr>
          </w:pPr>
          <w:hyperlink w:anchor="_Toc185961345" w:history="1">
            <w:r w:rsidRPr="009F7719">
              <w:rPr>
                <w:rStyle w:val="Hyperlink"/>
                <w:rFonts w:asciiTheme="majorBidi" w:hAnsiTheme="majorBidi" w:cstheme="majorBidi"/>
                <w:iCs/>
                <w:noProof/>
              </w:rPr>
              <w:t>A.</w:t>
            </w:r>
            <w:r w:rsidRPr="009F7719">
              <w:rPr>
                <w:rFonts w:asciiTheme="majorBidi" w:eastAsiaTheme="minorEastAsia" w:hAnsiTheme="majorBidi" w:cstheme="majorBidi"/>
                <w:noProof/>
                <w:lang w:eastAsia="en-ID"/>
              </w:rPr>
              <w:tab/>
            </w:r>
            <w:r w:rsidRPr="009F7719">
              <w:rPr>
                <w:rStyle w:val="Hyperlink"/>
                <w:rFonts w:asciiTheme="majorBidi" w:hAnsiTheme="majorBidi" w:cstheme="majorBidi"/>
                <w:noProof/>
              </w:rPr>
              <w:t xml:space="preserve">Kesaksian </w:t>
            </w:r>
            <w:r w:rsidRPr="009F7719">
              <w:rPr>
                <w:rStyle w:val="Hyperlink"/>
                <w:rFonts w:asciiTheme="majorBidi" w:hAnsiTheme="majorBidi" w:cstheme="majorBidi"/>
                <w:i/>
                <w:iCs/>
                <w:noProof/>
              </w:rPr>
              <w:t xml:space="preserve">Testimonium De Auditu/ Syahadah Al Istifadah </w:t>
            </w:r>
            <w:r w:rsidRPr="009F7719">
              <w:rPr>
                <w:rStyle w:val="Hyperlink"/>
                <w:rFonts w:asciiTheme="majorBidi" w:hAnsiTheme="majorBidi" w:cstheme="majorBidi"/>
                <w:noProof/>
              </w:rPr>
              <w:t>dalam Sistem Peradilan</w:t>
            </w:r>
            <w:r w:rsidRPr="009F7719">
              <w:rPr>
                <w:rFonts w:asciiTheme="majorBidi" w:hAnsiTheme="majorBidi" w:cstheme="majorBidi"/>
                <w:noProof/>
                <w:webHidden/>
              </w:rPr>
              <w:tab/>
            </w:r>
            <w:r w:rsidRPr="009F7719">
              <w:rPr>
                <w:rFonts w:asciiTheme="majorBidi" w:hAnsiTheme="majorBidi" w:cstheme="majorBidi"/>
                <w:noProof/>
                <w:webHidden/>
              </w:rPr>
              <w:fldChar w:fldCharType="begin"/>
            </w:r>
            <w:r w:rsidRPr="009F7719">
              <w:rPr>
                <w:rFonts w:asciiTheme="majorBidi" w:hAnsiTheme="majorBidi" w:cstheme="majorBidi"/>
                <w:noProof/>
                <w:webHidden/>
              </w:rPr>
              <w:instrText xml:space="preserve"> PAGEREF _Toc185961345 \h </w:instrText>
            </w:r>
            <w:r w:rsidRPr="009F7719">
              <w:rPr>
                <w:rFonts w:asciiTheme="majorBidi" w:hAnsiTheme="majorBidi" w:cstheme="majorBidi"/>
                <w:noProof/>
                <w:webHidden/>
              </w:rPr>
            </w:r>
            <w:r w:rsidRPr="009F7719">
              <w:rPr>
                <w:rFonts w:asciiTheme="majorBidi" w:hAnsiTheme="majorBidi" w:cstheme="majorBidi"/>
                <w:noProof/>
                <w:webHidden/>
              </w:rPr>
              <w:fldChar w:fldCharType="separate"/>
            </w:r>
            <w:r w:rsidR="00474234">
              <w:rPr>
                <w:rFonts w:asciiTheme="majorBidi" w:hAnsiTheme="majorBidi" w:cstheme="majorBidi"/>
                <w:noProof/>
                <w:webHidden/>
              </w:rPr>
              <w:t>59</w:t>
            </w:r>
            <w:r w:rsidRPr="009F7719">
              <w:rPr>
                <w:rFonts w:asciiTheme="majorBidi" w:hAnsiTheme="majorBidi" w:cstheme="majorBidi"/>
                <w:noProof/>
                <w:webHidden/>
              </w:rPr>
              <w:fldChar w:fldCharType="end"/>
            </w:r>
          </w:hyperlink>
        </w:p>
        <w:p w14:paraId="496FEE58" w14:textId="37D7A00C" w:rsidR="009F7719" w:rsidRPr="009F7719" w:rsidRDefault="009F7719" w:rsidP="009F7719">
          <w:pPr>
            <w:pStyle w:val="TOC2"/>
            <w:tabs>
              <w:tab w:val="left" w:pos="660"/>
              <w:tab w:val="right" w:leader="dot" w:pos="5829"/>
            </w:tabs>
            <w:spacing w:line="240" w:lineRule="auto"/>
            <w:rPr>
              <w:rFonts w:asciiTheme="majorBidi" w:eastAsiaTheme="minorEastAsia" w:hAnsiTheme="majorBidi" w:cstheme="majorBidi"/>
              <w:noProof/>
              <w:lang w:eastAsia="en-ID"/>
            </w:rPr>
          </w:pPr>
          <w:hyperlink w:anchor="_Toc185961346" w:history="1">
            <w:r w:rsidRPr="009F7719">
              <w:rPr>
                <w:rStyle w:val="Hyperlink"/>
                <w:rFonts w:asciiTheme="majorBidi" w:hAnsiTheme="majorBidi" w:cstheme="majorBidi"/>
                <w:noProof/>
              </w:rPr>
              <w:t>B.</w:t>
            </w:r>
            <w:r w:rsidRPr="009F7719">
              <w:rPr>
                <w:rFonts w:asciiTheme="majorBidi" w:eastAsiaTheme="minorEastAsia" w:hAnsiTheme="majorBidi" w:cstheme="majorBidi"/>
                <w:noProof/>
                <w:lang w:eastAsia="en-ID"/>
              </w:rPr>
              <w:tab/>
            </w:r>
            <w:r w:rsidRPr="009F7719">
              <w:rPr>
                <w:rStyle w:val="Hyperlink"/>
                <w:rFonts w:asciiTheme="majorBidi" w:hAnsiTheme="majorBidi" w:cstheme="majorBidi"/>
                <w:noProof/>
              </w:rPr>
              <w:t>Kronologi Tindak Pidana Pelecehan Seksual Terhadap Anak di Bawah Umur dalam Putusan Mahkamah Syariah Takengon Nomor 9/Jn/2023/Ms.Tkn.</w:t>
            </w:r>
            <w:r w:rsidRPr="009F7719">
              <w:rPr>
                <w:rFonts w:asciiTheme="majorBidi" w:hAnsiTheme="majorBidi" w:cstheme="majorBidi"/>
                <w:noProof/>
                <w:webHidden/>
              </w:rPr>
              <w:tab/>
            </w:r>
            <w:r w:rsidRPr="009F7719">
              <w:rPr>
                <w:rFonts w:asciiTheme="majorBidi" w:hAnsiTheme="majorBidi" w:cstheme="majorBidi"/>
                <w:noProof/>
                <w:webHidden/>
              </w:rPr>
              <w:fldChar w:fldCharType="begin"/>
            </w:r>
            <w:r w:rsidRPr="009F7719">
              <w:rPr>
                <w:rFonts w:asciiTheme="majorBidi" w:hAnsiTheme="majorBidi" w:cstheme="majorBidi"/>
                <w:noProof/>
                <w:webHidden/>
              </w:rPr>
              <w:instrText xml:space="preserve"> PAGEREF _Toc185961346 \h </w:instrText>
            </w:r>
            <w:r w:rsidRPr="009F7719">
              <w:rPr>
                <w:rFonts w:asciiTheme="majorBidi" w:hAnsiTheme="majorBidi" w:cstheme="majorBidi"/>
                <w:noProof/>
                <w:webHidden/>
              </w:rPr>
            </w:r>
            <w:r w:rsidRPr="009F7719">
              <w:rPr>
                <w:rFonts w:asciiTheme="majorBidi" w:hAnsiTheme="majorBidi" w:cstheme="majorBidi"/>
                <w:noProof/>
                <w:webHidden/>
              </w:rPr>
              <w:fldChar w:fldCharType="separate"/>
            </w:r>
            <w:r w:rsidR="00474234">
              <w:rPr>
                <w:rFonts w:asciiTheme="majorBidi" w:hAnsiTheme="majorBidi" w:cstheme="majorBidi"/>
                <w:noProof/>
                <w:webHidden/>
              </w:rPr>
              <w:t>63</w:t>
            </w:r>
            <w:r w:rsidRPr="009F7719">
              <w:rPr>
                <w:rFonts w:asciiTheme="majorBidi" w:hAnsiTheme="majorBidi" w:cstheme="majorBidi"/>
                <w:noProof/>
                <w:webHidden/>
              </w:rPr>
              <w:fldChar w:fldCharType="end"/>
            </w:r>
          </w:hyperlink>
        </w:p>
        <w:p w14:paraId="66178C05" w14:textId="0585C38E" w:rsidR="009F7719" w:rsidRPr="009F7719" w:rsidRDefault="009F7719" w:rsidP="009F7719">
          <w:pPr>
            <w:pStyle w:val="TOC2"/>
            <w:tabs>
              <w:tab w:val="left" w:pos="660"/>
              <w:tab w:val="right" w:leader="dot" w:pos="5829"/>
            </w:tabs>
            <w:spacing w:line="240" w:lineRule="auto"/>
            <w:rPr>
              <w:rFonts w:asciiTheme="majorBidi" w:eastAsiaTheme="minorEastAsia" w:hAnsiTheme="majorBidi" w:cstheme="majorBidi"/>
              <w:noProof/>
              <w:lang w:eastAsia="en-ID"/>
            </w:rPr>
          </w:pPr>
          <w:hyperlink w:anchor="_Toc185961347" w:history="1">
            <w:r w:rsidRPr="009F7719">
              <w:rPr>
                <w:rStyle w:val="Hyperlink"/>
                <w:rFonts w:asciiTheme="majorBidi" w:hAnsiTheme="majorBidi" w:cstheme="majorBidi"/>
                <w:noProof/>
              </w:rPr>
              <w:t>C.</w:t>
            </w:r>
            <w:r w:rsidRPr="009F7719">
              <w:rPr>
                <w:rFonts w:asciiTheme="majorBidi" w:eastAsiaTheme="minorEastAsia" w:hAnsiTheme="majorBidi" w:cstheme="majorBidi"/>
                <w:noProof/>
                <w:lang w:eastAsia="en-ID"/>
              </w:rPr>
              <w:tab/>
            </w:r>
            <w:r w:rsidRPr="009F7719">
              <w:rPr>
                <w:rStyle w:val="Hyperlink"/>
                <w:rFonts w:asciiTheme="majorBidi" w:hAnsiTheme="majorBidi" w:cstheme="majorBidi"/>
                <w:noProof/>
              </w:rPr>
              <w:t xml:space="preserve">Bentuk Kesaksian </w:t>
            </w:r>
            <w:r w:rsidRPr="009F7719">
              <w:rPr>
                <w:rStyle w:val="Hyperlink"/>
                <w:rFonts w:asciiTheme="majorBidi" w:hAnsiTheme="majorBidi" w:cstheme="majorBidi"/>
                <w:i/>
                <w:iCs/>
                <w:noProof/>
              </w:rPr>
              <w:t>Testimonium De Auditu</w:t>
            </w:r>
            <w:r w:rsidRPr="009F7719">
              <w:rPr>
                <w:rStyle w:val="Hyperlink"/>
                <w:rFonts w:asciiTheme="majorBidi" w:hAnsiTheme="majorBidi" w:cstheme="majorBidi"/>
                <w:noProof/>
              </w:rPr>
              <w:t xml:space="preserve"> dalam Putusan Mahkamah Syariah Takengon Nomor 9/Jn/2023/Ms.Tkn.</w:t>
            </w:r>
            <w:r w:rsidRPr="009F7719">
              <w:rPr>
                <w:rFonts w:asciiTheme="majorBidi" w:hAnsiTheme="majorBidi" w:cstheme="majorBidi"/>
                <w:noProof/>
                <w:webHidden/>
              </w:rPr>
              <w:tab/>
            </w:r>
            <w:r w:rsidRPr="009F7719">
              <w:rPr>
                <w:rFonts w:asciiTheme="majorBidi" w:hAnsiTheme="majorBidi" w:cstheme="majorBidi"/>
                <w:noProof/>
                <w:webHidden/>
              </w:rPr>
              <w:fldChar w:fldCharType="begin"/>
            </w:r>
            <w:r w:rsidRPr="009F7719">
              <w:rPr>
                <w:rFonts w:asciiTheme="majorBidi" w:hAnsiTheme="majorBidi" w:cstheme="majorBidi"/>
                <w:noProof/>
                <w:webHidden/>
              </w:rPr>
              <w:instrText xml:space="preserve"> PAGEREF _Toc185961347 \h </w:instrText>
            </w:r>
            <w:r w:rsidRPr="009F7719">
              <w:rPr>
                <w:rFonts w:asciiTheme="majorBidi" w:hAnsiTheme="majorBidi" w:cstheme="majorBidi"/>
                <w:noProof/>
                <w:webHidden/>
              </w:rPr>
            </w:r>
            <w:r w:rsidRPr="009F7719">
              <w:rPr>
                <w:rFonts w:asciiTheme="majorBidi" w:hAnsiTheme="majorBidi" w:cstheme="majorBidi"/>
                <w:noProof/>
                <w:webHidden/>
              </w:rPr>
              <w:fldChar w:fldCharType="separate"/>
            </w:r>
            <w:r w:rsidR="00474234">
              <w:rPr>
                <w:rFonts w:asciiTheme="majorBidi" w:hAnsiTheme="majorBidi" w:cstheme="majorBidi"/>
                <w:noProof/>
                <w:webHidden/>
              </w:rPr>
              <w:t>68</w:t>
            </w:r>
            <w:r w:rsidRPr="009F7719">
              <w:rPr>
                <w:rFonts w:asciiTheme="majorBidi" w:hAnsiTheme="majorBidi" w:cstheme="majorBidi"/>
                <w:noProof/>
                <w:webHidden/>
              </w:rPr>
              <w:fldChar w:fldCharType="end"/>
            </w:r>
          </w:hyperlink>
        </w:p>
        <w:p w14:paraId="306384CB" w14:textId="183E839D" w:rsidR="009F7719" w:rsidRPr="009F7719" w:rsidRDefault="009F7719" w:rsidP="009F7719">
          <w:pPr>
            <w:pStyle w:val="TOC2"/>
            <w:tabs>
              <w:tab w:val="left" w:pos="660"/>
              <w:tab w:val="right" w:leader="dot" w:pos="5829"/>
            </w:tabs>
            <w:spacing w:line="240" w:lineRule="auto"/>
            <w:rPr>
              <w:rFonts w:asciiTheme="majorBidi" w:eastAsiaTheme="minorEastAsia" w:hAnsiTheme="majorBidi" w:cstheme="majorBidi"/>
              <w:noProof/>
              <w:lang w:eastAsia="en-ID"/>
            </w:rPr>
          </w:pPr>
          <w:hyperlink w:anchor="_Toc185961348" w:history="1">
            <w:r w:rsidRPr="009F7719">
              <w:rPr>
                <w:rStyle w:val="Hyperlink"/>
                <w:rFonts w:asciiTheme="majorBidi" w:hAnsiTheme="majorBidi" w:cstheme="majorBidi"/>
                <w:noProof/>
              </w:rPr>
              <w:t>D.</w:t>
            </w:r>
            <w:r w:rsidRPr="009F7719">
              <w:rPr>
                <w:rFonts w:asciiTheme="majorBidi" w:eastAsiaTheme="minorEastAsia" w:hAnsiTheme="majorBidi" w:cstheme="majorBidi"/>
                <w:noProof/>
                <w:lang w:eastAsia="en-ID"/>
              </w:rPr>
              <w:tab/>
            </w:r>
            <w:r w:rsidRPr="009F7719">
              <w:rPr>
                <w:rStyle w:val="Hyperlink"/>
                <w:rFonts w:asciiTheme="majorBidi" w:hAnsiTheme="majorBidi" w:cstheme="majorBidi"/>
                <w:noProof/>
              </w:rPr>
              <w:t>Fakta Persidangan dalam Putusan Mahkamah Syariah Takengon Nomor 9/Jn/2023/Ms.Tkn</w:t>
            </w:r>
            <w:r w:rsidRPr="009F7719">
              <w:rPr>
                <w:rFonts w:asciiTheme="majorBidi" w:hAnsiTheme="majorBidi" w:cstheme="majorBidi"/>
                <w:noProof/>
                <w:webHidden/>
              </w:rPr>
              <w:tab/>
            </w:r>
            <w:r w:rsidRPr="009F7719">
              <w:rPr>
                <w:rFonts w:asciiTheme="majorBidi" w:hAnsiTheme="majorBidi" w:cstheme="majorBidi"/>
                <w:noProof/>
                <w:webHidden/>
              </w:rPr>
              <w:fldChar w:fldCharType="begin"/>
            </w:r>
            <w:r w:rsidRPr="009F7719">
              <w:rPr>
                <w:rFonts w:asciiTheme="majorBidi" w:hAnsiTheme="majorBidi" w:cstheme="majorBidi"/>
                <w:noProof/>
                <w:webHidden/>
              </w:rPr>
              <w:instrText xml:space="preserve"> PAGEREF _Toc185961348 \h </w:instrText>
            </w:r>
            <w:r w:rsidRPr="009F7719">
              <w:rPr>
                <w:rFonts w:asciiTheme="majorBidi" w:hAnsiTheme="majorBidi" w:cstheme="majorBidi"/>
                <w:noProof/>
                <w:webHidden/>
              </w:rPr>
            </w:r>
            <w:r w:rsidRPr="009F7719">
              <w:rPr>
                <w:rFonts w:asciiTheme="majorBidi" w:hAnsiTheme="majorBidi" w:cstheme="majorBidi"/>
                <w:noProof/>
                <w:webHidden/>
              </w:rPr>
              <w:fldChar w:fldCharType="separate"/>
            </w:r>
            <w:r w:rsidR="00474234">
              <w:rPr>
                <w:rFonts w:asciiTheme="majorBidi" w:hAnsiTheme="majorBidi" w:cstheme="majorBidi"/>
                <w:noProof/>
                <w:webHidden/>
              </w:rPr>
              <w:t>76</w:t>
            </w:r>
            <w:r w:rsidRPr="009F7719">
              <w:rPr>
                <w:rFonts w:asciiTheme="majorBidi" w:hAnsiTheme="majorBidi" w:cstheme="majorBidi"/>
                <w:noProof/>
                <w:webHidden/>
              </w:rPr>
              <w:fldChar w:fldCharType="end"/>
            </w:r>
          </w:hyperlink>
        </w:p>
        <w:p w14:paraId="74EA2594" w14:textId="45B4149F" w:rsidR="009F7719" w:rsidRPr="009F7719" w:rsidRDefault="009F7719" w:rsidP="009F7719">
          <w:pPr>
            <w:pStyle w:val="TOC1"/>
            <w:spacing w:line="240" w:lineRule="auto"/>
            <w:rPr>
              <w:rFonts w:eastAsiaTheme="minorEastAsia"/>
              <w:b w:val="0"/>
              <w:bCs w:val="0"/>
              <w:lang w:eastAsia="en-ID"/>
            </w:rPr>
          </w:pPr>
          <w:hyperlink w:anchor="_Toc185961349" w:history="1">
            <w:r w:rsidRPr="009F7719">
              <w:rPr>
                <w:rStyle w:val="Hyperlink"/>
              </w:rPr>
              <w:t xml:space="preserve">BAB IV  KONSEP KESAKSIAN </w:t>
            </w:r>
            <w:r w:rsidRPr="009F7719">
              <w:rPr>
                <w:rStyle w:val="Hyperlink"/>
                <w:i/>
                <w:iCs/>
              </w:rPr>
              <w:t xml:space="preserve">TESTIMONIUM DE AUDITU </w:t>
            </w:r>
            <w:r w:rsidRPr="009F7719">
              <w:rPr>
                <w:rStyle w:val="Hyperlink"/>
              </w:rPr>
              <w:t>PADA TINDAK PIDANA PELECEHAN SEKSUAL TERHADAP ANAK DI BAWAH UMUR</w:t>
            </w:r>
            <w:r w:rsidRPr="009F7719">
              <w:rPr>
                <w:webHidden/>
              </w:rPr>
              <w:tab/>
            </w:r>
            <w:r w:rsidRPr="009F7719">
              <w:rPr>
                <w:webHidden/>
              </w:rPr>
              <w:fldChar w:fldCharType="begin"/>
            </w:r>
            <w:r w:rsidRPr="009F7719">
              <w:rPr>
                <w:webHidden/>
              </w:rPr>
              <w:instrText xml:space="preserve"> PAGEREF _Toc185961349 \h </w:instrText>
            </w:r>
            <w:r w:rsidRPr="009F7719">
              <w:rPr>
                <w:webHidden/>
              </w:rPr>
            </w:r>
            <w:r w:rsidRPr="009F7719">
              <w:rPr>
                <w:webHidden/>
              </w:rPr>
              <w:fldChar w:fldCharType="separate"/>
            </w:r>
            <w:r w:rsidR="00474234">
              <w:rPr>
                <w:webHidden/>
              </w:rPr>
              <w:t>79</w:t>
            </w:r>
            <w:r w:rsidRPr="009F7719">
              <w:rPr>
                <w:webHidden/>
              </w:rPr>
              <w:fldChar w:fldCharType="end"/>
            </w:r>
          </w:hyperlink>
        </w:p>
        <w:p w14:paraId="55B083B1" w14:textId="0423DD69" w:rsidR="009F7719" w:rsidRPr="009F7719" w:rsidRDefault="009F7719" w:rsidP="009F7719">
          <w:pPr>
            <w:pStyle w:val="TOC2"/>
            <w:tabs>
              <w:tab w:val="left" w:pos="660"/>
              <w:tab w:val="right" w:leader="dot" w:pos="5829"/>
            </w:tabs>
            <w:spacing w:line="240" w:lineRule="auto"/>
            <w:rPr>
              <w:rFonts w:asciiTheme="majorBidi" w:eastAsiaTheme="minorEastAsia" w:hAnsiTheme="majorBidi" w:cstheme="majorBidi"/>
              <w:noProof/>
              <w:lang w:eastAsia="en-ID"/>
            </w:rPr>
          </w:pPr>
          <w:hyperlink w:anchor="_Toc185961350" w:history="1">
            <w:r w:rsidRPr="009F7719">
              <w:rPr>
                <w:rStyle w:val="Hyperlink"/>
                <w:rFonts w:asciiTheme="majorBidi" w:hAnsiTheme="majorBidi" w:cstheme="majorBidi"/>
                <w:noProof/>
              </w:rPr>
              <w:t>A.</w:t>
            </w:r>
            <w:r w:rsidRPr="009F7719">
              <w:rPr>
                <w:rFonts w:asciiTheme="majorBidi" w:eastAsiaTheme="minorEastAsia" w:hAnsiTheme="majorBidi" w:cstheme="majorBidi"/>
                <w:noProof/>
                <w:lang w:eastAsia="en-ID"/>
              </w:rPr>
              <w:tab/>
            </w:r>
            <w:r w:rsidRPr="009F7719">
              <w:rPr>
                <w:rStyle w:val="Hyperlink"/>
                <w:rFonts w:asciiTheme="majorBidi" w:hAnsiTheme="majorBidi" w:cstheme="majorBidi"/>
                <w:noProof/>
              </w:rPr>
              <w:t xml:space="preserve">Konsep </w:t>
            </w:r>
            <w:r w:rsidRPr="009F7719">
              <w:rPr>
                <w:rStyle w:val="Hyperlink"/>
                <w:rFonts w:asciiTheme="majorBidi" w:hAnsiTheme="majorBidi" w:cstheme="majorBidi"/>
                <w:i/>
                <w:iCs/>
                <w:noProof/>
              </w:rPr>
              <w:t>Testimonium De Auditu</w:t>
            </w:r>
            <w:r w:rsidRPr="009F7719">
              <w:rPr>
                <w:rStyle w:val="Hyperlink"/>
                <w:rFonts w:asciiTheme="majorBidi" w:hAnsiTheme="majorBidi" w:cstheme="majorBidi"/>
                <w:noProof/>
              </w:rPr>
              <w:t xml:space="preserve"> pada Tindak Pidana Pelecehan Seksual Terhadap Anak dalam Perspektif Kitab Undang-Undang Hukum Acara Pidana (KUHAP) Studi Putusan Mahkamah Syariah Takengon Nomor 9/JN/2023/MS.Tkn.</w:t>
            </w:r>
            <w:r w:rsidRPr="009F7719">
              <w:rPr>
                <w:rFonts w:asciiTheme="majorBidi" w:hAnsiTheme="majorBidi" w:cstheme="majorBidi"/>
                <w:noProof/>
                <w:webHidden/>
              </w:rPr>
              <w:tab/>
            </w:r>
            <w:r w:rsidRPr="009F7719">
              <w:rPr>
                <w:rFonts w:asciiTheme="majorBidi" w:hAnsiTheme="majorBidi" w:cstheme="majorBidi"/>
                <w:noProof/>
                <w:webHidden/>
              </w:rPr>
              <w:fldChar w:fldCharType="begin"/>
            </w:r>
            <w:r w:rsidRPr="009F7719">
              <w:rPr>
                <w:rFonts w:asciiTheme="majorBidi" w:hAnsiTheme="majorBidi" w:cstheme="majorBidi"/>
                <w:noProof/>
                <w:webHidden/>
              </w:rPr>
              <w:instrText xml:space="preserve"> PAGEREF _Toc185961350 \h </w:instrText>
            </w:r>
            <w:r w:rsidRPr="009F7719">
              <w:rPr>
                <w:rFonts w:asciiTheme="majorBidi" w:hAnsiTheme="majorBidi" w:cstheme="majorBidi"/>
                <w:noProof/>
                <w:webHidden/>
              </w:rPr>
            </w:r>
            <w:r w:rsidRPr="009F7719">
              <w:rPr>
                <w:rFonts w:asciiTheme="majorBidi" w:hAnsiTheme="majorBidi" w:cstheme="majorBidi"/>
                <w:noProof/>
                <w:webHidden/>
              </w:rPr>
              <w:fldChar w:fldCharType="separate"/>
            </w:r>
            <w:r w:rsidR="00474234">
              <w:rPr>
                <w:rFonts w:asciiTheme="majorBidi" w:hAnsiTheme="majorBidi" w:cstheme="majorBidi"/>
                <w:noProof/>
                <w:webHidden/>
              </w:rPr>
              <w:t>79</w:t>
            </w:r>
            <w:r w:rsidRPr="009F7719">
              <w:rPr>
                <w:rFonts w:asciiTheme="majorBidi" w:hAnsiTheme="majorBidi" w:cstheme="majorBidi"/>
                <w:noProof/>
                <w:webHidden/>
              </w:rPr>
              <w:fldChar w:fldCharType="end"/>
            </w:r>
          </w:hyperlink>
        </w:p>
        <w:p w14:paraId="6FB910EA" w14:textId="4C66A4DC" w:rsidR="009F7719" w:rsidRPr="009F7719" w:rsidRDefault="009F7719" w:rsidP="009F7719">
          <w:pPr>
            <w:pStyle w:val="TOC2"/>
            <w:tabs>
              <w:tab w:val="left" w:pos="660"/>
              <w:tab w:val="right" w:leader="dot" w:pos="5829"/>
            </w:tabs>
            <w:spacing w:line="240" w:lineRule="auto"/>
            <w:rPr>
              <w:rFonts w:asciiTheme="majorBidi" w:eastAsiaTheme="minorEastAsia" w:hAnsiTheme="majorBidi" w:cstheme="majorBidi"/>
              <w:noProof/>
              <w:lang w:eastAsia="en-ID"/>
            </w:rPr>
          </w:pPr>
          <w:hyperlink w:anchor="_Toc185961351" w:history="1">
            <w:r w:rsidRPr="009F7719">
              <w:rPr>
                <w:rStyle w:val="Hyperlink"/>
                <w:rFonts w:asciiTheme="majorBidi" w:hAnsiTheme="majorBidi" w:cstheme="majorBidi"/>
                <w:noProof/>
              </w:rPr>
              <w:t>B.</w:t>
            </w:r>
            <w:r w:rsidRPr="009F7719">
              <w:rPr>
                <w:rFonts w:asciiTheme="majorBidi" w:eastAsiaTheme="minorEastAsia" w:hAnsiTheme="majorBidi" w:cstheme="majorBidi"/>
                <w:noProof/>
                <w:lang w:eastAsia="en-ID"/>
              </w:rPr>
              <w:tab/>
            </w:r>
            <w:r w:rsidRPr="009F7719">
              <w:rPr>
                <w:rStyle w:val="Hyperlink"/>
                <w:rFonts w:asciiTheme="majorBidi" w:hAnsiTheme="majorBidi" w:cstheme="majorBidi"/>
                <w:noProof/>
              </w:rPr>
              <w:t xml:space="preserve">Konsep </w:t>
            </w:r>
            <w:r w:rsidRPr="009F7719">
              <w:rPr>
                <w:rStyle w:val="Hyperlink"/>
                <w:rFonts w:asciiTheme="majorBidi" w:hAnsiTheme="majorBidi" w:cstheme="majorBidi"/>
                <w:i/>
                <w:iCs/>
                <w:noProof/>
              </w:rPr>
              <w:t>Testimonium De Auditu</w:t>
            </w:r>
            <w:r w:rsidRPr="009F7719">
              <w:rPr>
                <w:rStyle w:val="Hyperlink"/>
                <w:rFonts w:asciiTheme="majorBidi" w:hAnsiTheme="majorBidi" w:cstheme="majorBidi"/>
                <w:noProof/>
              </w:rPr>
              <w:t xml:space="preserve"> pada Tindak Pidana Pelecehan Seksual terhadap Anak dalam Perspektif Qanun Hukum Acara </w:t>
            </w:r>
            <w:r w:rsidRPr="009F7719">
              <w:rPr>
                <w:rStyle w:val="Hyperlink"/>
                <w:rFonts w:asciiTheme="majorBidi" w:hAnsiTheme="majorBidi" w:cstheme="majorBidi"/>
                <w:i/>
                <w:iCs/>
                <w:noProof/>
              </w:rPr>
              <w:t xml:space="preserve">Jinayat </w:t>
            </w:r>
            <w:r w:rsidRPr="009F7719">
              <w:rPr>
                <w:rStyle w:val="Hyperlink"/>
                <w:rFonts w:asciiTheme="majorBidi" w:hAnsiTheme="majorBidi" w:cstheme="majorBidi"/>
                <w:noProof/>
              </w:rPr>
              <w:t>(QHAJ)</w:t>
            </w:r>
            <w:r w:rsidRPr="009F7719">
              <w:rPr>
                <w:rStyle w:val="Hyperlink"/>
                <w:rFonts w:asciiTheme="majorBidi" w:hAnsiTheme="majorBidi" w:cstheme="majorBidi"/>
                <w:i/>
                <w:iCs/>
                <w:noProof/>
              </w:rPr>
              <w:t xml:space="preserve"> </w:t>
            </w:r>
            <w:r w:rsidRPr="009F7719">
              <w:rPr>
                <w:rStyle w:val="Hyperlink"/>
                <w:rFonts w:asciiTheme="majorBidi" w:hAnsiTheme="majorBidi" w:cstheme="majorBidi"/>
                <w:noProof/>
              </w:rPr>
              <w:t>Studi Putusan Mahkamah Syariah Takengon Nomor 9/JN/2023/MS.Tkn.</w:t>
            </w:r>
            <w:r w:rsidRPr="009F7719">
              <w:rPr>
                <w:rFonts w:asciiTheme="majorBidi" w:hAnsiTheme="majorBidi" w:cstheme="majorBidi"/>
                <w:noProof/>
                <w:webHidden/>
              </w:rPr>
              <w:tab/>
            </w:r>
            <w:r w:rsidRPr="009F7719">
              <w:rPr>
                <w:rFonts w:asciiTheme="majorBidi" w:hAnsiTheme="majorBidi" w:cstheme="majorBidi"/>
                <w:noProof/>
                <w:webHidden/>
              </w:rPr>
              <w:fldChar w:fldCharType="begin"/>
            </w:r>
            <w:r w:rsidRPr="009F7719">
              <w:rPr>
                <w:rFonts w:asciiTheme="majorBidi" w:hAnsiTheme="majorBidi" w:cstheme="majorBidi"/>
                <w:noProof/>
                <w:webHidden/>
              </w:rPr>
              <w:instrText xml:space="preserve"> PAGEREF _Toc185961351 \h </w:instrText>
            </w:r>
            <w:r w:rsidRPr="009F7719">
              <w:rPr>
                <w:rFonts w:asciiTheme="majorBidi" w:hAnsiTheme="majorBidi" w:cstheme="majorBidi"/>
                <w:noProof/>
                <w:webHidden/>
              </w:rPr>
            </w:r>
            <w:r w:rsidRPr="009F7719">
              <w:rPr>
                <w:rFonts w:asciiTheme="majorBidi" w:hAnsiTheme="majorBidi" w:cstheme="majorBidi"/>
                <w:noProof/>
                <w:webHidden/>
              </w:rPr>
              <w:fldChar w:fldCharType="separate"/>
            </w:r>
            <w:r w:rsidR="00474234">
              <w:rPr>
                <w:rFonts w:asciiTheme="majorBidi" w:hAnsiTheme="majorBidi" w:cstheme="majorBidi"/>
                <w:noProof/>
                <w:webHidden/>
              </w:rPr>
              <w:t>88</w:t>
            </w:r>
            <w:r w:rsidRPr="009F7719">
              <w:rPr>
                <w:rFonts w:asciiTheme="majorBidi" w:hAnsiTheme="majorBidi" w:cstheme="majorBidi"/>
                <w:noProof/>
                <w:webHidden/>
              </w:rPr>
              <w:fldChar w:fldCharType="end"/>
            </w:r>
          </w:hyperlink>
        </w:p>
        <w:p w14:paraId="29CAC543" w14:textId="6AD2953B" w:rsidR="009F7719" w:rsidRPr="009F7719" w:rsidRDefault="009F7719" w:rsidP="009F7719">
          <w:pPr>
            <w:pStyle w:val="TOC2"/>
            <w:tabs>
              <w:tab w:val="left" w:pos="660"/>
              <w:tab w:val="right" w:leader="dot" w:pos="5829"/>
            </w:tabs>
            <w:spacing w:line="240" w:lineRule="auto"/>
            <w:rPr>
              <w:rFonts w:asciiTheme="majorBidi" w:eastAsiaTheme="minorEastAsia" w:hAnsiTheme="majorBidi" w:cstheme="majorBidi"/>
              <w:noProof/>
              <w:lang w:eastAsia="en-ID"/>
            </w:rPr>
          </w:pPr>
          <w:hyperlink w:anchor="_Toc185961352" w:history="1">
            <w:r w:rsidRPr="009F7719">
              <w:rPr>
                <w:rStyle w:val="Hyperlink"/>
                <w:rFonts w:asciiTheme="majorBidi" w:hAnsiTheme="majorBidi" w:cstheme="majorBidi"/>
                <w:noProof/>
              </w:rPr>
              <w:t>C.</w:t>
            </w:r>
            <w:r w:rsidRPr="009F7719">
              <w:rPr>
                <w:rFonts w:asciiTheme="majorBidi" w:eastAsiaTheme="minorEastAsia" w:hAnsiTheme="majorBidi" w:cstheme="majorBidi"/>
                <w:noProof/>
                <w:lang w:eastAsia="en-ID"/>
              </w:rPr>
              <w:tab/>
            </w:r>
            <w:r w:rsidRPr="009F7719">
              <w:rPr>
                <w:rStyle w:val="Hyperlink"/>
                <w:rFonts w:asciiTheme="majorBidi" w:hAnsiTheme="majorBidi" w:cstheme="majorBidi"/>
                <w:noProof/>
              </w:rPr>
              <w:t xml:space="preserve">Perbandingan Konsep Kesaksian </w:t>
            </w:r>
            <w:r w:rsidRPr="009F7719">
              <w:rPr>
                <w:rStyle w:val="Hyperlink"/>
                <w:rFonts w:asciiTheme="majorBidi" w:hAnsiTheme="majorBidi" w:cstheme="majorBidi"/>
                <w:i/>
                <w:iCs/>
                <w:noProof/>
              </w:rPr>
              <w:t>Testimonium De Auditu</w:t>
            </w:r>
            <w:r w:rsidRPr="009F7719">
              <w:rPr>
                <w:rStyle w:val="Hyperlink"/>
                <w:rFonts w:asciiTheme="majorBidi" w:hAnsiTheme="majorBidi" w:cstheme="majorBidi"/>
                <w:noProof/>
              </w:rPr>
              <w:t xml:space="preserve"> dalam KUHAP dan Qanun Aceh Nomor 7 Tahun 2013 Tentang Hukum Acara Jinayat (QHAJ)</w:t>
            </w:r>
            <w:r w:rsidRPr="009F7719">
              <w:rPr>
                <w:rFonts w:asciiTheme="majorBidi" w:hAnsiTheme="majorBidi" w:cstheme="majorBidi"/>
                <w:noProof/>
                <w:webHidden/>
              </w:rPr>
              <w:tab/>
            </w:r>
            <w:r w:rsidRPr="009F7719">
              <w:rPr>
                <w:rFonts w:asciiTheme="majorBidi" w:hAnsiTheme="majorBidi" w:cstheme="majorBidi"/>
                <w:noProof/>
                <w:webHidden/>
              </w:rPr>
              <w:fldChar w:fldCharType="begin"/>
            </w:r>
            <w:r w:rsidRPr="009F7719">
              <w:rPr>
                <w:rFonts w:asciiTheme="majorBidi" w:hAnsiTheme="majorBidi" w:cstheme="majorBidi"/>
                <w:noProof/>
                <w:webHidden/>
              </w:rPr>
              <w:instrText xml:space="preserve"> PAGEREF _Toc185961352 \h </w:instrText>
            </w:r>
            <w:r w:rsidRPr="009F7719">
              <w:rPr>
                <w:rFonts w:asciiTheme="majorBidi" w:hAnsiTheme="majorBidi" w:cstheme="majorBidi"/>
                <w:noProof/>
                <w:webHidden/>
              </w:rPr>
            </w:r>
            <w:r w:rsidRPr="009F7719">
              <w:rPr>
                <w:rFonts w:asciiTheme="majorBidi" w:hAnsiTheme="majorBidi" w:cstheme="majorBidi"/>
                <w:noProof/>
                <w:webHidden/>
              </w:rPr>
              <w:fldChar w:fldCharType="separate"/>
            </w:r>
            <w:r w:rsidR="00474234">
              <w:rPr>
                <w:rFonts w:asciiTheme="majorBidi" w:hAnsiTheme="majorBidi" w:cstheme="majorBidi"/>
                <w:noProof/>
                <w:webHidden/>
              </w:rPr>
              <w:t>100</w:t>
            </w:r>
            <w:r w:rsidRPr="009F7719">
              <w:rPr>
                <w:rFonts w:asciiTheme="majorBidi" w:hAnsiTheme="majorBidi" w:cstheme="majorBidi"/>
                <w:noProof/>
                <w:webHidden/>
              </w:rPr>
              <w:fldChar w:fldCharType="end"/>
            </w:r>
          </w:hyperlink>
        </w:p>
        <w:p w14:paraId="62FE76AD" w14:textId="2DB04C81" w:rsidR="009F7719" w:rsidRPr="009F7719" w:rsidRDefault="009F7719" w:rsidP="009F7719">
          <w:pPr>
            <w:pStyle w:val="TOC1"/>
            <w:spacing w:line="240" w:lineRule="auto"/>
            <w:rPr>
              <w:rFonts w:eastAsiaTheme="minorEastAsia"/>
              <w:b w:val="0"/>
              <w:bCs w:val="0"/>
              <w:lang w:eastAsia="en-ID"/>
            </w:rPr>
          </w:pPr>
          <w:hyperlink w:anchor="_Toc185961353" w:history="1">
            <w:r w:rsidRPr="009F7719">
              <w:rPr>
                <w:rStyle w:val="Hyperlink"/>
              </w:rPr>
              <w:t>BAB V PENUTUP</w:t>
            </w:r>
            <w:r w:rsidRPr="009F7719">
              <w:rPr>
                <w:webHidden/>
              </w:rPr>
              <w:tab/>
            </w:r>
            <w:r w:rsidRPr="009F7719">
              <w:rPr>
                <w:webHidden/>
              </w:rPr>
              <w:fldChar w:fldCharType="begin"/>
            </w:r>
            <w:r w:rsidRPr="009F7719">
              <w:rPr>
                <w:webHidden/>
              </w:rPr>
              <w:instrText xml:space="preserve"> PAGEREF _Toc185961353 \h </w:instrText>
            </w:r>
            <w:r w:rsidRPr="009F7719">
              <w:rPr>
                <w:webHidden/>
              </w:rPr>
            </w:r>
            <w:r w:rsidRPr="009F7719">
              <w:rPr>
                <w:webHidden/>
              </w:rPr>
              <w:fldChar w:fldCharType="separate"/>
            </w:r>
            <w:r w:rsidR="00474234">
              <w:rPr>
                <w:webHidden/>
              </w:rPr>
              <w:t>108</w:t>
            </w:r>
            <w:r w:rsidRPr="009F7719">
              <w:rPr>
                <w:webHidden/>
              </w:rPr>
              <w:fldChar w:fldCharType="end"/>
            </w:r>
          </w:hyperlink>
        </w:p>
        <w:p w14:paraId="571BB4CC" w14:textId="762624BA" w:rsidR="009F7719" w:rsidRPr="009F7719" w:rsidRDefault="009F7719" w:rsidP="009F7719">
          <w:pPr>
            <w:pStyle w:val="TOC2"/>
            <w:tabs>
              <w:tab w:val="left" w:pos="660"/>
              <w:tab w:val="right" w:leader="dot" w:pos="5829"/>
            </w:tabs>
            <w:spacing w:line="240" w:lineRule="auto"/>
            <w:rPr>
              <w:rFonts w:asciiTheme="majorBidi" w:eastAsiaTheme="minorEastAsia" w:hAnsiTheme="majorBidi" w:cstheme="majorBidi"/>
              <w:noProof/>
              <w:lang w:eastAsia="en-ID"/>
            </w:rPr>
          </w:pPr>
          <w:hyperlink w:anchor="_Toc185961354" w:history="1">
            <w:r w:rsidRPr="009F7719">
              <w:rPr>
                <w:rStyle w:val="Hyperlink"/>
                <w:rFonts w:asciiTheme="majorBidi" w:hAnsiTheme="majorBidi" w:cstheme="majorBidi"/>
                <w:noProof/>
              </w:rPr>
              <w:t>A.</w:t>
            </w:r>
            <w:r w:rsidRPr="009F7719">
              <w:rPr>
                <w:rFonts w:asciiTheme="majorBidi" w:eastAsiaTheme="minorEastAsia" w:hAnsiTheme="majorBidi" w:cstheme="majorBidi"/>
                <w:noProof/>
                <w:lang w:eastAsia="en-ID"/>
              </w:rPr>
              <w:tab/>
            </w:r>
            <w:r w:rsidRPr="009F7719">
              <w:rPr>
                <w:rStyle w:val="Hyperlink"/>
                <w:rFonts w:asciiTheme="majorBidi" w:hAnsiTheme="majorBidi" w:cstheme="majorBidi"/>
                <w:noProof/>
              </w:rPr>
              <w:t>Simpulan</w:t>
            </w:r>
            <w:r w:rsidRPr="009F7719">
              <w:rPr>
                <w:rFonts w:asciiTheme="majorBidi" w:hAnsiTheme="majorBidi" w:cstheme="majorBidi"/>
                <w:noProof/>
                <w:webHidden/>
              </w:rPr>
              <w:tab/>
            </w:r>
            <w:r w:rsidRPr="009F7719">
              <w:rPr>
                <w:rFonts w:asciiTheme="majorBidi" w:hAnsiTheme="majorBidi" w:cstheme="majorBidi"/>
                <w:noProof/>
                <w:webHidden/>
              </w:rPr>
              <w:fldChar w:fldCharType="begin"/>
            </w:r>
            <w:r w:rsidRPr="009F7719">
              <w:rPr>
                <w:rFonts w:asciiTheme="majorBidi" w:hAnsiTheme="majorBidi" w:cstheme="majorBidi"/>
                <w:noProof/>
                <w:webHidden/>
              </w:rPr>
              <w:instrText xml:space="preserve"> PAGEREF _Toc185961354 \h </w:instrText>
            </w:r>
            <w:r w:rsidRPr="009F7719">
              <w:rPr>
                <w:rFonts w:asciiTheme="majorBidi" w:hAnsiTheme="majorBidi" w:cstheme="majorBidi"/>
                <w:noProof/>
                <w:webHidden/>
              </w:rPr>
            </w:r>
            <w:r w:rsidRPr="009F7719">
              <w:rPr>
                <w:rFonts w:asciiTheme="majorBidi" w:hAnsiTheme="majorBidi" w:cstheme="majorBidi"/>
                <w:noProof/>
                <w:webHidden/>
              </w:rPr>
              <w:fldChar w:fldCharType="separate"/>
            </w:r>
            <w:r w:rsidR="00474234">
              <w:rPr>
                <w:rFonts w:asciiTheme="majorBidi" w:hAnsiTheme="majorBidi" w:cstheme="majorBidi"/>
                <w:noProof/>
                <w:webHidden/>
              </w:rPr>
              <w:t>108</w:t>
            </w:r>
            <w:r w:rsidRPr="009F7719">
              <w:rPr>
                <w:rFonts w:asciiTheme="majorBidi" w:hAnsiTheme="majorBidi" w:cstheme="majorBidi"/>
                <w:noProof/>
                <w:webHidden/>
              </w:rPr>
              <w:fldChar w:fldCharType="end"/>
            </w:r>
          </w:hyperlink>
        </w:p>
        <w:p w14:paraId="5CF3C9CE" w14:textId="509B7C29" w:rsidR="009F7719" w:rsidRPr="009F7719" w:rsidRDefault="009F7719" w:rsidP="009F7719">
          <w:pPr>
            <w:pStyle w:val="TOC2"/>
            <w:tabs>
              <w:tab w:val="left" w:pos="660"/>
              <w:tab w:val="right" w:leader="dot" w:pos="5829"/>
            </w:tabs>
            <w:spacing w:line="240" w:lineRule="auto"/>
            <w:rPr>
              <w:rFonts w:asciiTheme="majorBidi" w:eastAsiaTheme="minorEastAsia" w:hAnsiTheme="majorBidi" w:cstheme="majorBidi"/>
              <w:noProof/>
              <w:lang w:eastAsia="en-ID"/>
            </w:rPr>
          </w:pPr>
          <w:hyperlink w:anchor="_Toc185961355" w:history="1">
            <w:r w:rsidRPr="009F7719">
              <w:rPr>
                <w:rStyle w:val="Hyperlink"/>
                <w:rFonts w:asciiTheme="majorBidi" w:hAnsiTheme="majorBidi" w:cstheme="majorBidi"/>
                <w:noProof/>
              </w:rPr>
              <w:t>B.</w:t>
            </w:r>
            <w:r w:rsidRPr="009F7719">
              <w:rPr>
                <w:rFonts w:asciiTheme="majorBidi" w:eastAsiaTheme="minorEastAsia" w:hAnsiTheme="majorBidi" w:cstheme="majorBidi"/>
                <w:noProof/>
                <w:lang w:eastAsia="en-ID"/>
              </w:rPr>
              <w:tab/>
            </w:r>
            <w:r w:rsidRPr="009F7719">
              <w:rPr>
                <w:rStyle w:val="Hyperlink"/>
                <w:rFonts w:asciiTheme="majorBidi" w:hAnsiTheme="majorBidi" w:cstheme="majorBidi"/>
                <w:noProof/>
              </w:rPr>
              <w:t>Saran</w:t>
            </w:r>
            <w:r w:rsidRPr="009F7719">
              <w:rPr>
                <w:rFonts w:asciiTheme="majorBidi" w:hAnsiTheme="majorBidi" w:cstheme="majorBidi"/>
                <w:noProof/>
                <w:webHidden/>
              </w:rPr>
              <w:tab/>
            </w:r>
            <w:r w:rsidRPr="009F7719">
              <w:rPr>
                <w:rFonts w:asciiTheme="majorBidi" w:hAnsiTheme="majorBidi" w:cstheme="majorBidi"/>
                <w:noProof/>
                <w:webHidden/>
              </w:rPr>
              <w:fldChar w:fldCharType="begin"/>
            </w:r>
            <w:r w:rsidRPr="009F7719">
              <w:rPr>
                <w:rFonts w:asciiTheme="majorBidi" w:hAnsiTheme="majorBidi" w:cstheme="majorBidi"/>
                <w:noProof/>
                <w:webHidden/>
              </w:rPr>
              <w:instrText xml:space="preserve"> PAGEREF _Toc185961355 \h </w:instrText>
            </w:r>
            <w:r w:rsidRPr="009F7719">
              <w:rPr>
                <w:rFonts w:asciiTheme="majorBidi" w:hAnsiTheme="majorBidi" w:cstheme="majorBidi"/>
                <w:noProof/>
                <w:webHidden/>
              </w:rPr>
            </w:r>
            <w:r w:rsidRPr="009F7719">
              <w:rPr>
                <w:rFonts w:asciiTheme="majorBidi" w:hAnsiTheme="majorBidi" w:cstheme="majorBidi"/>
                <w:noProof/>
                <w:webHidden/>
              </w:rPr>
              <w:fldChar w:fldCharType="separate"/>
            </w:r>
            <w:r w:rsidR="00474234">
              <w:rPr>
                <w:rFonts w:asciiTheme="majorBidi" w:hAnsiTheme="majorBidi" w:cstheme="majorBidi"/>
                <w:noProof/>
                <w:webHidden/>
              </w:rPr>
              <w:t>109</w:t>
            </w:r>
            <w:r w:rsidRPr="009F7719">
              <w:rPr>
                <w:rFonts w:asciiTheme="majorBidi" w:hAnsiTheme="majorBidi" w:cstheme="majorBidi"/>
                <w:noProof/>
                <w:webHidden/>
              </w:rPr>
              <w:fldChar w:fldCharType="end"/>
            </w:r>
          </w:hyperlink>
        </w:p>
        <w:p w14:paraId="0F91B98F" w14:textId="5A35CD8C" w:rsidR="009F7719" w:rsidRPr="009F7719" w:rsidRDefault="009F7719" w:rsidP="009F7719">
          <w:pPr>
            <w:pStyle w:val="TOC2"/>
            <w:tabs>
              <w:tab w:val="left" w:pos="660"/>
              <w:tab w:val="right" w:leader="dot" w:pos="5829"/>
            </w:tabs>
            <w:spacing w:line="240" w:lineRule="auto"/>
            <w:rPr>
              <w:rFonts w:asciiTheme="majorBidi" w:eastAsiaTheme="minorEastAsia" w:hAnsiTheme="majorBidi" w:cstheme="majorBidi"/>
              <w:noProof/>
              <w:lang w:eastAsia="en-ID"/>
            </w:rPr>
          </w:pPr>
          <w:hyperlink w:anchor="_Toc185961356" w:history="1">
            <w:r w:rsidRPr="009F7719">
              <w:rPr>
                <w:rStyle w:val="Hyperlink"/>
                <w:rFonts w:asciiTheme="majorBidi" w:hAnsiTheme="majorBidi" w:cstheme="majorBidi"/>
                <w:noProof/>
              </w:rPr>
              <w:t>C.</w:t>
            </w:r>
            <w:r w:rsidRPr="009F7719">
              <w:rPr>
                <w:rFonts w:asciiTheme="majorBidi" w:eastAsiaTheme="minorEastAsia" w:hAnsiTheme="majorBidi" w:cstheme="majorBidi"/>
                <w:noProof/>
                <w:lang w:eastAsia="en-ID"/>
              </w:rPr>
              <w:tab/>
            </w:r>
            <w:r w:rsidRPr="009F7719">
              <w:rPr>
                <w:rStyle w:val="Hyperlink"/>
                <w:rFonts w:asciiTheme="majorBidi" w:hAnsiTheme="majorBidi" w:cstheme="majorBidi"/>
                <w:noProof/>
              </w:rPr>
              <w:t>Penutup</w:t>
            </w:r>
            <w:r w:rsidRPr="009F7719">
              <w:rPr>
                <w:rFonts w:asciiTheme="majorBidi" w:hAnsiTheme="majorBidi" w:cstheme="majorBidi"/>
                <w:noProof/>
                <w:webHidden/>
              </w:rPr>
              <w:tab/>
            </w:r>
            <w:r w:rsidRPr="009F7719">
              <w:rPr>
                <w:rFonts w:asciiTheme="majorBidi" w:hAnsiTheme="majorBidi" w:cstheme="majorBidi"/>
                <w:noProof/>
                <w:webHidden/>
              </w:rPr>
              <w:fldChar w:fldCharType="begin"/>
            </w:r>
            <w:r w:rsidRPr="009F7719">
              <w:rPr>
                <w:rFonts w:asciiTheme="majorBidi" w:hAnsiTheme="majorBidi" w:cstheme="majorBidi"/>
                <w:noProof/>
                <w:webHidden/>
              </w:rPr>
              <w:instrText xml:space="preserve"> PAGEREF _Toc185961356 \h </w:instrText>
            </w:r>
            <w:r w:rsidRPr="009F7719">
              <w:rPr>
                <w:rFonts w:asciiTheme="majorBidi" w:hAnsiTheme="majorBidi" w:cstheme="majorBidi"/>
                <w:noProof/>
                <w:webHidden/>
              </w:rPr>
            </w:r>
            <w:r w:rsidRPr="009F7719">
              <w:rPr>
                <w:rFonts w:asciiTheme="majorBidi" w:hAnsiTheme="majorBidi" w:cstheme="majorBidi"/>
                <w:noProof/>
                <w:webHidden/>
              </w:rPr>
              <w:fldChar w:fldCharType="separate"/>
            </w:r>
            <w:r w:rsidR="00474234">
              <w:rPr>
                <w:rFonts w:asciiTheme="majorBidi" w:hAnsiTheme="majorBidi" w:cstheme="majorBidi"/>
                <w:noProof/>
                <w:webHidden/>
              </w:rPr>
              <w:t>110</w:t>
            </w:r>
            <w:r w:rsidRPr="009F7719">
              <w:rPr>
                <w:rFonts w:asciiTheme="majorBidi" w:hAnsiTheme="majorBidi" w:cstheme="majorBidi"/>
                <w:noProof/>
                <w:webHidden/>
              </w:rPr>
              <w:fldChar w:fldCharType="end"/>
            </w:r>
          </w:hyperlink>
        </w:p>
        <w:p w14:paraId="64884EA1" w14:textId="7D0D4BD9" w:rsidR="009F7719" w:rsidRPr="009F7719" w:rsidRDefault="009F7719" w:rsidP="009F7719">
          <w:pPr>
            <w:pStyle w:val="TOC1"/>
            <w:spacing w:line="240" w:lineRule="auto"/>
            <w:rPr>
              <w:rFonts w:eastAsiaTheme="minorEastAsia"/>
              <w:b w:val="0"/>
              <w:bCs w:val="0"/>
              <w:lang w:eastAsia="en-ID"/>
            </w:rPr>
          </w:pPr>
          <w:hyperlink w:anchor="_Toc185961357" w:history="1">
            <w:r w:rsidRPr="009F7719">
              <w:rPr>
                <w:rStyle w:val="Hyperlink"/>
              </w:rPr>
              <w:t>DAFTAR PUSTAKA</w:t>
            </w:r>
            <w:r w:rsidRPr="009F7719">
              <w:rPr>
                <w:webHidden/>
              </w:rPr>
              <w:tab/>
            </w:r>
            <w:r w:rsidRPr="009F7719">
              <w:rPr>
                <w:webHidden/>
              </w:rPr>
              <w:fldChar w:fldCharType="begin"/>
            </w:r>
            <w:r w:rsidRPr="009F7719">
              <w:rPr>
                <w:webHidden/>
              </w:rPr>
              <w:instrText xml:space="preserve"> PAGEREF _Toc185961357 \h </w:instrText>
            </w:r>
            <w:r w:rsidRPr="009F7719">
              <w:rPr>
                <w:webHidden/>
              </w:rPr>
            </w:r>
            <w:r w:rsidRPr="009F7719">
              <w:rPr>
                <w:webHidden/>
              </w:rPr>
              <w:fldChar w:fldCharType="separate"/>
            </w:r>
            <w:r w:rsidR="00474234">
              <w:rPr>
                <w:webHidden/>
              </w:rPr>
              <w:t>111</w:t>
            </w:r>
            <w:r w:rsidRPr="009F7719">
              <w:rPr>
                <w:webHidden/>
              </w:rPr>
              <w:fldChar w:fldCharType="end"/>
            </w:r>
          </w:hyperlink>
        </w:p>
        <w:p w14:paraId="5C3D72B8" w14:textId="3215D427" w:rsidR="009F7719" w:rsidRPr="009F7719" w:rsidRDefault="009F7719" w:rsidP="009F7719">
          <w:pPr>
            <w:pStyle w:val="TOC1"/>
            <w:spacing w:line="240" w:lineRule="auto"/>
            <w:rPr>
              <w:rFonts w:eastAsiaTheme="minorEastAsia"/>
              <w:b w:val="0"/>
              <w:bCs w:val="0"/>
              <w:lang w:eastAsia="en-ID"/>
            </w:rPr>
          </w:pPr>
          <w:hyperlink w:anchor="_Toc185961358" w:history="1">
            <w:r w:rsidRPr="009F7719">
              <w:rPr>
                <w:rStyle w:val="Hyperlink"/>
              </w:rPr>
              <w:t>LAMPIRAN-LAMPIRAN</w:t>
            </w:r>
            <w:r w:rsidRPr="009F7719">
              <w:rPr>
                <w:webHidden/>
              </w:rPr>
              <w:tab/>
            </w:r>
            <w:r w:rsidRPr="009F7719">
              <w:rPr>
                <w:webHidden/>
              </w:rPr>
              <w:fldChar w:fldCharType="begin"/>
            </w:r>
            <w:r w:rsidRPr="009F7719">
              <w:rPr>
                <w:webHidden/>
              </w:rPr>
              <w:instrText xml:space="preserve"> PAGEREF _Toc185961358 \h </w:instrText>
            </w:r>
            <w:r w:rsidRPr="009F7719">
              <w:rPr>
                <w:webHidden/>
              </w:rPr>
            </w:r>
            <w:r w:rsidRPr="009F7719">
              <w:rPr>
                <w:webHidden/>
              </w:rPr>
              <w:fldChar w:fldCharType="separate"/>
            </w:r>
            <w:r w:rsidR="00474234">
              <w:rPr>
                <w:webHidden/>
              </w:rPr>
              <w:t>123</w:t>
            </w:r>
            <w:r w:rsidRPr="009F7719">
              <w:rPr>
                <w:webHidden/>
              </w:rPr>
              <w:fldChar w:fldCharType="end"/>
            </w:r>
          </w:hyperlink>
        </w:p>
        <w:p w14:paraId="3C66DCD4" w14:textId="54C2E9B3" w:rsidR="009F7719" w:rsidRPr="009F7719" w:rsidRDefault="009F7719" w:rsidP="009F7719">
          <w:pPr>
            <w:pStyle w:val="TOC1"/>
            <w:spacing w:line="240" w:lineRule="auto"/>
            <w:rPr>
              <w:rFonts w:eastAsiaTheme="minorEastAsia"/>
              <w:b w:val="0"/>
              <w:bCs w:val="0"/>
              <w:lang w:eastAsia="en-ID"/>
            </w:rPr>
          </w:pPr>
          <w:hyperlink w:anchor="_Toc185961359" w:history="1">
            <w:r w:rsidRPr="009F7719">
              <w:rPr>
                <w:rStyle w:val="Hyperlink"/>
              </w:rPr>
              <w:t>DAFTAR RIWAYAT HIDUP</w:t>
            </w:r>
            <w:r w:rsidRPr="009F7719">
              <w:rPr>
                <w:webHidden/>
              </w:rPr>
              <w:tab/>
            </w:r>
            <w:r w:rsidRPr="009F7719">
              <w:rPr>
                <w:webHidden/>
              </w:rPr>
              <w:fldChar w:fldCharType="begin"/>
            </w:r>
            <w:r w:rsidRPr="009F7719">
              <w:rPr>
                <w:webHidden/>
              </w:rPr>
              <w:instrText xml:space="preserve"> PAGEREF _Toc185961359 \h </w:instrText>
            </w:r>
            <w:r w:rsidRPr="009F7719">
              <w:rPr>
                <w:webHidden/>
              </w:rPr>
            </w:r>
            <w:r w:rsidRPr="009F7719">
              <w:rPr>
                <w:webHidden/>
              </w:rPr>
              <w:fldChar w:fldCharType="separate"/>
            </w:r>
            <w:r w:rsidR="00474234">
              <w:rPr>
                <w:webHidden/>
              </w:rPr>
              <w:t>133</w:t>
            </w:r>
            <w:r w:rsidRPr="009F7719">
              <w:rPr>
                <w:webHidden/>
              </w:rPr>
              <w:fldChar w:fldCharType="end"/>
            </w:r>
          </w:hyperlink>
        </w:p>
        <w:p w14:paraId="3A53C229" w14:textId="51327EA4" w:rsidR="008D372B" w:rsidRPr="0014375A" w:rsidRDefault="008D372B" w:rsidP="009F7719">
          <w:pPr>
            <w:spacing w:line="240" w:lineRule="auto"/>
            <w:rPr>
              <w:rFonts w:asciiTheme="majorBidi" w:hAnsiTheme="majorBidi" w:cstheme="majorBidi"/>
            </w:rPr>
            <w:sectPr w:rsidR="008D372B" w:rsidRPr="0014375A" w:rsidSect="008A1297">
              <w:pgSz w:w="8391" w:h="11906" w:code="11"/>
              <w:pgMar w:top="1134" w:right="1134" w:bottom="1134" w:left="1418" w:header="709" w:footer="709" w:gutter="0"/>
              <w:pgNumType w:fmt="lowerRoman" w:start="1"/>
              <w:cols w:space="708"/>
              <w:titlePg/>
              <w:docGrid w:linePitch="360"/>
            </w:sectPr>
          </w:pPr>
          <w:r w:rsidRPr="009F7719">
            <w:rPr>
              <w:rFonts w:asciiTheme="majorBidi" w:hAnsiTheme="majorBidi" w:cstheme="majorBidi"/>
              <w:b/>
              <w:bCs/>
              <w:noProof/>
            </w:rPr>
            <w:fldChar w:fldCharType="end"/>
          </w:r>
        </w:p>
      </w:sdtContent>
    </w:sdt>
    <w:p w14:paraId="088E91E0" w14:textId="1C277FB8" w:rsidR="00AB1CB5" w:rsidRPr="0014375A" w:rsidRDefault="00AB1CB5" w:rsidP="0014375A">
      <w:pPr>
        <w:spacing w:line="276" w:lineRule="auto"/>
        <w:rPr>
          <w:rFonts w:asciiTheme="majorBidi" w:hAnsiTheme="majorBidi" w:cstheme="majorBidi"/>
          <w:b/>
          <w:bCs/>
          <w:lang w:val="en-US"/>
        </w:rPr>
      </w:pPr>
    </w:p>
    <w:p w14:paraId="1EF67232" w14:textId="77777777" w:rsidR="00AB1CB5" w:rsidRDefault="00AB1CB5" w:rsidP="00CA10D0">
      <w:pPr>
        <w:pStyle w:val="Heading1"/>
        <w:spacing w:line="360" w:lineRule="auto"/>
        <w:sectPr w:rsidR="00AB1CB5" w:rsidSect="008D372B">
          <w:headerReference w:type="default" r:id="rId15"/>
          <w:footerReference w:type="default" r:id="rId16"/>
          <w:footerReference w:type="first" r:id="rId17"/>
          <w:footnotePr>
            <w:numRestart w:val="eachSect"/>
          </w:footnotePr>
          <w:type w:val="continuous"/>
          <w:pgSz w:w="8391" w:h="11906" w:code="11"/>
          <w:pgMar w:top="1134" w:right="1134" w:bottom="1134" w:left="1418" w:header="709" w:footer="709" w:gutter="0"/>
          <w:pgNumType w:start="1"/>
          <w:cols w:space="708"/>
          <w:titlePg/>
          <w:docGrid w:linePitch="360"/>
        </w:sectPr>
      </w:pPr>
    </w:p>
    <w:p w14:paraId="3A4C6FAB" w14:textId="6363D927" w:rsidR="008D372B" w:rsidRPr="00B11613" w:rsidRDefault="008D372B" w:rsidP="00CA10D0">
      <w:pPr>
        <w:pStyle w:val="Heading1"/>
        <w:spacing w:line="360" w:lineRule="auto"/>
      </w:pPr>
      <w:bookmarkStart w:id="14" w:name="_Toc185961332"/>
      <w:r w:rsidRPr="00267A02">
        <w:lastRenderedPageBreak/>
        <w:t>BAB I</w:t>
      </w:r>
      <w:r>
        <w:br/>
      </w:r>
      <w:r w:rsidRPr="00267A02">
        <w:t>PENDAHULUAN</w:t>
      </w:r>
      <w:bookmarkEnd w:id="14"/>
    </w:p>
    <w:p w14:paraId="2164C59F" w14:textId="77777777" w:rsidR="008D372B" w:rsidRPr="00267A02" w:rsidRDefault="008D372B" w:rsidP="00A42310">
      <w:pPr>
        <w:pStyle w:val="Heading2"/>
        <w:spacing w:line="360" w:lineRule="auto"/>
        <w:ind w:left="284"/>
      </w:pPr>
      <w:bookmarkStart w:id="15" w:name="_Toc185961333"/>
      <w:r w:rsidRPr="00267A02">
        <w:t>Latar Belakang</w:t>
      </w:r>
      <w:bookmarkEnd w:id="15"/>
    </w:p>
    <w:p w14:paraId="0CA473AF" w14:textId="77777777" w:rsidR="00A42310" w:rsidRDefault="000469B4" w:rsidP="00A42310">
      <w:pPr>
        <w:spacing w:line="276" w:lineRule="auto"/>
        <w:ind w:left="284" w:firstLine="567"/>
        <w:jc w:val="both"/>
        <w:rPr>
          <w:rFonts w:asciiTheme="majorBidi" w:hAnsiTheme="majorBidi" w:cstheme="majorBidi"/>
        </w:rPr>
      </w:pPr>
      <w:r w:rsidRPr="00A42310">
        <w:rPr>
          <w:rFonts w:asciiTheme="majorBidi" w:hAnsiTheme="majorBidi" w:cstheme="majorBidi"/>
        </w:rPr>
        <w:t xml:space="preserve">Kesaksian merupakan bukti penting dalam sistem peradilan pidana. Kesaksian berfungsi sebagai alat bukti untuk mengungkap kebenaran suatu perkara. Di antara berbagai jenis saksi, terdapat satu kategori yang dikenal </w:t>
      </w:r>
      <w:r w:rsidR="008D372B" w:rsidRPr="00A42310">
        <w:rPr>
          <w:rFonts w:asciiTheme="majorBidi" w:hAnsiTheme="majorBidi" w:cstheme="majorBidi"/>
          <w:lang w:val="en-US"/>
        </w:rPr>
        <w:t xml:space="preserve">dengan istilah </w:t>
      </w:r>
      <w:r w:rsidRPr="00A42310">
        <w:rPr>
          <w:rFonts w:asciiTheme="majorBidi" w:hAnsiTheme="majorBidi" w:cstheme="majorBidi"/>
          <w:lang w:val="en-US"/>
        </w:rPr>
        <w:t>s</w:t>
      </w:r>
      <w:r w:rsidR="008D372B" w:rsidRPr="00A42310">
        <w:rPr>
          <w:rFonts w:asciiTheme="majorBidi" w:hAnsiTheme="majorBidi" w:cstheme="majorBidi"/>
          <w:lang w:val="en-US"/>
        </w:rPr>
        <w:t xml:space="preserve">aksi </w:t>
      </w:r>
      <w:r w:rsidR="008D372B" w:rsidRPr="00A42310">
        <w:rPr>
          <w:rFonts w:asciiTheme="majorBidi" w:hAnsiTheme="majorBidi" w:cstheme="majorBidi"/>
          <w:i/>
          <w:iCs/>
          <w:lang w:val="en-US"/>
        </w:rPr>
        <w:t>testimonium de auditu</w:t>
      </w:r>
      <w:r w:rsidR="008D372B" w:rsidRPr="00A42310">
        <w:rPr>
          <w:rFonts w:asciiTheme="majorBidi" w:hAnsiTheme="majorBidi" w:cstheme="majorBidi"/>
          <w:lang w:val="en-US"/>
        </w:rPr>
        <w:t>.</w:t>
      </w:r>
      <w:r w:rsidR="008D372B" w:rsidRPr="00CB082F">
        <w:rPr>
          <w:rStyle w:val="FootnoteReference"/>
          <w:rFonts w:asciiTheme="majorBidi" w:hAnsiTheme="majorBidi" w:cstheme="majorBidi"/>
          <w:lang w:val="en-US"/>
        </w:rPr>
        <w:footnoteReference w:id="2"/>
      </w:r>
      <w:r w:rsidR="008D372B" w:rsidRPr="00A42310">
        <w:rPr>
          <w:rFonts w:asciiTheme="majorBidi" w:hAnsiTheme="majorBidi" w:cstheme="majorBidi"/>
          <w:lang w:val="en-US"/>
        </w:rPr>
        <w:t xml:space="preserve"> </w:t>
      </w:r>
      <w:r w:rsidR="008D372B" w:rsidRPr="00A42310">
        <w:rPr>
          <w:rFonts w:asciiTheme="majorBidi" w:hAnsiTheme="majorBidi" w:cstheme="majorBidi"/>
        </w:rPr>
        <w:t xml:space="preserve">Saksi dalam perkara ini memberikan keterangan berdasarkan informasi yang diperoleh secara tidak langsung, yaitu melalui informasi yang didengar dari orang lain. Penggunaan saksi </w:t>
      </w:r>
      <w:r w:rsidR="008D372B" w:rsidRPr="00A42310">
        <w:rPr>
          <w:rFonts w:asciiTheme="majorBidi" w:hAnsiTheme="majorBidi" w:cstheme="majorBidi"/>
          <w:i/>
          <w:iCs/>
        </w:rPr>
        <w:t>testimonium de auditu</w:t>
      </w:r>
      <w:r w:rsidR="008D372B" w:rsidRPr="00A42310">
        <w:rPr>
          <w:rFonts w:asciiTheme="majorBidi" w:hAnsiTheme="majorBidi" w:cstheme="majorBidi"/>
        </w:rPr>
        <w:t xml:space="preserve"> dalam perkara pidana yang melibatkan korban yang rentan, seperti anak-anak, menimbulkan tantangan </w:t>
      </w:r>
      <w:r w:rsidRPr="00A42310">
        <w:rPr>
          <w:rFonts w:asciiTheme="majorBidi" w:hAnsiTheme="majorBidi" w:cstheme="majorBidi"/>
        </w:rPr>
        <w:t xml:space="preserve">yang </w:t>
      </w:r>
      <w:r w:rsidR="008D372B" w:rsidRPr="00A42310">
        <w:rPr>
          <w:rFonts w:asciiTheme="majorBidi" w:hAnsiTheme="majorBidi" w:cstheme="majorBidi"/>
        </w:rPr>
        <w:t>signifikan dalam proses pembuktian hukum. Meskipun keterangan saksi tersebut dapat menjadi satu-satunya sumber informasi, namun sifatnya yang tidak langsung dan potensi terkontaminasi oleh faktor subjektivitas menjadi pertimbangan penting dalam menilai kekuatan pembuktiannya.</w:t>
      </w:r>
    </w:p>
    <w:p w14:paraId="47D8A33F" w14:textId="77777777" w:rsidR="00A42310" w:rsidRDefault="008D372B" w:rsidP="00A42310">
      <w:pPr>
        <w:spacing w:line="276" w:lineRule="auto"/>
        <w:ind w:left="284" w:firstLine="567"/>
        <w:jc w:val="both"/>
        <w:rPr>
          <w:rFonts w:asciiTheme="majorBidi" w:hAnsiTheme="majorBidi" w:cstheme="majorBidi"/>
        </w:rPr>
      </w:pPr>
      <w:r w:rsidRPr="00A42310">
        <w:rPr>
          <w:rFonts w:asciiTheme="majorBidi" w:hAnsiTheme="majorBidi" w:cstheme="majorBidi"/>
        </w:rPr>
        <w:t>Tindak pidana pelecehan seksual terhadap anak perempuan merupakan permasalahan sosial yang serius yang mendapat perhatian khusus dari perspektif hukum dan keadilan</w:t>
      </w:r>
      <w:r w:rsidRPr="00A42310">
        <w:rPr>
          <w:rFonts w:asciiTheme="majorBidi" w:hAnsiTheme="majorBidi" w:cstheme="majorBidi"/>
          <w:lang w:val="en-US"/>
        </w:rPr>
        <w:t>.</w:t>
      </w:r>
      <w:r w:rsidRPr="00CB082F">
        <w:rPr>
          <w:rStyle w:val="FootnoteReference"/>
          <w:rFonts w:asciiTheme="majorBidi" w:hAnsiTheme="majorBidi" w:cstheme="majorBidi"/>
          <w:lang w:val="en-US"/>
        </w:rPr>
        <w:footnoteReference w:id="3"/>
      </w:r>
      <w:r w:rsidRPr="00A42310">
        <w:rPr>
          <w:rFonts w:asciiTheme="majorBidi" w:hAnsiTheme="majorBidi" w:cstheme="majorBidi"/>
          <w:lang w:val="en-US"/>
        </w:rPr>
        <w:t xml:space="preserve"> Komisi Nasional Perlindungan Anak (Komnas PA) </w:t>
      </w:r>
      <w:r w:rsidRPr="00A42310">
        <w:rPr>
          <w:rFonts w:asciiTheme="majorBidi" w:hAnsiTheme="majorBidi" w:cstheme="majorBidi"/>
          <w:lang w:val="en-US"/>
        </w:rPr>
        <w:lastRenderedPageBreak/>
        <w:t>mencatat terdapat lonjakan kasus kekerasan terhadap anak di tahun 2023.</w:t>
      </w:r>
      <w:r w:rsidR="00C30C23">
        <w:rPr>
          <w:rStyle w:val="FootnoteReference"/>
          <w:rFonts w:asciiTheme="majorBidi" w:hAnsiTheme="majorBidi" w:cstheme="majorBidi"/>
          <w:lang w:val="en-US"/>
        </w:rPr>
        <w:footnoteReference w:id="4"/>
      </w:r>
      <w:r w:rsidRPr="00A42310">
        <w:rPr>
          <w:rFonts w:asciiTheme="majorBidi" w:hAnsiTheme="majorBidi" w:cstheme="majorBidi"/>
          <w:lang w:val="en-US"/>
        </w:rPr>
        <w:t xml:space="preserve"> Tercatat, terdapat 3.547 aduan kasus yang diterima sepanjang tahun, hal itu menunjukkan peningkatan 30% dibandingkan tahun sebelumnya. Dari total aduan tersebut, kasus kekerasan seksual mendominasi dengan 1.915 kasus.</w:t>
      </w:r>
      <w:r w:rsidRPr="00CB082F">
        <w:rPr>
          <w:rStyle w:val="FootnoteReference"/>
          <w:rFonts w:asciiTheme="majorBidi" w:hAnsiTheme="majorBidi" w:cstheme="majorBidi"/>
          <w:lang w:val="en-US"/>
        </w:rPr>
        <w:footnoteReference w:id="5"/>
      </w:r>
      <w:r w:rsidRPr="00A42310">
        <w:rPr>
          <w:rFonts w:asciiTheme="majorBidi" w:hAnsiTheme="majorBidi" w:cstheme="majorBidi"/>
          <w:lang w:val="en-US"/>
        </w:rPr>
        <w:t xml:space="preserve"> Kasus pelecehan seksual kerap kali diselimuti rasa takut dan stigma buruk bagi korban. Keengganan korban untuk melapor atau memberikan kesaksian langsung di pengadilan menjadi hambatan dalam proses hukum. Solusi untuk mengurai hambatan ini adalah dengan menerapkan mekanisme </w:t>
      </w:r>
      <w:r w:rsidRPr="00A42310">
        <w:rPr>
          <w:rFonts w:asciiTheme="majorBidi" w:hAnsiTheme="majorBidi" w:cstheme="majorBidi"/>
          <w:i/>
          <w:iCs/>
          <w:lang w:val="en-US"/>
        </w:rPr>
        <w:t>testimonium de auditu</w:t>
      </w:r>
      <w:r w:rsidRPr="00A42310">
        <w:rPr>
          <w:rFonts w:asciiTheme="majorBidi" w:hAnsiTheme="majorBidi" w:cstheme="majorBidi"/>
          <w:lang w:val="en-US"/>
        </w:rPr>
        <w:t xml:space="preserve">. </w:t>
      </w:r>
      <w:r w:rsidRPr="00A42310">
        <w:rPr>
          <w:rFonts w:asciiTheme="majorBidi" w:hAnsiTheme="majorBidi" w:cstheme="majorBidi"/>
          <w:i/>
          <w:iCs/>
          <w:lang w:val="en-US"/>
        </w:rPr>
        <w:t>Testimonium de auditu</w:t>
      </w:r>
      <w:r w:rsidRPr="00A42310">
        <w:rPr>
          <w:rFonts w:asciiTheme="majorBidi" w:hAnsiTheme="majorBidi" w:cstheme="majorBidi"/>
          <w:lang w:val="en-US"/>
        </w:rPr>
        <w:t xml:space="preserve"> memungkinkan saksi untuk memberikan kesaksian berdasarkan apa yang mereka dengar dari orang lain, sehingga dapat membantu mengungkap kebenaran dan memberikan keadilan bagi korban.</w:t>
      </w:r>
    </w:p>
    <w:p w14:paraId="4081B724" w14:textId="77777777" w:rsidR="00A42310" w:rsidRDefault="00CC3214" w:rsidP="00A42310">
      <w:pPr>
        <w:spacing w:line="276" w:lineRule="auto"/>
        <w:ind w:left="284" w:firstLine="567"/>
        <w:jc w:val="both"/>
        <w:rPr>
          <w:rFonts w:asciiTheme="majorBidi" w:hAnsiTheme="majorBidi" w:cstheme="majorBidi"/>
        </w:rPr>
      </w:pPr>
      <w:r w:rsidRPr="00A42310">
        <w:rPr>
          <w:rFonts w:asciiTheme="majorBidi" w:hAnsiTheme="majorBidi" w:cstheme="majorBidi"/>
        </w:rPr>
        <w:t xml:space="preserve">Menjadi saksi dalam suatu perkara merupakan kewajiban hukum yang menuntut tanggung jawab yang tinggi. Seorang saksi tidak hanya memberikan keterangan di hadapan pengadilan, tetapi juga wajib memenuhi persyaratan dan ketentuan yang telah diatur dalam undang-undang. </w:t>
      </w:r>
      <w:r w:rsidR="008D372B" w:rsidRPr="00A42310">
        <w:rPr>
          <w:rFonts w:asciiTheme="majorBidi" w:hAnsiTheme="majorBidi" w:cstheme="majorBidi"/>
          <w:lang w:val="en-US"/>
        </w:rPr>
        <w:t xml:space="preserve">Namun pada realitanya, </w:t>
      </w:r>
      <w:r w:rsidR="008D372B" w:rsidRPr="00A42310">
        <w:rPr>
          <w:rFonts w:asciiTheme="majorBidi" w:hAnsiTheme="majorBidi" w:cstheme="majorBidi"/>
        </w:rPr>
        <w:t xml:space="preserve">mendapatkan keterangan saksi yang memenuhi syarat sebagai alat bukti yang sah, khususnya saksi mata yang </w:t>
      </w:r>
      <w:r w:rsidR="008D372B" w:rsidRPr="00A42310">
        <w:rPr>
          <w:rFonts w:asciiTheme="majorBidi" w:hAnsiTheme="majorBidi" w:cstheme="majorBidi"/>
        </w:rPr>
        <w:lastRenderedPageBreak/>
        <w:t xml:space="preserve">dapat memberikan kesaksian langsung mengenai suatu peristiwa, seringkali menjadi kendala dalam proses peradilan. Hal ini disebabkan oleh berbagai faktor, termasuk kesulitan dalam menemukan saksi yang memenuhi syarat kompetensi dan kredibilitas. </w:t>
      </w:r>
      <w:r w:rsidR="008D372B" w:rsidRPr="00A42310">
        <w:rPr>
          <w:rFonts w:asciiTheme="majorBidi" w:hAnsiTheme="majorBidi" w:cstheme="majorBidi"/>
          <w:lang w:val="en-US"/>
        </w:rPr>
        <w:t xml:space="preserve">Oleh karena itu, terkadang pihak korban mungkin memanggil saksi yang tidak secara langsung menyaksikan peristiwa yang terjadi, yang biasa disebut sebagai </w:t>
      </w:r>
      <w:r w:rsidR="008D372B" w:rsidRPr="00A42310">
        <w:rPr>
          <w:rFonts w:asciiTheme="majorBidi" w:hAnsiTheme="majorBidi" w:cstheme="majorBidi"/>
          <w:i/>
          <w:iCs/>
          <w:lang w:val="en-US"/>
        </w:rPr>
        <w:t>testimonium de auditu</w:t>
      </w:r>
      <w:r w:rsidR="008D372B" w:rsidRPr="00A42310">
        <w:rPr>
          <w:rFonts w:asciiTheme="majorBidi" w:hAnsiTheme="majorBidi" w:cstheme="majorBidi"/>
          <w:lang w:val="en-US"/>
        </w:rPr>
        <w:t xml:space="preserve"> untuk memberikan </w:t>
      </w:r>
      <w:r w:rsidRPr="00A42310">
        <w:rPr>
          <w:rFonts w:asciiTheme="majorBidi" w:hAnsiTheme="majorBidi" w:cstheme="majorBidi"/>
          <w:lang w:val="en-US"/>
        </w:rPr>
        <w:t>keterangan</w:t>
      </w:r>
      <w:r w:rsidR="008D372B" w:rsidRPr="00A42310">
        <w:rPr>
          <w:rFonts w:asciiTheme="majorBidi" w:hAnsiTheme="majorBidi" w:cstheme="majorBidi"/>
          <w:lang w:val="en-US"/>
        </w:rPr>
        <w:t xml:space="preserve"> berdasarkan informasi yang didapat dari saksi korban karena kurangnya alat bukti.</w:t>
      </w:r>
      <w:r w:rsidR="008D372B" w:rsidRPr="00CB082F">
        <w:rPr>
          <w:rStyle w:val="FootnoteReference"/>
          <w:rFonts w:asciiTheme="majorBidi" w:hAnsiTheme="majorBidi" w:cstheme="majorBidi"/>
          <w:lang w:val="en-US"/>
        </w:rPr>
        <w:footnoteReference w:id="6"/>
      </w:r>
    </w:p>
    <w:p w14:paraId="12442B86" w14:textId="02638F6B" w:rsidR="008D372B" w:rsidRPr="00A42310" w:rsidRDefault="008D372B" w:rsidP="00A42310">
      <w:pPr>
        <w:spacing w:line="276" w:lineRule="auto"/>
        <w:ind w:left="284" w:firstLine="567"/>
        <w:jc w:val="both"/>
        <w:rPr>
          <w:rFonts w:asciiTheme="majorBidi" w:hAnsiTheme="majorBidi" w:cstheme="majorBidi"/>
        </w:rPr>
      </w:pPr>
      <w:r w:rsidRPr="00A42310">
        <w:rPr>
          <w:rFonts w:asciiTheme="majorBidi" w:hAnsiTheme="majorBidi" w:cstheme="majorBidi"/>
          <w:lang w:val="en-US"/>
        </w:rPr>
        <w:t>Untuk dapat membuktikan kebenaran materiil, perlu adanya alat bukti yang sah. Menurut Pasal 184 ayat (1) KUHAP, alat bukti yang sah adalah:</w:t>
      </w:r>
      <w:r w:rsidRPr="00CB082F">
        <w:rPr>
          <w:rStyle w:val="FootnoteReference"/>
          <w:rFonts w:asciiTheme="majorBidi" w:hAnsiTheme="majorBidi" w:cstheme="majorBidi"/>
          <w:lang w:val="en-US"/>
        </w:rPr>
        <w:footnoteReference w:id="7"/>
      </w:r>
    </w:p>
    <w:p w14:paraId="5C467FBB" w14:textId="77777777" w:rsidR="008D372B" w:rsidRPr="00CB082F" w:rsidRDefault="008D372B" w:rsidP="00A42310">
      <w:pPr>
        <w:pStyle w:val="ListParagraph"/>
        <w:numPr>
          <w:ilvl w:val="0"/>
          <w:numId w:val="97"/>
        </w:numPr>
        <w:spacing w:line="276" w:lineRule="auto"/>
        <w:ind w:left="851"/>
        <w:jc w:val="both"/>
        <w:rPr>
          <w:rFonts w:asciiTheme="majorBidi" w:hAnsiTheme="majorBidi" w:cstheme="majorBidi"/>
          <w:lang w:val="en-US"/>
        </w:rPr>
      </w:pPr>
      <w:r w:rsidRPr="00CB082F">
        <w:rPr>
          <w:rFonts w:asciiTheme="majorBidi" w:hAnsiTheme="majorBidi" w:cstheme="majorBidi"/>
          <w:lang w:val="en-US"/>
        </w:rPr>
        <w:t xml:space="preserve">Keterangan saksi; </w:t>
      </w:r>
    </w:p>
    <w:p w14:paraId="179F10C9" w14:textId="77777777" w:rsidR="008D372B" w:rsidRPr="00CB082F" w:rsidRDefault="008D372B" w:rsidP="00A42310">
      <w:pPr>
        <w:pStyle w:val="ListParagraph"/>
        <w:numPr>
          <w:ilvl w:val="0"/>
          <w:numId w:val="97"/>
        </w:numPr>
        <w:spacing w:line="276" w:lineRule="auto"/>
        <w:ind w:left="851"/>
        <w:jc w:val="both"/>
        <w:rPr>
          <w:rFonts w:asciiTheme="majorBidi" w:hAnsiTheme="majorBidi" w:cstheme="majorBidi"/>
          <w:lang w:val="en-US"/>
        </w:rPr>
      </w:pPr>
      <w:r w:rsidRPr="00CB082F">
        <w:rPr>
          <w:rFonts w:asciiTheme="majorBidi" w:hAnsiTheme="majorBidi" w:cstheme="majorBidi"/>
          <w:lang w:val="en-US"/>
        </w:rPr>
        <w:t xml:space="preserve">Keterangan ahli; </w:t>
      </w:r>
    </w:p>
    <w:p w14:paraId="4C53BF6B" w14:textId="77777777" w:rsidR="008D372B" w:rsidRPr="00CB082F" w:rsidRDefault="008D372B" w:rsidP="00A42310">
      <w:pPr>
        <w:pStyle w:val="ListParagraph"/>
        <w:numPr>
          <w:ilvl w:val="0"/>
          <w:numId w:val="97"/>
        </w:numPr>
        <w:spacing w:line="276" w:lineRule="auto"/>
        <w:ind w:left="851"/>
        <w:jc w:val="both"/>
        <w:rPr>
          <w:rFonts w:asciiTheme="majorBidi" w:hAnsiTheme="majorBidi" w:cstheme="majorBidi"/>
          <w:lang w:val="en-US"/>
        </w:rPr>
      </w:pPr>
      <w:r w:rsidRPr="00CB082F">
        <w:rPr>
          <w:rFonts w:asciiTheme="majorBidi" w:hAnsiTheme="majorBidi" w:cstheme="majorBidi"/>
          <w:lang w:val="en-US"/>
        </w:rPr>
        <w:t xml:space="preserve">Surat; </w:t>
      </w:r>
    </w:p>
    <w:p w14:paraId="43E341E4" w14:textId="77777777" w:rsidR="008D372B" w:rsidRPr="00CB082F" w:rsidRDefault="008D372B" w:rsidP="00A42310">
      <w:pPr>
        <w:pStyle w:val="ListParagraph"/>
        <w:numPr>
          <w:ilvl w:val="0"/>
          <w:numId w:val="97"/>
        </w:numPr>
        <w:spacing w:line="276" w:lineRule="auto"/>
        <w:ind w:left="851"/>
        <w:jc w:val="both"/>
        <w:rPr>
          <w:rFonts w:asciiTheme="majorBidi" w:hAnsiTheme="majorBidi" w:cstheme="majorBidi"/>
          <w:lang w:val="en-US"/>
        </w:rPr>
      </w:pPr>
      <w:r w:rsidRPr="00CB082F">
        <w:rPr>
          <w:rFonts w:asciiTheme="majorBidi" w:hAnsiTheme="majorBidi" w:cstheme="majorBidi"/>
          <w:lang w:val="en-US"/>
        </w:rPr>
        <w:t xml:space="preserve">Petunjuk; </w:t>
      </w:r>
    </w:p>
    <w:p w14:paraId="3E69F96D" w14:textId="69EAEBA3" w:rsidR="00A42310" w:rsidRPr="00A42310" w:rsidRDefault="008D372B" w:rsidP="00A42310">
      <w:pPr>
        <w:pStyle w:val="ListParagraph"/>
        <w:numPr>
          <w:ilvl w:val="0"/>
          <w:numId w:val="97"/>
        </w:numPr>
        <w:spacing w:line="276" w:lineRule="auto"/>
        <w:ind w:left="851"/>
        <w:jc w:val="both"/>
        <w:rPr>
          <w:rFonts w:asciiTheme="majorBidi" w:hAnsiTheme="majorBidi" w:cstheme="majorBidi"/>
          <w:lang w:val="en-US"/>
        </w:rPr>
      </w:pPr>
      <w:r w:rsidRPr="00CB082F">
        <w:rPr>
          <w:rFonts w:asciiTheme="majorBidi" w:hAnsiTheme="majorBidi" w:cstheme="majorBidi"/>
          <w:lang w:val="en-US"/>
        </w:rPr>
        <w:t>Keterangan terdakwa</w:t>
      </w:r>
    </w:p>
    <w:p w14:paraId="06808E5A" w14:textId="29B9226A" w:rsidR="008D372B" w:rsidRDefault="008D372B" w:rsidP="00A42310">
      <w:pPr>
        <w:spacing w:line="276" w:lineRule="auto"/>
        <w:ind w:left="284" w:firstLine="567"/>
        <w:jc w:val="both"/>
        <w:rPr>
          <w:rFonts w:asciiTheme="majorBidi" w:hAnsiTheme="majorBidi" w:cstheme="majorBidi"/>
          <w:lang w:val="en-US"/>
        </w:rPr>
      </w:pPr>
      <w:r w:rsidRPr="000D3632">
        <w:rPr>
          <w:rFonts w:asciiTheme="majorBidi" w:hAnsiTheme="majorBidi" w:cstheme="majorBidi"/>
        </w:rPr>
        <w:t>Menurut ketentuan Pasal 1 butir 26 Kitab Undang-Undang Hukum Acara Pidana</w:t>
      </w:r>
      <w:r>
        <w:rPr>
          <w:rFonts w:asciiTheme="majorBidi" w:hAnsiTheme="majorBidi" w:cstheme="majorBidi"/>
        </w:rPr>
        <w:t xml:space="preserve"> (KUHAP)</w:t>
      </w:r>
      <w:r w:rsidRPr="000D3632">
        <w:rPr>
          <w:rFonts w:asciiTheme="majorBidi" w:hAnsiTheme="majorBidi" w:cstheme="majorBidi"/>
        </w:rPr>
        <w:t>, saksi adalah individu yang secara hukum memiliki kapasitas untuk memberikan keterangan yang relevan dan dapat dipercaya, berdasarkan apa yang telah didengar, dilihat, atau dialami secara langsung, guna memenuhi kebutuhan pembuktian dalam suatu perkara pidana.</w:t>
      </w:r>
      <w:r w:rsidRPr="00CB082F">
        <w:rPr>
          <w:rStyle w:val="FootnoteReference"/>
          <w:rFonts w:asciiTheme="majorBidi" w:hAnsiTheme="majorBidi" w:cstheme="majorBidi"/>
          <w:lang w:val="en-US"/>
        </w:rPr>
        <w:footnoteReference w:id="8"/>
      </w:r>
      <w:r w:rsidRPr="000D3632">
        <w:rPr>
          <w:rFonts w:asciiTheme="majorBidi" w:hAnsiTheme="majorBidi" w:cstheme="majorBidi"/>
          <w:lang w:val="en-US"/>
        </w:rPr>
        <w:t xml:space="preserve"> Namun, setelah adanya Putusan Mahkamah Konstitusi Nomor </w:t>
      </w:r>
      <w:r w:rsidRPr="000D3632">
        <w:rPr>
          <w:rFonts w:asciiTheme="majorBidi" w:hAnsiTheme="majorBidi" w:cstheme="majorBidi"/>
          <w:lang w:val="en-US"/>
        </w:rPr>
        <w:lastRenderedPageBreak/>
        <w:t>65/PUU-VIII/2010, definisi saksi dan keterangan saksi dalam Pasal 1 angka 26 dan angka 27 Undang-Undang Nomor 8 Tahun 1981 diperluas menjadi</w:t>
      </w:r>
      <w:r>
        <w:rPr>
          <w:rFonts w:asciiTheme="majorBidi" w:hAnsiTheme="majorBidi" w:cstheme="majorBidi"/>
          <w:lang w:val="en-US"/>
        </w:rPr>
        <w:t xml:space="preserve"> “individu</w:t>
      </w:r>
      <w:r w:rsidRPr="000D3632">
        <w:rPr>
          <w:rFonts w:asciiTheme="majorBidi" w:hAnsiTheme="majorBidi" w:cstheme="majorBidi"/>
          <w:lang w:val="en-US"/>
        </w:rPr>
        <w:t xml:space="preserve"> yang dapat memberikan keterangan dalam rangka penyidikan, penuntutan, dan peradilan atas suatu tindak pidana yang tidak selalu didengarnya, dilihatnya, atau dialaminya sendiri.</w:t>
      </w:r>
      <w:r>
        <w:rPr>
          <w:rFonts w:asciiTheme="majorBidi" w:hAnsiTheme="majorBidi" w:cstheme="majorBidi"/>
          <w:lang w:val="en-US"/>
        </w:rPr>
        <w:t>”</w:t>
      </w:r>
      <w:r w:rsidRPr="00CB082F">
        <w:rPr>
          <w:rStyle w:val="FootnoteReference"/>
          <w:rFonts w:asciiTheme="majorBidi" w:hAnsiTheme="majorBidi" w:cstheme="majorBidi"/>
          <w:lang w:val="en-US"/>
        </w:rPr>
        <w:footnoteReference w:id="9"/>
      </w:r>
      <w:r w:rsidRPr="000D3632">
        <w:rPr>
          <w:rFonts w:asciiTheme="majorBidi" w:hAnsiTheme="majorBidi" w:cstheme="majorBidi"/>
          <w:lang w:val="en-US"/>
        </w:rPr>
        <w:t xml:space="preserve"> </w:t>
      </w:r>
    </w:p>
    <w:p w14:paraId="0CE1CDD2" w14:textId="5599E478" w:rsidR="008D372B" w:rsidRDefault="008D372B" w:rsidP="00A42310">
      <w:pPr>
        <w:spacing w:line="276" w:lineRule="auto"/>
        <w:ind w:left="284" w:firstLine="567"/>
        <w:jc w:val="both"/>
        <w:rPr>
          <w:rFonts w:asciiTheme="majorBidi" w:hAnsiTheme="majorBidi" w:cstheme="majorBidi"/>
        </w:rPr>
      </w:pPr>
      <w:r w:rsidRPr="003B76C6">
        <w:rPr>
          <w:rFonts w:asciiTheme="majorBidi" w:hAnsiTheme="majorBidi" w:cstheme="majorBidi"/>
          <w:lang w:val="en-US"/>
        </w:rPr>
        <w:t xml:space="preserve">Sebelum adanya </w:t>
      </w:r>
      <w:r w:rsidR="0083343C">
        <w:rPr>
          <w:rFonts w:asciiTheme="majorBidi" w:hAnsiTheme="majorBidi" w:cstheme="majorBidi"/>
          <w:lang w:val="en-US"/>
        </w:rPr>
        <w:t>P</w:t>
      </w:r>
      <w:r w:rsidRPr="003B76C6">
        <w:rPr>
          <w:rFonts w:asciiTheme="majorBidi" w:hAnsiTheme="majorBidi" w:cstheme="majorBidi"/>
          <w:lang w:val="en-US"/>
        </w:rPr>
        <w:t>utusan Mahkamah Konstitusi Nomor 65/PUU-VIII/2010, ketentuan dalam Kitab Undang-Undang Hukum Acara Pidana (KUHAP) secara tegas mensyaratkan bahwa seorang saksi harus memiliki pengalaman langsung terhadap suatu peristiwa pidana. Dengan kata lain, keterangan saksi harus bersumber dari pengamatan</w:t>
      </w:r>
      <w:r>
        <w:rPr>
          <w:rFonts w:asciiTheme="majorBidi" w:hAnsiTheme="majorBidi" w:cstheme="majorBidi"/>
          <w:lang w:val="en-US"/>
        </w:rPr>
        <w:t xml:space="preserve"> sendiri</w:t>
      </w:r>
      <w:r w:rsidRPr="003B76C6">
        <w:rPr>
          <w:rFonts w:asciiTheme="majorBidi" w:hAnsiTheme="majorBidi" w:cstheme="majorBidi"/>
          <w:lang w:val="en-US"/>
        </w:rPr>
        <w:t xml:space="preserve"> yang diperoleh secara langsung melalui penglihatan, pendengaran, atau pengalaman pribadi.</w:t>
      </w:r>
      <w:r>
        <w:rPr>
          <w:rFonts w:asciiTheme="majorBidi" w:hAnsiTheme="majorBidi" w:cstheme="majorBidi"/>
          <w:lang w:val="en-US"/>
        </w:rPr>
        <w:t xml:space="preserve"> </w:t>
      </w:r>
      <w:r w:rsidRPr="00CB082F">
        <w:rPr>
          <w:rFonts w:asciiTheme="majorBidi" w:hAnsiTheme="majorBidi" w:cstheme="majorBidi"/>
          <w:lang w:val="en-US"/>
        </w:rPr>
        <w:t>Namun,</w:t>
      </w:r>
      <w:r w:rsidRPr="00BB7196">
        <w:t xml:space="preserve"> </w:t>
      </w:r>
      <w:r w:rsidR="000816A7">
        <w:rPr>
          <w:rFonts w:asciiTheme="majorBidi" w:hAnsiTheme="majorBidi" w:cstheme="majorBidi"/>
        </w:rPr>
        <w:t>s</w:t>
      </w:r>
      <w:r w:rsidRPr="00BB7196">
        <w:rPr>
          <w:rFonts w:asciiTheme="majorBidi" w:hAnsiTheme="majorBidi" w:cstheme="majorBidi"/>
        </w:rPr>
        <w:t>istem peradilan pidana di Indonesia seringkali dihadapkan pada kompleksitas pembuktian, terutama dalam perkara yang melibatkan jumlah saksi yang terbatas</w:t>
      </w:r>
      <w:r w:rsidRPr="003B76C6">
        <w:rPr>
          <w:rFonts w:asciiTheme="majorBidi" w:hAnsiTheme="majorBidi" w:cstheme="majorBidi"/>
        </w:rPr>
        <w:t>. Keterbatasan jumlah saksi yang memiliki pengetahuan langsung tentang peristiwa pidana, termasuk kasus-kasus yang hanya melibatkan korban dan terdakwa, menjadi kendala dalam mengumpulkan bukti yang cukup untuk membuktikan suatu peristiwa pidana.</w:t>
      </w:r>
    </w:p>
    <w:p w14:paraId="4DA198D6" w14:textId="4DF5F93F" w:rsidR="008D372B" w:rsidRDefault="008D372B" w:rsidP="00A42310">
      <w:pPr>
        <w:spacing w:line="276" w:lineRule="auto"/>
        <w:ind w:left="284" w:firstLine="567"/>
        <w:jc w:val="both"/>
        <w:rPr>
          <w:rFonts w:asciiTheme="majorBidi" w:hAnsiTheme="majorBidi" w:cstheme="majorBidi"/>
        </w:rPr>
      </w:pPr>
      <w:r>
        <w:rPr>
          <w:rFonts w:asciiTheme="majorBidi" w:hAnsiTheme="majorBidi" w:cstheme="majorBidi"/>
          <w:lang w:val="en-US"/>
        </w:rPr>
        <w:t>P</w:t>
      </w:r>
      <w:r w:rsidRPr="00CB082F">
        <w:rPr>
          <w:rFonts w:asciiTheme="majorBidi" w:hAnsiTheme="majorBidi" w:cstheme="majorBidi"/>
          <w:lang w:val="en-US"/>
        </w:rPr>
        <w:t>utusan Mahkamah Konstitusi Nomor 65/PUU-VIII/2010,</w:t>
      </w:r>
      <w:r w:rsidR="00E04D7A">
        <w:rPr>
          <w:lang w:val="en-US"/>
        </w:rPr>
        <w:t xml:space="preserve"> </w:t>
      </w:r>
      <w:r w:rsidR="00E04D7A">
        <w:rPr>
          <w:rFonts w:asciiTheme="majorBidi" w:hAnsiTheme="majorBidi" w:cstheme="majorBidi"/>
          <w:lang w:val="en-US"/>
        </w:rPr>
        <w:t xml:space="preserve">memberikan </w:t>
      </w:r>
      <w:r w:rsidR="000816A7">
        <w:rPr>
          <w:rFonts w:asciiTheme="majorBidi" w:hAnsiTheme="majorBidi" w:cstheme="majorBidi"/>
        </w:rPr>
        <w:t>p</w:t>
      </w:r>
      <w:r w:rsidRPr="0017187F">
        <w:rPr>
          <w:rFonts w:asciiTheme="majorBidi" w:hAnsiTheme="majorBidi" w:cstheme="majorBidi"/>
        </w:rPr>
        <w:t>erubahan signifikan terjadi dalam aturan pembuktian dalam perkara pidana</w:t>
      </w:r>
      <w:r w:rsidR="00E04D7A">
        <w:rPr>
          <w:rFonts w:asciiTheme="majorBidi" w:hAnsiTheme="majorBidi" w:cstheme="majorBidi"/>
        </w:rPr>
        <w:t xml:space="preserve">. </w:t>
      </w:r>
      <w:r w:rsidRPr="0017187F">
        <w:rPr>
          <w:rFonts w:asciiTheme="majorBidi" w:hAnsiTheme="majorBidi" w:cstheme="majorBidi"/>
        </w:rPr>
        <w:t xml:space="preserve">Definisi saksi yang semula sangat ketat, kini telah dilonggarkan. Hal ini memungkinkan penerimaan keterangan saksi yang tidak hanya </w:t>
      </w:r>
      <w:r w:rsidRPr="0017187F">
        <w:rPr>
          <w:rFonts w:asciiTheme="majorBidi" w:hAnsiTheme="majorBidi" w:cstheme="majorBidi"/>
        </w:rPr>
        <w:lastRenderedPageBreak/>
        <w:t>berdasarkan pengalaman langsung, melainkan juga pada informasi yang diperoleh dari sumber lain</w:t>
      </w:r>
      <w:r w:rsidRPr="00CB082F">
        <w:rPr>
          <w:rFonts w:asciiTheme="majorBidi" w:hAnsiTheme="majorBidi" w:cstheme="majorBidi"/>
          <w:lang w:val="en-US"/>
        </w:rPr>
        <w:t>.</w:t>
      </w:r>
      <w:r>
        <w:rPr>
          <w:rFonts w:asciiTheme="majorBidi" w:hAnsiTheme="majorBidi" w:cstheme="majorBidi"/>
          <w:lang w:val="en-US"/>
        </w:rPr>
        <w:t xml:space="preserve"> </w:t>
      </w:r>
      <w:r w:rsidRPr="00DF5F2B">
        <w:rPr>
          <w:rFonts w:asciiTheme="majorBidi" w:hAnsiTheme="majorBidi" w:cstheme="majorBidi"/>
        </w:rPr>
        <w:t xml:space="preserve">Putusan Mahkamah Konstitusi tersebut mengindikasikan adanya </w:t>
      </w:r>
      <w:r w:rsidR="0033664E">
        <w:rPr>
          <w:rFonts w:asciiTheme="majorBidi" w:hAnsiTheme="majorBidi" w:cstheme="majorBidi"/>
        </w:rPr>
        <w:t xml:space="preserve">upaya </w:t>
      </w:r>
      <w:r w:rsidRPr="00DF5F2B">
        <w:rPr>
          <w:rFonts w:asciiTheme="majorBidi" w:hAnsiTheme="majorBidi" w:cstheme="majorBidi"/>
        </w:rPr>
        <w:t xml:space="preserve">perluasan </w:t>
      </w:r>
      <w:r w:rsidR="0033664E">
        <w:rPr>
          <w:rFonts w:asciiTheme="majorBidi" w:hAnsiTheme="majorBidi" w:cstheme="majorBidi"/>
        </w:rPr>
        <w:t xml:space="preserve">ruang lingkup </w:t>
      </w:r>
      <w:r w:rsidRPr="00DF5F2B">
        <w:rPr>
          <w:rFonts w:asciiTheme="majorBidi" w:hAnsiTheme="majorBidi" w:cstheme="majorBidi"/>
        </w:rPr>
        <w:t xml:space="preserve">penerimaan alat bukti dalam proses peradilan pidana. </w:t>
      </w:r>
    </w:p>
    <w:p w14:paraId="3954BBE8" w14:textId="2E7EA5E6" w:rsidR="006E4E41" w:rsidRDefault="008D372B" w:rsidP="00A42310">
      <w:pPr>
        <w:spacing w:line="276" w:lineRule="auto"/>
        <w:ind w:left="284" w:firstLine="567"/>
        <w:jc w:val="both"/>
      </w:pPr>
      <w:r w:rsidRPr="00DA3243">
        <w:rPr>
          <w:rFonts w:asciiTheme="majorBidi" w:hAnsiTheme="majorBidi" w:cstheme="majorBidi"/>
        </w:rPr>
        <w:t>Konsep saksi dalam</w:t>
      </w:r>
      <w:r>
        <w:rPr>
          <w:rFonts w:asciiTheme="majorBidi" w:hAnsiTheme="majorBidi" w:cstheme="majorBidi"/>
        </w:rPr>
        <w:t xml:space="preserve"> </w:t>
      </w:r>
      <w:r w:rsidR="00E04D7A">
        <w:rPr>
          <w:rFonts w:asciiTheme="majorBidi" w:hAnsiTheme="majorBidi" w:cstheme="majorBidi"/>
        </w:rPr>
        <w:t xml:space="preserve">Kitab Undang-Undang Hukum Acara Pidana </w:t>
      </w:r>
      <w:r w:rsidRPr="00DA3243">
        <w:rPr>
          <w:rFonts w:asciiTheme="majorBidi" w:hAnsiTheme="majorBidi" w:cstheme="majorBidi"/>
        </w:rPr>
        <w:t>(KUHAP) mengalami perkembangan yang signifikan seiring dengan putusan Mahkamah Konstitusi. Hal ini berbeda dengan konsep</w:t>
      </w:r>
      <w:r w:rsidR="00CA04C8">
        <w:rPr>
          <w:rFonts w:asciiTheme="majorBidi" w:hAnsiTheme="majorBidi" w:cstheme="majorBidi"/>
        </w:rPr>
        <w:t xml:space="preserve"> saksi</w:t>
      </w:r>
      <w:r w:rsidRPr="00DA3243">
        <w:rPr>
          <w:rFonts w:asciiTheme="majorBidi" w:hAnsiTheme="majorBidi" w:cstheme="majorBidi"/>
        </w:rPr>
        <w:t xml:space="preserve"> dalam </w:t>
      </w:r>
      <w:r>
        <w:rPr>
          <w:rFonts w:asciiTheme="majorBidi" w:hAnsiTheme="majorBidi" w:cstheme="majorBidi"/>
        </w:rPr>
        <w:t xml:space="preserve">Qanun </w:t>
      </w:r>
      <w:r w:rsidR="00595141" w:rsidRPr="00DA3243">
        <w:rPr>
          <w:rFonts w:asciiTheme="majorBidi" w:hAnsiTheme="majorBidi" w:cstheme="majorBidi"/>
        </w:rPr>
        <w:t>Hukum Acara</w:t>
      </w:r>
      <w:r w:rsidR="00595141">
        <w:rPr>
          <w:rFonts w:asciiTheme="majorBidi" w:hAnsiTheme="majorBidi" w:cstheme="majorBidi"/>
        </w:rPr>
        <w:t xml:space="preserve"> Jinayat</w:t>
      </w:r>
      <w:r w:rsidR="000816A7">
        <w:rPr>
          <w:rFonts w:asciiTheme="majorBidi" w:hAnsiTheme="majorBidi" w:cstheme="majorBidi"/>
        </w:rPr>
        <w:t xml:space="preserve"> </w:t>
      </w:r>
      <w:r w:rsidRPr="00DA3243">
        <w:rPr>
          <w:rFonts w:asciiTheme="majorBidi" w:hAnsiTheme="majorBidi" w:cstheme="majorBidi"/>
        </w:rPr>
        <w:t>(</w:t>
      </w:r>
      <w:r>
        <w:rPr>
          <w:rFonts w:asciiTheme="majorBidi" w:hAnsiTheme="majorBidi" w:cstheme="majorBidi"/>
        </w:rPr>
        <w:t>QHAJ</w:t>
      </w:r>
      <w:r w:rsidRPr="00DA3243">
        <w:rPr>
          <w:rFonts w:asciiTheme="majorBidi" w:hAnsiTheme="majorBidi" w:cstheme="majorBidi"/>
        </w:rPr>
        <w:t>) yang memiliki pengertian yang lebih ketat,</w:t>
      </w:r>
      <w:r w:rsidR="00587115">
        <w:rPr>
          <w:rFonts w:asciiTheme="majorBidi" w:hAnsiTheme="majorBidi" w:cstheme="majorBidi"/>
        </w:rPr>
        <w:t xml:space="preserve"> QHAJ</w:t>
      </w:r>
      <w:r w:rsidR="00587115">
        <w:rPr>
          <w:rFonts w:asciiTheme="majorBidi" w:hAnsiTheme="majorBidi" w:cstheme="majorBidi"/>
          <w:lang w:val="en-US"/>
        </w:rPr>
        <w:t xml:space="preserve"> mendefinis</w:t>
      </w:r>
      <w:r w:rsidR="00EE1704">
        <w:rPr>
          <w:rFonts w:asciiTheme="majorBidi" w:hAnsiTheme="majorBidi" w:cstheme="majorBidi"/>
          <w:lang w:val="en-US"/>
        </w:rPr>
        <w:t>i</w:t>
      </w:r>
      <w:r w:rsidR="00587115">
        <w:rPr>
          <w:rFonts w:asciiTheme="majorBidi" w:hAnsiTheme="majorBidi" w:cstheme="majorBidi"/>
          <w:lang w:val="en-US"/>
        </w:rPr>
        <w:t xml:space="preserve">kan kesaksian </w:t>
      </w:r>
      <w:r w:rsidR="00587115" w:rsidRPr="00CB082F">
        <w:rPr>
          <w:rFonts w:asciiTheme="majorBidi" w:hAnsiTheme="majorBidi" w:cstheme="majorBidi"/>
          <w:lang w:val="en-US"/>
        </w:rPr>
        <w:t xml:space="preserve">sebagai </w:t>
      </w:r>
      <w:r w:rsidR="00587115" w:rsidRPr="00CA04C8">
        <w:rPr>
          <w:rFonts w:asciiTheme="majorBidi" w:hAnsiTheme="majorBidi" w:cstheme="majorBidi"/>
        </w:rPr>
        <w:t>orang yang dapat memberikan keterangan guna kepentingan penyidikan, penuntutan dan peradilan tentang suatu perkara pidana yang ia dengar sendiri, ia lihat sendiri dan ia alami sendiri</w:t>
      </w:r>
      <w:r w:rsidRPr="00DA3243">
        <w:rPr>
          <w:rFonts w:asciiTheme="majorBidi" w:hAnsiTheme="majorBidi" w:cstheme="majorBidi"/>
        </w:rPr>
        <w:t>.</w:t>
      </w:r>
      <w:r w:rsidR="006E4E41">
        <w:rPr>
          <w:rStyle w:val="FootnoteReference"/>
          <w:rFonts w:asciiTheme="majorBidi" w:hAnsiTheme="majorBidi" w:cstheme="majorBidi"/>
        </w:rPr>
        <w:footnoteReference w:id="10"/>
      </w:r>
      <w:r w:rsidR="00587115">
        <w:rPr>
          <w:rFonts w:asciiTheme="majorBidi" w:hAnsiTheme="majorBidi" w:cstheme="majorBidi"/>
        </w:rPr>
        <w:t xml:space="preserve"> </w:t>
      </w:r>
      <w:r w:rsidR="00CA04C8">
        <w:rPr>
          <w:rFonts w:asciiTheme="majorBidi" w:hAnsiTheme="majorBidi" w:cstheme="majorBidi"/>
        </w:rPr>
        <w:t xml:space="preserve">Dalam istilah bahasa Arab </w:t>
      </w:r>
      <w:r w:rsidR="00587115">
        <w:rPr>
          <w:rFonts w:asciiTheme="majorBidi" w:hAnsiTheme="majorBidi" w:cstheme="majorBidi"/>
        </w:rPr>
        <w:t>ke</w:t>
      </w:r>
      <w:r w:rsidR="00CA04C8">
        <w:rPr>
          <w:rFonts w:asciiTheme="majorBidi" w:hAnsiTheme="majorBidi" w:cstheme="majorBidi"/>
        </w:rPr>
        <w:t>saksi</w:t>
      </w:r>
      <w:r w:rsidR="00587115">
        <w:rPr>
          <w:rFonts w:asciiTheme="majorBidi" w:hAnsiTheme="majorBidi" w:cstheme="majorBidi"/>
        </w:rPr>
        <w:t>an</w:t>
      </w:r>
      <w:r w:rsidR="00CA04C8">
        <w:rPr>
          <w:rFonts w:asciiTheme="majorBidi" w:hAnsiTheme="majorBidi" w:cstheme="majorBidi"/>
        </w:rPr>
        <w:t xml:space="preserve"> disebut sebagai </w:t>
      </w:r>
      <w:r w:rsidR="00CA04C8" w:rsidRPr="00CA04C8">
        <w:rPr>
          <w:rFonts w:asciiTheme="majorBidi" w:hAnsiTheme="majorBidi" w:cstheme="majorBidi"/>
          <w:i/>
          <w:iCs/>
        </w:rPr>
        <w:t>syahadah</w:t>
      </w:r>
      <w:r w:rsidR="00CA04C8">
        <w:rPr>
          <w:rFonts w:asciiTheme="majorBidi" w:hAnsiTheme="majorBidi" w:cstheme="majorBidi"/>
        </w:rPr>
        <w:t xml:space="preserve"> yang </w:t>
      </w:r>
      <w:r w:rsidRPr="00CB082F">
        <w:rPr>
          <w:rFonts w:asciiTheme="majorBidi" w:hAnsiTheme="majorBidi" w:cstheme="majorBidi"/>
          <w:lang w:val="en-US"/>
        </w:rPr>
        <w:t>arti</w:t>
      </w:r>
      <w:r w:rsidR="00CA04C8">
        <w:rPr>
          <w:rFonts w:asciiTheme="majorBidi" w:hAnsiTheme="majorBidi" w:cstheme="majorBidi"/>
          <w:lang w:val="en-US"/>
        </w:rPr>
        <w:t>nya</w:t>
      </w:r>
      <w:r>
        <w:rPr>
          <w:rFonts w:asciiTheme="majorBidi" w:hAnsiTheme="majorBidi" w:cstheme="majorBidi"/>
          <w:lang w:val="en-US"/>
        </w:rPr>
        <w:t xml:space="preserve"> </w:t>
      </w:r>
      <w:r w:rsidRPr="00CB082F">
        <w:rPr>
          <w:rFonts w:asciiTheme="majorBidi" w:hAnsiTheme="majorBidi" w:cstheme="majorBidi"/>
          <w:lang w:val="en-US"/>
        </w:rPr>
        <w:t xml:space="preserve">pernyataan yang pasti atau pemberitahuan yang akurat. </w:t>
      </w:r>
      <w:r w:rsidRPr="00CB082F">
        <w:rPr>
          <w:rFonts w:asciiTheme="majorBidi" w:hAnsiTheme="majorBidi" w:cstheme="majorBidi"/>
          <w:i/>
          <w:iCs/>
          <w:lang w:val="en-US"/>
        </w:rPr>
        <w:t>Syahada</w:t>
      </w:r>
      <w:r w:rsidR="006E4E41">
        <w:rPr>
          <w:rFonts w:asciiTheme="majorBidi" w:hAnsiTheme="majorBidi" w:cstheme="majorBidi"/>
          <w:i/>
          <w:iCs/>
          <w:lang w:val="en-US"/>
        </w:rPr>
        <w:t>h</w:t>
      </w:r>
      <w:r w:rsidRPr="00CB082F">
        <w:rPr>
          <w:rFonts w:asciiTheme="majorBidi" w:hAnsiTheme="majorBidi" w:cstheme="majorBidi"/>
          <w:lang w:val="en-US"/>
        </w:rPr>
        <w:t xml:space="preserve"> adalah pernyataan informasi yang diperoleh melalui pengalaman langsung, yang dapat didengar, dilihat, atau dirasakan pada suatu peristiwa.</w:t>
      </w:r>
      <w:r w:rsidRPr="00CB082F">
        <w:rPr>
          <w:rStyle w:val="FootnoteReference"/>
          <w:rFonts w:asciiTheme="majorBidi" w:hAnsiTheme="majorBidi" w:cstheme="majorBidi"/>
          <w:lang w:val="en-US"/>
        </w:rPr>
        <w:footnoteReference w:id="11"/>
      </w:r>
      <w:r w:rsidRPr="00CB082F">
        <w:rPr>
          <w:rFonts w:asciiTheme="majorBidi" w:hAnsiTheme="majorBidi" w:cstheme="majorBidi"/>
          <w:lang w:val="en-US"/>
        </w:rPr>
        <w:t xml:space="preserve"> </w:t>
      </w:r>
    </w:p>
    <w:p w14:paraId="4B712F75" w14:textId="34D3B999" w:rsidR="008D372B" w:rsidRPr="00CB082F" w:rsidRDefault="00587115" w:rsidP="00A42310">
      <w:pPr>
        <w:spacing w:line="276" w:lineRule="auto"/>
        <w:ind w:left="284" w:firstLine="567"/>
        <w:jc w:val="both"/>
        <w:rPr>
          <w:rFonts w:asciiTheme="majorBidi" w:hAnsiTheme="majorBidi" w:cstheme="majorBidi"/>
          <w:lang w:val="en-US"/>
        </w:rPr>
      </w:pPr>
      <w:r>
        <w:rPr>
          <w:rFonts w:asciiTheme="majorBidi" w:hAnsiTheme="majorBidi" w:cstheme="majorBidi"/>
        </w:rPr>
        <w:t>K</w:t>
      </w:r>
      <w:r w:rsidR="008D372B" w:rsidRPr="00AA126A">
        <w:rPr>
          <w:rFonts w:asciiTheme="majorBidi" w:hAnsiTheme="majorBidi" w:cstheme="majorBidi"/>
        </w:rPr>
        <w:t>esaksian</w:t>
      </w:r>
      <w:r>
        <w:rPr>
          <w:rFonts w:asciiTheme="majorBidi" w:hAnsiTheme="majorBidi" w:cstheme="majorBidi"/>
        </w:rPr>
        <w:t>/</w:t>
      </w:r>
      <w:r w:rsidR="008D372B" w:rsidRPr="00AA126A">
        <w:rPr>
          <w:rFonts w:asciiTheme="majorBidi" w:hAnsiTheme="majorBidi" w:cstheme="majorBidi"/>
          <w:i/>
          <w:iCs/>
        </w:rPr>
        <w:t>syahadah</w:t>
      </w:r>
      <w:r>
        <w:rPr>
          <w:rFonts w:asciiTheme="majorBidi" w:hAnsiTheme="majorBidi" w:cstheme="majorBidi"/>
        </w:rPr>
        <w:t xml:space="preserve"> </w:t>
      </w:r>
      <w:r w:rsidR="008D372B" w:rsidRPr="00AA126A">
        <w:rPr>
          <w:rFonts w:asciiTheme="majorBidi" w:hAnsiTheme="majorBidi" w:cstheme="majorBidi"/>
        </w:rPr>
        <w:t>memiliki kedudukan yang sangat penting sebagai alat bukti. Namun, Islam mensyaratkan bahwa kesaksian harus didasarkan pada pengetahuan yang pasti dan diperoleh secara langsung melalui panca indra.</w:t>
      </w:r>
      <w:r w:rsidR="008D372B">
        <w:rPr>
          <w:rStyle w:val="FootnoteReference"/>
          <w:rFonts w:asciiTheme="majorBidi" w:hAnsiTheme="majorBidi" w:cstheme="majorBidi"/>
        </w:rPr>
        <w:footnoteReference w:id="12"/>
      </w:r>
      <w:r w:rsidR="008D372B">
        <w:rPr>
          <w:rFonts w:asciiTheme="majorBidi" w:hAnsiTheme="majorBidi" w:cstheme="majorBidi"/>
        </w:rPr>
        <w:t xml:space="preserve"> </w:t>
      </w:r>
      <w:r w:rsidR="008D372B" w:rsidRPr="00AA126A">
        <w:rPr>
          <w:rFonts w:asciiTheme="majorBidi" w:hAnsiTheme="majorBidi" w:cstheme="majorBidi"/>
        </w:rPr>
        <w:t xml:space="preserve">Al-Qur'an </w:t>
      </w:r>
      <w:r w:rsidR="008D372B" w:rsidRPr="00AA126A">
        <w:rPr>
          <w:rFonts w:asciiTheme="majorBidi" w:hAnsiTheme="majorBidi" w:cstheme="majorBidi"/>
        </w:rPr>
        <w:lastRenderedPageBreak/>
        <w:t>dengan tegas melarang seseorang untuk memberikan kesaksian tentang hal-hal yang tidak diketahuinya secara pasti</w:t>
      </w:r>
      <w:r w:rsidR="008D372B" w:rsidRPr="00CB082F">
        <w:rPr>
          <w:rFonts w:asciiTheme="majorBidi" w:hAnsiTheme="majorBidi" w:cstheme="majorBidi"/>
          <w:lang w:val="en-US"/>
        </w:rPr>
        <w:t>, sebagaimana firman Allah SWT:</w:t>
      </w:r>
      <w:r w:rsidR="008D372B" w:rsidRPr="00CB082F">
        <w:rPr>
          <w:rStyle w:val="FootnoteReference"/>
          <w:rFonts w:asciiTheme="majorBidi" w:hAnsiTheme="majorBidi" w:cstheme="majorBidi"/>
          <w:lang w:val="en-US"/>
        </w:rPr>
        <w:footnoteReference w:id="13"/>
      </w:r>
      <w:r w:rsidR="008D372B" w:rsidRPr="00CB082F">
        <w:rPr>
          <w:rFonts w:asciiTheme="majorBidi" w:hAnsiTheme="majorBidi" w:cstheme="majorBidi"/>
          <w:lang w:val="en-US"/>
        </w:rPr>
        <w:t xml:space="preserve"> </w:t>
      </w:r>
    </w:p>
    <w:p w14:paraId="50367844" w14:textId="77777777" w:rsidR="008D372B" w:rsidRDefault="008D372B" w:rsidP="003E434D">
      <w:pPr>
        <w:spacing w:line="240" w:lineRule="auto"/>
        <w:ind w:left="1134"/>
        <w:jc w:val="right"/>
        <w:rPr>
          <w:rFonts w:ascii="Traditional Arabic" w:hAnsi="Traditional Arabic" w:cs="Traditional Arabic"/>
          <w:sz w:val="32"/>
          <w:szCs w:val="32"/>
          <w:lang w:val="en-US"/>
        </w:rPr>
      </w:pPr>
      <w:r w:rsidRPr="008C405E">
        <w:rPr>
          <w:rFonts w:ascii="Traditional Arabic" w:hAnsi="Traditional Arabic" w:cs="Traditional Arabic"/>
          <w:sz w:val="32"/>
          <w:szCs w:val="32"/>
          <w:rtl/>
          <w:lang w:val="en-US"/>
        </w:rPr>
        <w:t xml:space="preserve">وَلَا تَقْفُ مَا لَيْسَ لَكَ بِه </w:t>
      </w:r>
      <w:r w:rsidRPr="008C405E">
        <w:rPr>
          <w:rFonts w:ascii="Traditional Arabic" w:hAnsi="Traditional Arabic" w:cs="Traditional Arabic" w:hint="cs"/>
          <w:sz w:val="32"/>
          <w:szCs w:val="32"/>
          <w:rtl/>
          <w:lang w:val="en-US"/>
        </w:rPr>
        <w:t>عِلْمٌ</w:t>
      </w:r>
      <w:r w:rsidRPr="008C405E">
        <w:rPr>
          <w:rFonts w:ascii="Traditional Arabic" w:hAnsi="Traditional Arabic" w:cs="Traditional Arabic"/>
          <w:sz w:val="32"/>
          <w:szCs w:val="32"/>
          <w:rtl/>
          <w:lang w:val="en-US"/>
        </w:rPr>
        <w:t xml:space="preserve"> </w:t>
      </w:r>
      <w:r w:rsidRPr="008C405E">
        <w:rPr>
          <w:rFonts w:ascii="Traditional Arabic" w:hAnsi="Traditional Arabic" w:cs="Traditional Arabic" w:hint="cs"/>
          <w:sz w:val="32"/>
          <w:szCs w:val="32"/>
          <w:rtl/>
          <w:lang w:val="en-US"/>
        </w:rPr>
        <w:t>ۗاِنَّ</w:t>
      </w:r>
      <w:r w:rsidRPr="008C405E">
        <w:rPr>
          <w:rFonts w:ascii="Traditional Arabic" w:hAnsi="Traditional Arabic" w:cs="Traditional Arabic"/>
          <w:sz w:val="32"/>
          <w:szCs w:val="32"/>
          <w:rtl/>
          <w:lang w:val="en-US"/>
        </w:rPr>
        <w:t xml:space="preserve"> </w:t>
      </w:r>
      <w:r w:rsidRPr="008C405E">
        <w:rPr>
          <w:rFonts w:ascii="Traditional Arabic" w:hAnsi="Traditional Arabic" w:cs="Traditional Arabic" w:hint="cs"/>
          <w:sz w:val="32"/>
          <w:szCs w:val="32"/>
          <w:rtl/>
          <w:lang w:val="en-US"/>
        </w:rPr>
        <w:t>السَّمْعَ</w:t>
      </w:r>
      <w:r w:rsidRPr="008C405E">
        <w:rPr>
          <w:rFonts w:ascii="Traditional Arabic" w:hAnsi="Traditional Arabic" w:cs="Traditional Arabic"/>
          <w:sz w:val="32"/>
          <w:szCs w:val="32"/>
          <w:rtl/>
          <w:lang w:val="en-US"/>
        </w:rPr>
        <w:t xml:space="preserve"> </w:t>
      </w:r>
      <w:r w:rsidRPr="008C405E">
        <w:rPr>
          <w:rFonts w:ascii="Traditional Arabic" w:hAnsi="Traditional Arabic" w:cs="Traditional Arabic" w:hint="cs"/>
          <w:sz w:val="32"/>
          <w:szCs w:val="32"/>
          <w:rtl/>
          <w:lang w:val="en-US"/>
        </w:rPr>
        <w:t>وَالْبَصَرَ</w:t>
      </w:r>
      <w:r w:rsidRPr="008C405E">
        <w:rPr>
          <w:rFonts w:ascii="Traditional Arabic" w:hAnsi="Traditional Arabic" w:cs="Traditional Arabic"/>
          <w:sz w:val="32"/>
          <w:szCs w:val="32"/>
          <w:rtl/>
          <w:lang w:val="en-US"/>
        </w:rPr>
        <w:t xml:space="preserve"> </w:t>
      </w:r>
      <w:r w:rsidRPr="008C405E">
        <w:rPr>
          <w:rFonts w:ascii="Traditional Arabic" w:hAnsi="Traditional Arabic" w:cs="Traditional Arabic" w:hint="cs"/>
          <w:sz w:val="32"/>
          <w:szCs w:val="32"/>
          <w:rtl/>
          <w:lang w:val="en-US"/>
        </w:rPr>
        <w:t>وَالْفُؤَادَ</w:t>
      </w:r>
      <w:r w:rsidRPr="008C405E">
        <w:rPr>
          <w:rFonts w:ascii="Traditional Arabic" w:hAnsi="Traditional Arabic" w:cs="Traditional Arabic"/>
          <w:sz w:val="32"/>
          <w:szCs w:val="32"/>
          <w:rtl/>
          <w:lang w:val="en-US"/>
        </w:rPr>
        <w:t xml:space="preserve"> </w:t>
      </w:r>
      <w:r w:rsidRPr="008C405E">
        <w:rPr>
          <w:rFonts w:ascii="Traditional Arabic" w:hAnsi="Traditional Arabic" w:cs="Traditional Arabic" w:hint="cs"/>
          <w:sz w:val="32"/>
          <w:szCs w:val="32"/>
          <w:rtl/>
          <w:lang w:val="en-US"/>
        </w:rPr>
        <w:t>كُلُّ</w:t>
      </w:r>
      <w:r w:rsidRPr="008C405E">
        <w:rPr>
          <w:rFonts w:ascii="Traditional Arabic" w:hAnsi="Traditional Arabic" w:cs="Traditional Arabic"/>
          <w:sz w:val="32"/>
          <w:szCs w:val="32"/>
          <w:rtl/>
          <w:lang w:val="en-US"/>
        </w:rPr>
        <w:t xml:space="preserve"> </w:t>
      </w:r>
      <w:r w:rsidRPr="008C405E">
        <w:rPr>
          <w:rFonts w:ascii="Traditional Arabic" w:hAnsi="Traditional Arabic" w:cs="Traditional Arabic" w:hint="cs"/>
          <w:sz w:val="32"/>
          <w:szCs w:val="32"/>
          <w:rtl/>
          <w:lang w:val="en-US"/>
        </w:rPr>
        <w:t>اُولٰۤىِٕكَ</w:t>
      </w:r>
      <w:r w:rsidRPr="008C405E">
        <w:rPr>
          <w:rFonts w:ascii="Traditional Arabic" w:hAnsi="Traditional Arabic" w:cs="Traditional Arabic"/>
          <w:sz w:val="32"/>
          <w:szCs w:val="32"/>
          <w:rtl/>
          <w:lang w:val="en-US"/>
        </w:rPr>
        <w:t xml:space="preserve"> </w:t>
      </w:r>
      <w:r w:rsidRPr="008C405E">
        <w:rPr>
          <w:rFonts w:ascii="Traditional Arabic" w:hAnsi="Traditional Arabic" w:cs="Traditional Arabic" w:hint="cs"/>
          <w:sz w:val="32"/>
          <w:szCs w:val="32"/>
          <w:rtl/>
          <w:lang w:val="en-US"/>
        </w:rPr>
        <w:t>كَانَ</w:t>
      </w:r>
      <w:r w:rsidRPr="008C405E">
        <w:rPr>
          <w:rFonts w:ascii="Traditional Arabic" w:hAnsi="Traditional Arabic" w:cs="Traditional Arabic"/>
          <w:sz w:val="32"/>
          <w:szCs w:val="32"/>
          <w:rtl/>
          <w:lang w:val="en-US"/>
        </w:rPr>
        <w:t xml:space="preserve"> </w:t>
      </w:r>
      <w:r w:rsidRPr="008C405E">
        <w:rPr>
          <w:rFonts w:ascii="Traditional Arabic" w:hAnsi="Traditional Arabic" w:cs="Traditional Arabic" w:hint="cs"/>
          <w:sz w:val="32"/>
          <w:szCs w:val="32"/>
          <w:rtl/>
          <w:lang w:val="en-US"/>
        </w:rPr>
        <w:t>عَنْهُ</w:t>
      </w:r>
      <w:r w:rsidRPr="008C405E">
        <w:rPr>
          <w:rFonts w:ascii="Traditional Arabic" w:hAnsi="Traditional Arabic" w:cs="Traditional Arabic"/>
          <w:sz w:val="32"/>
          <w:szCs w:val="32"/>
          <w:rtl/>
          <w:lang w:val="en-US"/>
        </w:rPr>
        <w:t xml:space="preserve"> </w:t>
      </w:r>
      <w:r w:rsidRPr="008C405E">
        <w:rPr>
          <w:rFonts w:ascii="Traditional Arabic" w:hAnsi="Traditional Arabic" w:cs="Traditional Arabic" w:hint="cs"/>
          <w:sz w:val="32"/>
          <w:szCs w:val="32"/>
          <w:rtl/>
          <w:lang w:val="en-US"/>
        </w:rPr>
        <w:t>مَسْـُٔوْلًا</w:t>
      </w:r>
    </w:p>
    <w:p w14:paraId="0868D268" w14:textId="50ABAB07" w:rsidR="007E3EAF" w:rsidRDefault="008D372B" w:rsidP="007E3EAF">
      <w:pPr>
        <w:spacing w:line="240" w:lineRule="auto"/>
        <w:ind w:left="1134"/>
        <w:jc w:val="both"/>
        <w:rPr>
          <w:rFonts w:asciiTheme="majorBidi" w:hAnsiTheme="majorBidi" w:cstheme="majorBidi"/>
          <w:lang w:val="en-US"/>
        </w:rPr>
      </w:pPr>
      <w:r w:rsidRPr="00CB082F">
        <w:rPr>
          <w:rFonts w:asciiTheme="majorBidi" w:hAnsiTheme="majorBidi" w:cstheme="majorBidi"/>
          <w:lang w:val="en-US"/>
        </w:rPr>
        <w:t>“</w:t>
      </w:r>
      <w:r w:rsidRPr="00CB082F">
        <w:rPr>
          <w:rFonts w:asciiTheme="majorBidi" w:hAnsiTheme="majorBidi" w:cstheme="majorBidi"/>
          <w:i/>
          <w:iCs/>
          <w:lang w:val="en-US"/>
        </w:rPr>
        <w:t>Dan janganlah kamu mengikuti apa yang kamu tidak mempunyai pengetahuan tentangnya. Sesungguhnya pendengaran, penglihatan dan hati, semuanya itu akan diminta pertanggungan jawabnya.”</w:t>
      </w:r>
      <w:r w:rsidR="002C6793">
        <w:rPr>
          <w:rFonts w:asciiTheme="majorBidi" w:hAnsiTheme="majorBidi" w:cstheme="majorBidi"/>
          <w:i/>
          <w:iCs/>
          <w:lang w:val="en-US"/>
        </w:rPr>
        <w:t xml:space="preserve"> </w:t>
      </w:r>
      <w:r w:rsidRPr="00595141">
        <w:rPr>
          <w:rFonts w:asciiTheme="majorBidi" w:hAnsiTheme="majorBidi" w:cstheme="majorBidi"/>
          <w:lang w:val="en-US"/>
        </w:rPr>
        <w:t xml:space="preserve">(Q.S Al </w:t>
      </w:r>
      <w:r w:rsidR="000816A7">
        <w:rPr>
          <w:rFonts w:asciiTheme="majorBidi" w:hAnsiTheme="majorBidi" w:cstheme="majorBidi"/>
          <w:lang w:val="en-US"/>
        </w:rPr>
        <w:t>I</w:t>
      </w:r>
      <w:r w:rsidRPr="00595141">
        <w:rPr>
          <w:rFonts w:asciiTheme="majorBidi" w:hAnsiTheme="majorBidi" w:cstheme="majorBidi"/>
          <w:lang w:val="en-US"/>
        </w:rPr>
        <w:t>sra’:36)</w:t>
      </w:r>
      <w:r w:rsidR="00463691">
        <w:rPr>
          <w:rStyle w:val="FootnoteReference"/>
          <w:rFonts w:asciiTheme="majorBidi" w:hAnsiTheme="majorBidi" w:cstheme="majorBidi"/>
          <w:lang w:val="en-US"/>
        </w:rPr>
        <w:footnoteReference w:id="14"/>
      </w:r>
    </w:p>
    <w:p w14:paraId="2A84D90E" w14:textId="77777777" w:rsidR="007E3EAF" w:rsidRPr="007E3EAF" w:rsidRDefault="007E3EAF" w:rsidP="007E3EAF">
      <w:pPr>
        <w:spacing w:line="240" w:lineRule="auto"/>
        <w:ind w:left="1134"/>
        <w:jc w:val="both"/>
        <w:rPr>
          <w:rFonts w:asciiTheme="majorBidi" w:hAnsiTheme="majorBidi" w:cstheme="majorBidi"/>
          <w:lang w:val="en-US"/>
        </w:rPr>
      </w:pPr>
    </w:p>
    <w:p w14:paraId="169AC8B5" w14:textId="586A7DCC" w:rsidR="008D372B" w:rsidRPr="00CB082F" w:rsidRDefault="002C6793" w:rsidP="00A42310">
      <w:pPr>
        <w:spacing w:line="276" w:lineRule="auto"/>
        <w:ind w:left="284" w:firstLine="567"/>
        <w:jc w:val="both"/>
        <w:rPr>
          <w:rFonts w:asciiTheme="majorBidi" w:hAnsiTheme="majorBidi" w:cstheme="majorBidi"/>
          <w:lang w:val="en-US"/>
        </w:rPr>
      </w:pPr>
      <w:r>
        <w:rPr>
          <w:rFonts w:asciiTheme="majorBidi" w:hAnsiTheme="majorBidi" w:cstheme="majorBidi"/>
          <w:lang w:val="en-US"/>
        </w:rPr>
        <w:t>Hukum</w:t>
      </w:r>
      <w:r w:rsidR="008D372B" w:rsidRPr="00CB082F">
        <w:rPr>
          <w:rFonts w:asciiTheme="majorBidi" w:hAnsiTheme="majorBidi" w:cstheme="majorBidi"/>
          <w:lang w:val="en-US"/>
        </w:rPr>
        <w:t xml:space="preserve"> Islam menetapkan persyaratan ketat bagi mereka yang ingin memberikan kesaksian, salah satunya adalah pengetahuan pasti tentang apa yang mereka saksikan.</w:t>
      </w:r>
      <w:r w:rsidR="008D372B" w:rsidRPr="00CF79FD">
        <w:t xml:space="preserve"> </w:t>
      </w:r>
      <w:r w:rsidR="008D372B" w:rsidRPr="00CF79FD">
        <w:rPr>
          <w:rFonts w:asciiTheme="majorBidi" w:hAnsiTheme="majorBidi" w:cstheme="majorBidi"/>
        </w:rPr>
        <w:t>Persyaratan yang harus dipenuhi oleh seorang saksi agar keterangannya dapat diterima secara hukum adalah sebagai berikut</w:t>
      </w:r>
      <w:r w:rsidR="008D372B" w:rsidRPr="00CB082F">
        <w:rPr>
          <w:rFonts w:asciiTheme="majorBidi" w:hAnsiTheme="majorBidi" w:cstheme="majorBidi"/>
          <w:lang w:val="en-US"/>
        </w:rPr>
        <w:t>:</w:t>
      </w:r>
      <w:r w:rsidR="008D372B" w:rsidRPr="00CB082F">
        <w:rPr>
          <w:rStyle w:val="FootnoteReference"/>
          <w:rFonts w:asciiTheme="majorBidi" w:hAnsiTheme="majorBidi" w:cstheme="majorBidi"/>
          <w:lang w:val="en-US"/>
        </w:rPr>
        <w:footnoteReference w:id="15"/>
      </w:r>
      <w:r w:rsidR="008D372B" w:rsidRPr="00CB082F">
        <w:rPr>
          <w:rFonts w:asciiTheme="majorBidi" w:hAnsiTheme="majorBidi" w:cstheme="majorBidi"/>
          <w:lang w:val="en-US"/>
        </w:rPr>
        <w:t xml:space="preserve"> </w:t>
      </w:r>
    </w:p>
    <w:p w14:paraId="4B127E3A" w14:textId="77777777" w:rsidR="008D372B" w:rsidRPr="00CB082F" w:rsidRDefault="008D372B" w:rsidP="00A42310">
      <w:pPr>
        <w:pStyle w:val="ListParagraph"/>
        <w:numPr>
          <w:ilvl w:val="0"/>
          <w:numId w:val="2"/>
        </w:numPr>
        <w:spacing w:line="276" w:lineRule="auto"/>
        <w:ind w:left="851" w:hanging="425"/>
        <w:jc w:val="both"/>
        <w:rPr>
          <w:rFonts w:asciiTheme="majorBidi" w:hAnsiTheme="majorBidi" w:cstheme="majorBidi"/>
          <w:lang w:val="en-US"/>
        </w:rPr>
      </w:pPr>
      <w:r w:rsidRPr="00CB082F">
        <w:rPr>
          <w:rFonts w:asciiTheme="majorBidi" w:hAnsiTheme="majorBidi" w:cstheme="majorBidi"/>
          <w:lang w:val="en-US"/>
        </w:rPr>
        <w:t xml:space="preserve">Berakal, </w:t>
      </w:r>
    </w:p>
    <w:p w14:paraId="1F8152EF" w14:textId="77777777" w:rsidR="008D372B" w:rsidRPr="00CB082F" w:rsidRDefault="008D372B" w:rsidP="00A42310">
      <w:pPr>
        <w:pStyle w:val="ListParagraph"/>
        <w:numPr>
          <w:ilvl w:val="0"/>
          <w:numId w:val="2"/>
        </w:numPr>
        <w:spacing w:line="276" w:lineRule="auto"/>
        <w:ind w:left="851" w:hanging="425"/>
        <w:jc w:val="both"/>
        <w:rPr>
          <w:rFonts w:asciiTheme="majorBidi" w:hAnsiTheme="majorBidi" w:cstheme="majorBidi"/>
          <w:lang w:val="en-US"/>
        </w:rPr>
      </w:pPr>
      <w:r w:rsidRPr="00CB082F">
        <w:rPr>
          <w:rFonts w:asciiTheme="majorBidi" w:hAnsiTheme="majorBidi" w:cstheme="majorBidi"/>
          <w:lang w:val="en-US"/>
        </w:rPr>
        <w:t xml:space="preserve">Balig, </w:t>
      </w:r>
    </w:p>
    <w:p w14:paraId="3F5768D3" w14:textId="77777777" w:rsidR="008D372B" w:rsidRPr="00CB082F" w:rsidRDefault="008D372B" w:rsidP="00A42310">
      <w:pPr>
        <w:pStyle w:val="ListParagraph"/>
        <w:numPr>
          <w:ilvl w:val="0"/>
          <w:numId w:val="2"/>
        </w:numPr>
        <w:spacing w:line="276" w:lineRule="auto"/>
        <w:ind w:left="851" w:hanging="425"/>
        <w:jc w:val="both"/>
        <w:rPr>
          <w:rFonts w:asciiTheme="majorBidi" w:hAnsiTheme="majorBidi" w:cstheme="majorBidi"/>
          <w:lang w:val="en-US"/>
        </w:rPr>
      </w:pPr>
      <w:r w:rsidRPr="00CB082F">
        <w:rPr>
          <w:rFonts w:asciiTheme="majorBidi" w:hAnsiTheme="majorBidi" w:cstheme="majorBidi"/>
          <w:lang w:val="en-US"/>
        </w:rPr>
        <w:t>Islam</w:t>
      </w:r>
    </w:p>
    <w:p w14:paraId="175D43DE" w14:textId="77777777" w:rsidR="008D372B" w:rsidRPr="00CB082F" w:rsidRDefault="008D372B" w:rsidP="00A42310">
      <w:pPr>
        <w:pStyle w:val="ListParagraph"/>
        <w:numPr>
          <w:ilvl w:val="0"/>
          <w:numId w:val="2"/>
        </w:numPr>
        <w:spacing w:line="276" w:lineRule="auto"/>
        <w:ind w:left="851" w:hanging="425"/>
        <w:jc w:val="both"/>
        <w:rPr>
          <w:rFonts w:asciiTheme="majorBidi" w:hAnsiTheme="majorBidi" w:cstheme="majorBidi"/>
          <w:lang w:val="en-US"/>
        </w:rPr>
      </w:pPr>
      <w:r w:rsidRPr="00CB082F">
        <w:rPr>
          <w:rFonts w:asciiTheme="majorBidi" w:hAnsiTheme="majorBidi" w:cstheme="majorBidi"/>
          <w:lang w:val="en-US"/>
        </w:rPr>
        <w:t xml:space="preserve">Merdeka, </w:t>
      </w:r>
    </w:p>
    <w:p w14:paraId="70014D9F" w14:textId="77777777" w:rsidR="008D372B" w:rsidRPr="00CB082F" w:rsidRDefault="008D372B" w:rsidP="00A42310">
      <w:pPr>
        <w:pStyle w:val="ListParagraph"/>
        <w:numPr>
          <w:ilvl w:val="0"/>
          <w:numId w:val="2"/>
        </w:numPr>
        <w:spacing w:line="276" w:lineRule="auto"/>
        <w:ind w:left="851" w:hanging="425"/>
        <w:jc w:val="both"/>
        <w:rPr>
          <w:rFonts w:asciiTheme="majorBidi" w:hAnsiTheme="majorBidi" w:cstheme="majorBidi"/>
          <w:lang w:val="en-US"/>
        </w:rPr>
      </w:pPr>
      <w:r w:rsidRPr="00CB082F">
        <w:rPr>
          <w:rFonts w:asciiTheme="majorBidi" w:hAnsiTheme="majorBidi" w:cstheme="majorBidi"/>
          <w:lang w:val="en-US"/>
        </w:rPr>
        <w:t xml:space="preserve">Melihat, </w:t>
      </w:r>
    </w:p>
    <w:p w14:paraId="7D0BD2E1" w14:textId="77777777" w:rsidR="008D372B" w:rsidRPr="00CB082F" w:rsidRDefault="008D372B" w:rsidP="00A42310">
      <w:pPr>
        <w:pStyle w:val="ListParagraph"/>
        <w:numPr>
          <w:ilvl w:val="0"/>
          <w:numId w:val="2"/>
        </w:numPr>
        <w:spacing w:line="276" w:lineRule="auto"/>
        <w:ind w:left="851" w:hanging="425"/>
        <w:jc w:val="both"/>
        <w:rPr>
          <w:rFonts w:asciiTheme="majorBidi" w:hAnsiTheme="majorBidi" w:cstheme="majorBidi"/>
          <w:lang w:val="en-US"/>
        </w:rPr>
      </w:pPr>
      <w:r w:rsidRPr="00CB082F">
        <w:rPr>
          <w:rFonts w:asciiTheme="majorBidi" w:hAnsiTheme="majorBidi" w:cstheme="majorBidi"/>
          <w:lang w:val="en-US"/>
        </w:rPr>
        <w:t xml:space="preserve">Bisa berbicara </w:t>
      </w:r>
    </w:p>
    <w:p w14:paraId="49A60756" w14:textId="77777777" w:rsidR="008D372B" w:rsidRPr="00CB082F" w:rsidRDefault="008D372B" w:rsidP="00A42310">
      <w:pPr>
        <w:pStyle w:val="ListParagraph"/>
        <w:numPr>
          <w:ilvl w:val="0"/>
          <w:numId w:val="2"/>
        </w:numPr>
        <w:spacing w:line="276" w:lineRule="auto"/>
        <w:ind w:left="851" w:hanging="425"/>
        <w:jc w:val="both"/>
        <w:rPr>
          <w:rFonts w:asciiTheme="majorBidi" w:hAnsiTheme="majorBidi" w:cstheme="majorBidi"/>
          <w:lang w:val="en-US"/>
        </w:rPr>
      </w:pPr>
      <w:r w:rsidRPr="00CB082F">
        <w:rPr>
          <w:rFonts w:asciiTheme="majorBidi" w:hAnsiTheme="majorBidi" w:cstheme="majorBidi"/>
          <w:lang w:val="en-US"/>
        </w:rPr>
        <w:lastRenderedPageBreak/>
        <w:t>Adil.</w:t>
      </w:r>
    </w:p>
    <w:p w14:paraId="41CC1F4D" w14:textId="77777777" w:rsidR="002C6793" w:rsidRDefault="008D372B" w:rsidP="00A42310">
      <w:pPr>
        <w:pStyle w:val="ListParagraph"/>
        <w:numPr>
          <w:ilvl w:val="0"/>
          <w:numId w:val="2"/>
        </w:numPr>
        <w:spacing w:line="276" w:lineRule="auto"/>
        <w:ind w:left="851" w:hanging="425"/>
        <w:jc w:val="both"/>
        <w:rPr>
          <w:rFonts w:asciiTheme="majorBidi" w:hAnsiTheme="majorBidi" w:cstheme="majorBidi"/>
          <w:lang w:val="en-US"/>
        </w:rPr>
      </w:pPr>
      <w:r w:rsidRPr="00CB082F">
        <w:rPr>
          <w:rFonts w:asciiTheme="majorBidi" w:hAnsiTheme="majorBidi" w:cstheme="majorBidi"/>
          <w:lang w:val="en-US"/>
        </w:rPr>
        <w:t>Tidak dicurigai tidak objektif</w:t>
      </w:r>
    </w:p>
    <w:p w14:paraId="643AA818" w14:textId="5854A1B2" w:rsidR="008D372B" w:rsidRPr="002C6793" w:rsidRDefault="008D372B" w:rsidP="00A42310">
      <w:pPr>
        <w:spacing w:line="276" w:lineRule="auto"/>
        <w:ind w:left="284" w:firstLine="567"/>
        <w:jc w:val="both"/>
        <w:rPr>
          <w:rFonts w:asciiTheme="majorBidi" w:hAnsiTheme="majorBidi" w:cstheme="majorBidi"/>
          <w:lang w:val="en-US"/>
        </w:rPr>
      </w:pPr>
      <w:r w:rsidRPr="002C6793">
        <w:rPr>
          <w:rFonts w:asciiTheme="majorBidi" w:hAnsiTheme="majorBidi" w:cstheme="majorBidi"/>
          <w:lang w:val="en-US"/>
        </w:rPr>
        <w:t>Hukum Islam tidak mendefinisikan sifat-sifat saksi secara detail, namun menekankan pada prinsip keadilan dan kemanfaatan.</w:t>
      </w:r>
      <w:r>
        <w:rPr>
          <w:rStyle w:val="FootnoteReference"/>
          <w:rFonts w:asciiTheme="majorBidi" w:hAnsiTheme="majorBidi" w:cstheme="majorBidi"/>
          <w:lang w:val="en-US"/>
        </w:rPr>
        <w:footnoteReference w:id="16"/>
      </w:r>
      <w:r w:rsidRPr="002C6793">
        <w:rPr>
          <w:rFonts w:asciiTheme="majorBidi" w:hAnsiTheme="majorBidi" w:cstheme="majorBidi"/>
          <w:lang w:val="en-US"/>
        </w:rPr>
        <w:t xml:space="preserve"> Saksi harus memiliki kualitas mental dan moral yang tinggi, serta melihat dan mengalami sendiri peristiwa yang akan mereka saksikan. Jumlah saksi umumnya dua orang, hal itu sebagaimana firman Allah SWT:</w:t>
      </w:r>
      <w:r w:rsidRPr="00CB082F">
        <w:rPr>
          <w:rStyle w:val="FootnoteReference"/>
          <w:rFonts w:asciiTheme="majorBidi" w:hAnsiTheme="majorBidi" w:cstheme="majorBidi"/>
          <w:lang w:val="en-US"/>
        </w:rPr>
        <w:footnoteReference w:id="17"/>
      </w:r>
      <w:r w:rsidRPr="002C6793">
        <w:rPr>
          <w:rFonts w:asciiTheme="majorBidi" w:hAnsiTheme="majorBidi" w:cstheme="majorBidi"/>
          <w:lang w:val="en-US"/>
        </w:rPr>
        <w:t xml:space="preserve"> </w:t>
      </w:r>
    </w:p>
    <w:p w14:paraId="394F85CD" w14:textId="77777777" w:rsidR="008D372B" w:rsidRPr="00F53083" w:rsidRDefault="008D372B" w:rsidP="0022706D">
      <w:pPr>
        <w:spacing w:line="276" w:lineRule="auto"/>
        <w:ind w:left="360"/>
        <w:jc w:val="right"/>
        <w:rPr>
          <w:rFonts w:ascii="Traditional Arabic" w:hAnsi="Traditional Arabic" w:cs="Traditional Arabic"/>
          <w:lang w:val="en-US"/>
        </w:rPr>
      </w:pPr>
      <w:r w:rsidRPr="0022706D">
        <w:rPr>
          <w:rFonts w:ascii="Traditional Arabic" w:hAnsi="Traditional Arabic" w:cs="Traditional Arabic"/>
          <w:sz w:val="32"/>
          <w:szCs w:val="32"/>
          <w:rtl/>
          <w:lang w:val="en-US"/>
        </w:rPr>
        <w:t>وَٱسْتَشْهِدُوا۟ شَهِيدَيْنِ مِن رِّجَالِكُمْ ۖ فَإِن لَّمْ يَكُونَا رَجُلَيْنِ فَرَجُلٌ وَٱمْرَأَتَانِ مِمَّن تَرْضَوْنَ مِنَ ٱلشُّهَدَآءِ أَن تَضِلَّ إِحْدَىٰهُمَا فَتُذَكِّرَ إِحْدَىٰهُمَا ٱلْأُخْرَىٰ ۚ وَلَا يَأْبَ ٱلشُّهَدَآءُ إِذَا مَا دُعُوا</w:t>
      </w:r>
      <w:r w:rsidRPr="00F53083">
        <w:rPr>
          <w:rFonts w:ascii="Traditional Arabic" w:hAnsi="Traditional Arabic" w:cs="Traditional Arabic"/>
          <w:rtl/>
          <w:lang w:val="en-US"/>
        </w:rPr>
        <w:t>۟</w:t>
      </w:r>
    </w:p>
    <w:p w14:paraId="3ACCC9B0" w14:textId="48569916" w:rsidR="008D372B" w:rsidRPr="00CB082F" w:rsidRDefault="008D372B" w:rsidP="000D3632">
      <w:pPr>
        <w:spacing w:line="240" w:lineRule="auto"/>
        <w:ind w:left="1134"/>
        <w:jc w:val="both"/>
        <w:rPr>
          <w:rFonts w:asciiTheme="majorBidi" w:hAnsiTheme="majorBidi" w:cstheme="majorBidi"/>
          <w:i/>
          <w:iCs/>
          <w:lang w:val="en-US"/>
        </w:rPr>
      </w:pPr>
      <w:r w:rsidRPr="00CB082F">
        <w:rPr>
          <w:rFonts w:asciiTheme="majorBidi" w:hAnsiTheme="majorBidi" w:cstheme="majorBidi"/>
          <w:i/>
          <w:iCs/>
          <w:lang w:val="en-US"/>
        </w:rPr>
        <w:t>“…Dan persaksikanlah dengan dua orang saksi dari orang-orang lelaki (diantaramu). Jika tak ada dua o</w:t>
      </w:r>
      <w:r w:rsidR="000A7878">
        <w:rPr>
          <w:rFonts w:asciiTheme="majorBidi" w:hAnsiTheme="majorBidi" w:cstheme="majorBidi"/>
          <w:i/>
          <w:iCs/>
          <w:lang w:val="en-US"/>
        </w:rPr>
        <w:t>r</w:t>
      </w:r>
      <w:r w:rsidRPr="00CB082F">
        <w:rPr>
          <w:rFonts w:asciiTheme="majorBidi" w:hAnsiTheme="majorBidi" w:cstheme="majorBidi"/>
          <w:i/>
          <w:iCs/>
          <w:lang w:val="en-US"/>
        </w:rPr>
        <w:t>ang lelaki, maka (boleh) seorang lelaki dan dua orang perempuan dari saksi-saksi yang kamu ridhai, supaya jika seorang lupa maka yang seorang mengingatkannya. Janganlah saksi-saksi itu enggan</w:t>
      </w:r>
      <w:r w:rsidR="002C6793">
        <w:rPr>
          <w:rFonts w:asciiTheme="majorBidi" w:hAnsiTheme="majorBidi" w:cstheme="majorBidi"/>
          <w:i/>
          <w:iCs/>
          <w:lang w:val="en-US"/>
        </w:rPr>
        <w:t xml:space="preserve"> </w:t>
      </w:r>
      <w:r w:rsidRPr="00CB082F">
        <w:rPr>
          <w:rFonts w:asciiTheme="majorBidi" w:hAnsiTheme="majorBidi" w:cstheme="majorBidi"/>
          <w:i/>
          <w:iCs/>
          <w:lang w:val="en-US"/>
        </w:rPr>
        <w:t>(memberi</w:t>
      </w:r>
      <w:r w:rsidR="002C6793">
        <w:rPr>
          <w:rFonts w:asciiTheme="majorBidi" w:hAnsiTheme="majorBidi" w:cstheme="majorBidi"/>
          <w:i/>
          <w:iCs/>
          <w:lang w:val="en-US"/>
        </w:rPr>
        <w:t xml:space="preserve"> </w:t>
      </w:r>
      <w:r w:rsidRPr="00CB082F">
        <w:rPr>
          <w:rFonts w:asciiTheme="majorBidi" w:hAnsiTheme="majorBidi" w:cstheme="majorBidi"/>
          <w:i/>
          <w:iCs/>
          <w:lang w:val="en-US"/>
        </w:rPr>
        <w:t>keterangan) apabila mereka dipanggi</w:t>
      </w:r>
      <w:r w:rsidR="000A7878">
        <w:rPr>
          <w:rFonts w:asciiTheme="majorBidi" w:hAnsiTheme="majorBidi" w:cstheme="majorBidi"/>
          <w:i/>
          <w:iCs/>
          <w:lang w:val="en-US"/>
        </w:rPr>
        <w:t>l</w:t>
      </w:r>
      <w:r w:rsidR="002C6793">
        <w:rPr>
          <w:rFonts w:asciiTheme="majorBidi" w:hAnsiTheme="majorBidi" w:cstheme="majorBidi"/>
          <w:i/>
          <w:iCs/>
          <w:lang w:val="en-US"/>
        </w:rPr>
        <w:t>…</w:t>
      </w:r>
      <w:r w:rsidRPr="00CB082F">
        <w:rPr>
          <w:rFonts w:asciiTheme="majorBidi" w:hAnsiTheme="majorBidi" w:cstheme="majorBidi"/>
          <w:i/>
          <w:iCs/>
          <w:lang w:val="en-US"/>
        </w:rPr>
        <w:t>.”</w:t>
      </w:r>
      <w:r w:rsidR="002C6793">
        <w:rPr>
          <w:rFonts w:asciiTheme="majorBidi" w:hAnsiTheme="majorBidi" w:cstheme="majorBidi"/>
          <w:i/>
          <w:iCs/>
          <w:lang w:val="en-US"/>
        </w:rPr>
        <w:t xml:space="preserve"> </w:t>
      </w:r>
      <w:r w:rsidRPr="00595141">
        <w:rPr>
          <w:rFonts w:asciiTheme="majorBidi" w:hAnsiTheme="majorBidi" w:cstheme="majorBidi"/>
          <w:lang w:val="en-US"/>
        </w:rPr>
        <w:t>(Q.S Al Baqarah:282)</w:t>
      </w:r>
    </w:p>
    <w:p w14:paraId="07889591" w14:textId="77777777" w:rsidR="002B0CC6" w:rsidRDefault="002B0CC6" w:rsidP="002B0CC6">
      <w:pPr>
        <w:pStyle w:val="ListParagraph"/>
        <w:spacing w:line="276" w:lineRule="auto"/>
        <w:ind w:firstLine="414"/>
        <w:jc w:val="both"/>
        <w:rPr>
          <w:rFonts w:asciiTheme="majorBidi" w:hAnsiTheme="majorBidi" w:cstheme="majorBidi"/>
        </w:rPr>
      </w:pPr>
    </w:p>
    <w:p w14:paraId="2EFEACE2" w14:textId="6A0F9E22" w:rsidR="008C19B8" w:rsidRDefault="007B4C0E" w:rsidP="00A42310">
      <w:pPr>
        <w:spacing w:line="276" w:lineRule="auto"/>
        <w:ind w:left="284" w:firstLine="567"/>
        <w:jc w:val="both"/>
        <w:rPr>
          <w:rFonts w:asciiTheme="majorBidi" w:hAnsiTheme="majorBidi" w:cstheme="majorBidi"/>
          <w:lang w:val="en-US"/>
        </w:rPr>
      </w:pPr>
      <w:r>
        <w:rPr>
          <w:rFonts w:asciiTheme="majorBidi" w:hAnsiTheme="majorBidi" w:cstheme="majorBidi"/>
        </w:rPr>
        <w:t xml:space="preserve">Kesaksian </w:t>
      </w:r>
      <w:r w:rsidR="008D372B" w:rsidRPr="00CB6D10">
        <w:rPr>
          <w:rFonts w:asciiTheme="majorBidi" w:hAnsiTheme="majorBidi" w:cstheme="majorBidi"/>
        </w:rPr>
        <w:t>merupakan alat bukti yang penting</w:t>
      </w:r>
      <w:r w:rsidR="000A2E5C">
        <w:rPr>
          <w:rFonts w:asciiTheme="majorBidi" w:hAnsiTheme="majorBidi" w:cstheme="majorBidi"/>
        </w:rPr>
        <w:t xml:space="preserve"> dalam sistem peradilan</w:t>
      </w:r>
      <w:r w:rsidR="008D372B" w:rsidRPr="00CB6D10">
        <w:rPr>
          <w:rFonts w:asciiTheme="majorBidi" w:hAnsiTheme="majorBidi" w:cstheme="majorBidi"/>
        </w:rPr>
        <w:t xml:space="preserve">. Namun, </w:t>
      </w:r>
      <w:r w:rsidR="000A2E5C">
        <w:rPr>
          <w:rFonts w:asciiTheme="majorBidi" w:hAnsiTheme="majorBidi" w:cstheme="majorBidi"/>
        </w:rPr>
        <w:t xml:space="preserve">secara umum </w:t>
      </w:r>
      <w:r w:rsidR="008D372B" w:rsidRPr="00CB6D10">
        <w:rPr>
          <w:rFonts w:asciiTheme="majorBidi" w:hAnsiTheme="majorBidi" w:cstheme="majorBidi"/>
        </w:rPr>
        <w:t xml:space="preserve">agar </w:t>
      </w:r>
      <w:r>
        <w:rPr>
          <w:rFonts w:asciiTheme="majorBidi" w:hAnsiTheme="majorBidi" w:cstheme="majorBidi"/>
        </w:rPr>
        <w:t xml:space="preserve">kesaksian </w:t>
      </w:r>
      <w:r w:rsidR="008D372B" w:rsidRPr="00CB6D10">
        <w:rPr>
          <w:rFonts w:asciiTheme="majorBidi" w:hAnsiTheme="majorBidi" w:cstheme="majorBidi"/>
        </w:rPr>
        <w:t xml:space="preserve">dapat diterima sebagai bukti yang sah, saksi wajib memenuhi syarat </w:t>
      </w:r>
      <w:r w:rsidR="008D372B" w:rsidRPr="00CB6D10">
        <w:rPr>
          <w:rFonts w:asciiTheme="majorBidi" w:hAnsiTheme="majorBidi" w:cstheme="majorBidi"/>
        </w:rPr>
        <w:lastRenderedPageBreak/>
        <w:t xml:space="preserve">objektivitas dan memiliki pengetahuan langsung </w:t>
      </w:r>
      <w:r w:rsidR="000A2E5C" w:rsidRPr="000A2E5C">
        <w:rPr>
          <w:rFonts w:asciiTheme="majorBidi" w:hAnsiTheme="majorBidi" w:cstheme="majorBidi"/>
        </w:rPr>
        <w:t>dan objektif terhadap peristiwa yang disaksikannya, terlepas dari jenis kelaminnya</w:t>
      </w:r>
      <w:r w:rsidR="000A2E5C">
        <w:rPr>
          <w:rFonts w:asciiTheme="majorBidi" w:hAnsiTheme="majorBidi" w:cstheme="majorBidi"/>
        </w:rPr>
        <w:t>an</w:t>
      </w:r>
      <w:r w:rsidR="008D372B" w:rsidRPr="00CB082F">
        <w:rPr>
          <w:rFonts w:asciiTheme="majorBidi" w:hAnsiTheme="majorBidi" w:cstheme="majorBidi"/>
          <w:lang w:val="en-US"/>
        </w:rPr>
        <w:t>.</w:t>
      </w:r>
      <w:r w:rsidR="008D372B" w:rsidRPr="00CB082F">
        <w:rPr>
          <w:rStyle w:val="FootnoteReference"/>
          <w:rFonts w:asciiTheme="majorBidi" w:hAnsiTheme="majorBidi" w:cstheme="majorBidi"/>
          <w:lang w:val="en-US"/>
        </w:rPr>
        <w:footnoteReference w:id="18"/>
      </w:r>
      <w:r w:rsidR="008D372B" w:rsidRPr="00E63FC1">
        <w:t xml:space="preserve"> </w:t>
      </w:r>
      <w:r w:rsidR="008D372B" w:rsidRPr="00E63FC1">
        <w:rPr>
          <w:rFonts w:asciiTheme="majorBidi" w:hAnsiTheme="majorBidi" w:cstheme="majorBidi"/>
        </w:rPr>
        <w:t xml:space="preserve">Dalam </w:t>
      </w:r>
      <w:r w:rsidR="008D372B" w:rsidRPr="00CB082F">
        <w:rPr>
          <w:rFonts w:asciiTheme="majorBidi" w:hAnsiTheme="majorBidi" w:cstheme="majorBidi"/>
          <w:lang w:val="en-US"/>
        </w:rPr>
        <w:t xml:space="preserve">mencapai keyakinan hakim terhadap suatu peristiwa, penting bagi saksi untuk memiliki pengalaman langsung atau pengamatan langsung terhadap peristiwa tersebut. </w:t>
      </w:r>
    </w:p>
    <w:p w14:paraId="4DA751FA" w14:textId="76E3F15F" w:rsidR="00614835" w:rsidRPr="00614835" w:rsidRDefault="00614835" w:rsidP="00A42310">
      <w:pPr>
        <w:spacing w:line="276" w:lineRule="auto"/>
        <w:ind w:left="284" w:firstLine="567"/>
        <w:jc w:val="both"/>
        <w:rPr>
          <w:rFonts w:asciiTheme="majorBidi" w:hAnsiTheme="majorBidi" w:cstheme="majorBidi"/>
        </w:rPr>
      </w:pPr>
      <w:r w:rsidRPr="008C19B8">
        <w:rPr>
          <w:rFonts w:asciiTheme="majorBidi" w:hAnsiTheme="majorBidi" w:cstheme="majorBidi"/>
        </w:rPr>
        <w:t>Putusan Mahkamah Syariah Takengon Nomor 9/JN/2023/MS.Tkn telah memicu perdebatan hukum yang cukup signifikan.</w:t>
      </w:r>
      <w:r>
        <w:rPr>
          <w:rStyle w:val="FootnoteReference"/>
          <w:rFonts w:asciiTheme="majorBidi" w:hAnsiTheme="majorBidi" w:cstheme="majorBidi"/>
        </w:rPr>
        <w:footnoteReference w:id="19"/>
      </w:r>
      <w:r w:rsidRPr="008C19B8">
        <w:rPr>
          <w:rFonts w:asciiTheme="majorBidi" w:hAnsiTheme="majorBidi" w:cstheme="majorBidi"/>
        </w:rPr>
        <w:t xml:space="preserve"> Putusan ini dinilai telah menyimpang dari ketentuan yang telah diatur secara tegas dalam Qanun Hukum Acara Jinayat (QHAJ). Perbedaan mendasar terletak pada penerapan aturan mengenai alat bukti, khususnya terkait penerimaan kesaksian </w:t>
      </w:r>
      <w:r w:rsidRPr="008C19B8">
        <w:rPr>
          <w:rFonts w:asciiTheme="majorBidi" w:hAnsiTheme="majorBidi" w:cstheme="majorBidi"/>
          <w:i/>
          <w:iCs/>
        </w:rPr>
        <w:t>testimonium de auditu</w:t>
      </w:r>
      <w:r w:rsidRPr="008C19B8">
        <w:rPr>
          <w:rFonts w:asciiTheme="majorBidi" w:hAnsiTheme="majorBidi" w:cstheme="majorBidi"/>
        </w:rPr>
        <w:t xml:space="preserve">. QHAJ secara tegas mengatur syarat-syarat penerimaan suatu alat bukti, termasuk kesaksian, yang harus memenuhi </w:t>
      </w:r>
      <w:r>
        <w:rPr>
          <w:rFonts w:asciiTheme="majorBidi" w:hAnsiTheme="majorBidi" w:cstheme="majorBidi"/>
        </w:rPr>
        <w:t>syarat</w:t>
      </w:r>
      <w:r w:rsidRPr="008C19B8">
        <w:rPr>
          <w:rFonts w:asciiTheme="majorBidi" w:hAnsiTheme="majorBidi" w:cstheme="majorBidi"/>
        </w:rPr>
        <w:t xml:space="preserve"> tertentu agar dapat dijadikan dasar pertimbangan dalam memutus perkara. </w:t>
      </w:r>
    </w:p>
    <w:p w14:paraId="40C106D1" w14:textId="7C0279A7" w:rsidR="008D372B" w:rsidRPr="00FA5250" w:rsidRDefault="008D372B" w:rsidP="00A42310">
      <w:pPr>
        <w:spacing w:line="276" w:lineRule="auto"/>
        <w:ind w:left="284" w:firstLine="567"/>
        <w:jc w:val="both"/>
        <w:rPr>
          <w:rFonts w:asciiTheme="majorBidi" w:hAnsiTheme="majorBidi" w:cstheme="majorBidi"/>
        </w:rPr>
      </w:pPr>
      <w:r w:rsidRPr="00FA5250">
        <w:rPr>
          <w:rFonts w:asciiTheme="majorBidi" w:hAnsiTheme="majorBidi" w:cstheme="majorBidi"/>
          <w:lang w:val="en-US"/>
        </w:rPr>
        <w:t xml:space="preserve">Dengan adanya perbedaan pengaturan mengenai kesaksian </w:t>
      </w:r>
      <w:r w:rsidRPr="00FA5250">
        <w:rPr>
          <w:rFonts w:asciiTheme="majorBidi" w:hAnsiTheme="majorBidi" w:cstheme="majorBidi"/>
          <w:i/>
          <w:iCs/>
          <w:lang w:val="en-US"/>
        </w:rPr>
        <w:t>testimonium de auditu</w:t>
      </w:r>
      <w:r w:rsidRPr="00FA5250">
        <w:rPr>
          <w:rFonts w:asciiTheme="majorBidi" w:hAnsiTheme="majorBidi" w:cstheme="majorBidi"/>
          <w:lang w:val="en-US"/>
        </w:rPr>
        <w:t xml:space="preserve"> antara </w:t>
      </w:r>
      <w:r w:rsidR="00FA5250">
        <w:rPr>
          <w:rFonts w:asciiTheme="majorBidi" w:hAnsiTheme="majorBidi" w:cstheme="majorBidi"/>
          <w:lang w:val="en-US"/>
        </w:rPr>
        <w:t xml:space="preserve">KUHAP </w:t>
      </w:r>
      <w:r w:rsidRPr="00FA5250">
        <w:rPr>
          <w:rFonts w:asciiTheme="majorBidi" w:hAnsiTheme="majorBidi" w:cstheme="majorBidi"/>
          <w:lang w:val="en-US"/>
        </w:rPr>
        <w:t>dan</w:t>
      </w:r>
      <w:r w:rsidR="0048652C">
        <w:rPr>
          <w:rFonts w:asciiTheme="majorBidi" w:hAnsiTheme="majorBidi" w:cstheme="majorBidi"/>
          <w:lang w:val="en-US"/>
        </w:rPr>
        <w:t xml:space="preserve"> QHAJ</w:t>
      </w:r>
      <w:r w:rsidR="006E258C" w:rsidRPr="00FA5250">
        <w:rPr>
          <w:rFonts w:asciiTheme="majorBidi" w:hAnsiTheme="majorBidi" w:cstheme="majorBidi"/>
          <w:lang w:val="en-US"/>
        </w:rPr>
        <w:t xml:space="preserve">, </w:t>
      </w:r>
      <w:r w:rsidRPr="00FA5250">
        <w:rPr>
          <w:rFonts w:asciiTheme="majorBidi" w:hAnsiTheme="majorBidi" w:cstheme="majorBidi"/>
          <w:lang w:val="en-US"/>
        </w:rPr>
        <w:t>penelitian yang menyelidiki aspek deskriptif komparatif ini diharapkan dapat memberikan pemahaman yang lebih mendalam tentang bagaimana kedua sistem</w:t>
      </w:r>
      <w:r w:rsidR="0048652C">
        <w:rPr>
          <w:rFonts w:asciiTheme="majorBidi" w:hAnsiTheme="majorBidi" w:cstheme="majorBidi"/>
          <w:lang w:val="en-US"/>
        </w:rPr>
        <w:t xml:space="preserve"> pembuktian dalam </w:t>
      </w:r>
      <w:r w:rsidRPr="00FA5250">
        <w:rPr>
          <w:rFonts w:asciiTheme="majorBidi" w:hAnsiTheme="majorBidi" w:cstheme="majorBidi"/>
          <w:lang w:val="en-US"/>
        </w:rPr>
        <w:t xml:space="preserve">memperlakukan kesaksian </w:t>
      </w:r>
      <w:r w:rsidRPr="00FA5250">
        <w:rPr>
          <w:rFonts w:asciiTheme="majorBidi" w:hAnsiTheme="majorBidi" w:cstheme="majorBidi"/>
          <w:i/>
          <w:iCs/>
          <w:lang w:val="en-US"/>
        </w:rPr>
        <w:t>testimonium de auditu</w:t>
      </w:r>
      <w:r w:rsidRPr="00FA5250">
        <w:rPr>
          <w:rFonts w:asciiTheme="majorBidi" w:hAnsiTheme="majorBidi" w:cstheme="majorBidi"/>
          <w:lang w:val="en-US"/>
        </w:rPr>
        <w:t xml:space="preserve"> dalam sebuah peradilan. Analisis ini diharapkan dapat memberikan kontribusi yang signifikan dalam pengembangan teori hukum pidana terkhusus bagi </w:t>
      </w:r>
      <w:r w:rsidR="006E258C" w:rsidRPr="00FA5250">
        <w:rPr>
          <w:rFonts w:asciiTheme="majorBidi" w:hAnsiTheme="majorBidi" w:cstheme="majorBidi"/>
          <w:i/>
          <w:iCs/>
          <w:lang w:val="en-US"/>
        </w:rPr>
        <w:t xml:space="preserve">Teori Pembuktian Undang-Undang Secara </w:t>
      </w:r>
      <w:r w:rsidR="006E258C" w:rsidRPr="00FA5250">
        <w:rPr>
          <w:rFonts w:asciiTheme="majorBidi" w:hAnsiTheme="majorBidi" w:cstheme="majorBidi"/>
          <w:i/>
          <w:iCs/>
          <w:lang w:val="en-US"/>
        </w:rPr>
        <w:lastRenderedPageBreak/>
        <w:t>Negatif</w:t>
      </w:r>
      <w:r w:rsidR="000816A7" w:rsidRPr="00FA5250">
        <w:rPr>
          <w:rFonts w:asciiTheme="majorBidi" w:hAnsiTheme="majorBidi" w:cstheme="majorBidi"/>
          <w:lang w:val="en-US"/>
        </w:rPr>
        <w:t xml:space="preserve"> </w:t>
      </w:r>
      <w:r w:rsidR="000816A7" w:rsidRPr="00FA5250">
        <w:rPr>
          <w:rFonts w:asciiTheme="majorBidi" w:hAnsiTheme="majorBidi" w:cstheme="majorBidi"/>
        </w:rPr>
        <w:t>dalam  pembuktian hukum acara pidana yang mengharuskan hakim untuk memiliki keyakinan yang cukup atas suatu tindak pidana berdasarkan alat bukti yang sah dan ditentukan oleh undang-undang sebelum menjatuhkan putusan bersalah.</w:t>
      </w:r>
      <w:r w:rsidR="000816A7" w:rsidRPr="00FA5250">
        <w:rPr>
          <w:rFonts w:asciiTheme="majorBidi" w:hAnsiTheme="majorBidi" w:cstheme="majorBidi"/>
          <w:lang w:val="en-US"/>
        </w:rPr>
        <w:t xml:space="preserve"> S</w:t>
      </w:r>
      <w:r w:rsidRPr="00FA5250">
        <w:rPr>
          <w:rFonts w:asciiTheme="majorBidi" w:hAnsiTheme="majorBidi" w:cstheme="majorBidi"/>
          <w:lang w:val="en-US"/>
        </w:rPr>
        <w:t xml:space="preserve">erta memberikan wawasan yang lebih luas tentang keadilan bagi korban tindak pidana pelecehan seksual dengan korban anak dalam proses peradilan pidana. </w:t>
      </w:r>
    </w:p>
    <w:p w14:paraId="482F5AD0" w14:textId="7041BA39" w:rsidR="008D372B" w:rsidRPr="000D3632" w:rsidRDefault="008D372B" w:rsidP="00A42310">
      <w:pPr>
        <w:spacing w:line="276" w:lineRule="auto"/>
        <w:ind w:left="284" w:firstLine="567"/>
        <w:jc w:val="both"/>
        <w:rPr>
          <w:rFonts w:asciiTheme="majorBidi" w:hAnsiTheme="majorBidi" w:cstheme="majorBidi"/>
          <w:lang w:val="en-US"/>
        </w:rPr>
      </w:pPr>
      <w:r w:rsidRPr="00CB082F">
        <w:rPr>
          <w:rFonts w:asciiTheme="majorBidi" w:hAnsiTheme="majorBidi" w:cstheme="majorBidi"/>
          <w:lang w:val="en-US"/>
        </w:rPr>
        <w:t xml:space="preserve">Oleh karena itu, penelitian ini bertujuan untuk memberikan pemahaman tentang konsep pembuktian kesaksian </w:t>
      </w:r>
      <w:r w:rsidRPr="00CB082F">
        <w:rPr>
          <w:rFonts w:asciiTheme="majorBidi" w:hAnsiTheme="majorBidi" w:cstheme="majorBidi"/>
          <w:i/>
          <w:iCs/>
          <w:lang w:val="en-US"/>
        </w:rPr>
        <w:t>testimonium de auditu</w:t>
      </w:r>
      <w:r w:rsidRPr="00CB082F">
        <w:rPr>
          <w:rFonts w:asciiTheme="majorBidi" w:hAnsiTheme="majorBidi" w:cstheme="majorBidi"/>
          <w:lang w:val="en-US"/>
        </w:rPr>
        <w:t xml:space="preserve"> terhadap tindak pidana pelecehan seksual </w:t>
      </w:r>
      <w:r w:rsidR="000A7878">
        <w:rPr>
          <w:rFonts w:asciiTheme="majorBidi" w:hAnsiTheme="majorBidi" w:cstheme="majorBidi"/>
          <w:lang w:val="en-US"/>
        </w:rPr>
        <w:t xml:space="preserve">terhadap anak </w:t>
      </w:r>
      <w:r w:rsidRPr="00CB082F">
        <w:rPr>
          <w:rFonts w:asciiTheme="majorBidi" w:hAnsiTheme="majorBidi" w:cstheme="majorBidi"/>
          <w:lang w:val="en-US"/>
        </w:rPr>
        <w:t>dalam</w:t>
      </w:r>
      <w:r w:rsidR="000A7878">
        <w:rPr>
          <w:rFonts w:asciiTheme="majorBidi" w:hAnsiTheme="majorBidi" w:cstheme="majorBidi"/>
          <w:lang w:val="en-US"/>
        </w:rPr>
        <w:t xml:space="preserve"> Kitab Undang-Undang Hukum Acara Pidana ( KUHAP) </w:t>
      </w:r>
      <w:r w:rsidRPr="00CB082F">
        <w:rPr>
          <w:rFonts w:asciiTheme="majorBidi" w:hAnsiTheme="majorBidi" w:cstheme="majorBidi"/>
          <w:lang w:val="en-US"/>
        </w:rPr>
        <w:t xml:space="preserve">dan </w:t>
      </w:r>
      <w:r w:rsidR="000A7878">
        <w:rPr>
          <w:rFonts w:asciiTheme="majorBidi" w:hAnsiTheme="majorBidi" w:cstheme="majorBidi"/>
          <w:lang w:val="en-US"/>
        </w:rPr>
        <w:t xml:space="preserve">Qanun </w:t>
      </w:r>
      <w:r w:rsidR="000A7878" w:rsidRPr="00CB082F">
        <w:rPr>
          <w:rFonts w:asciiTheme="majorBidi" w:hAnsiTheme="majorBidi" w:cstheme="majorBidi"/>
          <w:lang w:val="en-US"/>
        </w:rPr>
        <w:t xml:space="preserve">Hukum Acara </w:t>
      </w:r>
      <w:r w:rsidR="000A7878" w:rsidRPr="006E258C">
        <w:rPr>
          <w:rFonts w:asciiTheme="majorBidi" w:hAnsiTheme="majorBidi" w:cstheme="majorBidi"/>
          <w:i/>
          <w:iCs/>
          <w:lang w:val="en-US"/>
        </w:rPr>
        <w:t>Jinayah</w:t>
      </w:r>
      <w:r w:rsidR="000A7878" w:rsidRPr="00CB082F">
        <w:rPr>
          <w:rFonts w:asciiTheme="majorBidi" w:hAnsiTheme="majorBidi" w:cstheme="majorBidi"/>
          <w:lang w:val="en-US"/>
        </w:rPr>
        <w:t xml:space="preserve">, </w:t>
      </w:r>
      <w:r w:rsidRPr="00CB082F">
        <w:rPr>
          <w:rFonts w:asciiTheme="majorBidi" w:hAnsiTheme="majorBidi" w:cstheme="majorBidi"/>
          <w:lang w:val="en-US"/>
        </w:rPr>
        <w:t xml:space="preserve">serta mengidentifikasi perbedaan dan persamaan yang mungkin memengaruhi proses peradilan pidana. Penelitian ini juga diharapkan dapat mengisi celah pengetahuan yang masih belum ada dalam literatur hukum pidana terkait dengan kesaksian </w:t>
      </w:r>
      <w:r w:rsidRPr="006E258C">
        <w:rPr>
          <w:rFonts w:asciiTheme="majorBidi" w:hAnsiTheme="majorBidi" w:cstheme="majorBidi"/>
          <w:i/>
          <w:iCs/>
          <w:lang w:val="en-US"/>
        </w:rPr>
        <w:t>testimonium de auditu</w:t>
      </w:r>
      <w:r w:rsidRPr="00CB082F">
        <w:rPr>
          <w:rFonts w:asciiTheme="majorBidi" w:hAnsiTheme="majorBidi" w:cstheme="majorBidi"/>
          <w:lang w:val="en-US"/>
        </w:rPr>
        <w:t xml:space="preserve">. </w:t>
      </w:r>
      <w:r w:rsidR="00E809B8" w:rsidRPr="00E809B8">
        <w:rPr>
          <w:rFonts w:asciiTheme="majorBidi" w:hAnsiTheme="majorBidi" w:cstheme="majorBidi"/>
        </w:rPr>
        <w:t>Berdasarkan pertimbangan di atas, penulis menetapkan judul</w:t>
      </w:r>
      <w:r w:rsidR="00E809B8" w:rsidRPr="00E809B8">
        <w:rPr>
          <w:rFonts w:asciiTheme="majorBidi" w:hAnsiTheme="majorBidi" w:cstheme="majorBidi"/>
          <w:lang w:val="en-US"/>
        </w:rPr>
        <w:t xml:space="preserve"> </w:t>
      </w:r>
      <w:r w:rsidR="000816A7" w:rsidRPr="000816A7">
        <w:rPr>
          <w:rFonts w:asciiTheme="majorBidi" w:hAnsiTheme="majorBidi" w:cstheme="majorBidi"/>
          <w:b/>
          <w:bCs/>
          <w:i/>
          <w:iCs/>
          <w:lang w:val="en-US"/>
        </w:rPr>
        <w:t>Analisis Kesaksian Testimonium De Auditu pada Tindak Pidana Pelecehan Seksual Terhadap Anak dalam Perspektif Kitab Undang-Undang Hukum Acara Pidana (KUHAP) dan Qanun Hukum Acara Jinayat</w:t>
      </w:r>
      <w:r w:rsidR="000816A7" w:rsidRPr="005F497E">
        <w:rPr>
          <w:rFonts w:asciiTheme="majorBidi" w:hAnsiTheme="majorBidi" w:cstheme="majorBidi"/>
          <w:i/>
          <w:iCs/>
          <w:lang w:val="en-US"/>
        </w:rPr>
        <w:t xml:space="preserve"> </w:t>
      </w:r>
      <w:r w:rsidRPr="00CB082F">
        <w:rPr>
          <w:rFonts w:asciiTheme="majorBidi" w:hAnsiTheme="majorBidi" w:cstheme="majorBidi"/>
          <w:b/>
          <w:bCs/>
          <w:lang w:val="en-US"/>
        </w:rPr>
        <w:t>(Studi Putusan Mahkamah Syariah Takengon Nomor 9/JN/2023/MS.Tkn)</w:t>
      </w:r>
    </w:p>
    <w:p w14:paraId="5BBBC410" w14:textId="77777777" w:rsidR="008D372B" w:rsidRPr="00476137" w:rsidRDefault="008D372B" w:rsidP="00A42310">
      <w:pPr>
        <w:pStyle w:val="Heading2"/>
        <w:spacing w:line="360" w:lineRule="auto"/>
        <w:ind w:left="284"/>
      </w:pPr>
      <w:bookmarkStart w:id="16" w:name="_Toc185961334"/>
      <w:r w:rsidRPr="00476137">
        <w:t xml:space="preserve">Rumusan </w:t>
      </w:r>
      <w:r>
        <w:t>M</w:t>
      </w:r>
      <w:r w:rsidRPr="00476137">
        <w:t>asalah</w:t>
      </w:r>
      <w:bookmarkEnd w:id="16"/>
      <w:r w:rsidRPr="00476137">
        <w:t xml:space="preserve"> </w:t>
      </w:r>
    </w:p>
    <w:p w14:paraId="4D5D863C" w14:textId="0A1464FC" w:rsidR="008D372B" w:rsidRPr="00CB082F" w:rsidRDefault="008D372B" w:rsidP="00A42310">
      <w:pPr>
        <w:spacing w:line="276" w:lineRule="auto"/>
        <w:ind w:left="284" w:firstLine="567"/>
        <w:jc w:val="both"/>
        <w:rPr>
          <w:rFonts w:asciiTheme="majorBidi" w:hAnsiTheme="majorBidi" w:cstheme="majorBidi"/>
          <w:b/>
          <w:bCs/>
          <w:lang w:val="en-US"/>
        </w:rPr>
      </w:pPr>
      <w:r w:rsidRPr="00CB082F">
        <w:rPr>
          <w:rFonts w:asciiTheme="majorBidi" w:hAnsiTheme="majorBidi" w:cstheme="majorBidi"/>
          <w:lang w:val="en-US"/>
        </w:rPr>
        <w:t>Berdasarkan latar belakan</w:t>
      </w:r>
      <w:r>
        <w:rPr>
          <w:rFonts w:asciiTheme="majorBidi" w:hAnsiTheme="majorBidi" w:cstheme="majorBidi"/>
          <w:lang w:val="en-US"/>
        </w:rPr>
        <w:t>g</w:t>
      </w:r>
      <w:r w:rsidRPr="00CB082F">
        <w:rPr>
          <w:rFonts w:asciiTheme="majorBidi" w:hAnsiTheme="majorBidi" w:cstheme="majorBidi"/>
          <w:lang w:val="en-US"/>
        </w:rPr>
        <w:t xml:space="preserve"> masalah yang telah dikemukakan, maka penulis telah merumuskan beberapa pokok masalah yang akan menjadi pembahasan dal</w:t>
      </w:r>
      <w:r>
        <w:rPr>
          <w:rFonts w:asciiTheme="majorBidi" w:hAnsiTheme="majorBidi" w:cstheme="majorBidi"/>
          <w:lang w:val="en-US"/>
        </w:rPr>
        <w:t>a</w:t>
      </w:r>
      <w:r w:rsidRPr="00CB082F">
        <w:rPr>
          <w:rFonts w:asciiTheme="majorBidi" w:hAnsiTheme="majorBidi" w:cstheme="majorBidi"/>
          <w:lang w:val="en-US"/>
        </w:rPr>
        <w:t xml:space="preserve">m skripsi ini. Adapun pokok permasalahan tersebut adalah: </w:t>
      </w:r>
    </w:p>
    <w:p w14:paraId="17F37F45" w14:textId="2492053C" w:rsidR="008D372B" w:rsidRPr="00CB082F" w:rsidRDefault="008D372B" w:rsidP="00A42310">
      <w:pPr>
        <w:pStyle w:val="ListParagraph"/>
        <w:numPr>
          <w:ilvl w:val="0"/>
          <w:numId w:val="4"/>
        </w:numPr>
        <w:spacing w:line="276" w:lineRule="auto"/>
        <w:ind w:left="851"/>
        <w:jc w:val="both"/>
        <w:rPr>
          <w:rFonts w:asciiTheme="majorBidi" w:hAnsiTheme="majorBidi" w:cstheme="majorBidi"/>
          <w:lang w:val="en-US"/>
        </w:rPr>
      </w:pPr>
      <w:r w:rsidRPr="00CB082F">
        <w:rPr>
          <w:rFonts w:asciiTheme="majorBidi" w:hAnsiTheme="majorBidi" w:cstheme="majorBidi"/>
          <w:lang w:val="en-US"/>
        </w:rPr>
        <w:lastRenderedPageBreak/>
        <w:t xml:space="preserve">Bagaimana konsep saksi </w:t>
      </w:r>
      <w:r w:rsidRPr="00CB082F">
        <w:rPr>
          <w:rFonts w:asciiTheme="majorBidi" w:hAnsiTheme="majorBidi" w:cstheme="majorBidi"/>
          <w:i/>
          <w:iCs/>
          <w:lang w:val="en-US"/>
        </w:rPr>
        <w:t>testimonium de auditu</w:t>
      </w:r>
      <w:r w:rsidRPr="00CB082F">
        <w:rPr>
          <w:rFonts w:asciiTheme="majorBidi" w:hAnsiTheme="majorBidi" w:cstheme="majorBidi"/>
          <w:lang w:val="en-US"/>
        </w:rPr>
        <w:t xml:space="preserve"> </w:t>
      </w:r>
      <w:r>
        <w:rPr>
          <w:rFonts w:asciiTheme="majorBidi" w:hAnsiTheme="majorBidi" w:cstheme="majorBidi"/>
          <w:lang w:val="en-US"/>
        </w:rPr>
        <w:t>pada</w:t>
      </w:r>
      <w:r w:rsidRPr="00CB082F">
        <w:rPr>
          <w:rFonts w:asciiTheme="majorBidi" w:hAnsiTheme="majorBidi" w:cstheme="majorBidi"/>
          <w:lang w:val="en-US"/>
        </w:rPr>
        <w:t xml:space="preserve"> kasus tindak pidana pelecehan seksual terhadap anak </w:t>
      </w:r>
      <w:r w:rsidR="00152413">
        <w:rPr>
          <w:rFonts w:asciiTheme="majorBidi" w:hAnsiTheme="majorBidi" w:cstheme="majorBidi"/>
          <w:lang w:val="en-US"/>
        </w:rPr>
        <w:t xml:space="preserve">dalam </w:t>
      </w:r>
      <w:r w:rsidRPr="00CB082F">
        <w:rPr>
          <w:rFonts w:asciiTheme="majorBidi" w:hAnsiTheme="majorBidi" w:cstheme="majorBidi"/>
          <w:lang w:val="en-US"/>
        </w:rPr>
        <w:t>per</w:t>
      </w:r>
      <w:r w:rsidR="000A7878">
        <w:rPr>
          <w:rFonts w:asciiTheme="majorBidi" w:hAnsiTheme="majorBidi" w:cstheme="majorBidi"/>
          <w:lang w:val="en-US"/>
        </w:rPr>
        <w:t>s</w:t>
      </w:r>
      <w:r w:rsidRPr="00CB082F">
        <w:rPr>
          <w:rFonts w:asciiTheme="majorBidi" w:hAnsiTheme="majorBidi" w:cstheme="majorBidi"/>
          <w:lang w:val="en-US"/>
        </w:rPr>
        <w:t xml:space="preserve">pektif </w:t>
      </w:r>
      <w:r w:rsidR="00152413">
        <w:rPr>
          <w:rFonts w:asciiTheme="majorBidi" w:hAnsiTheme="majorBidi" w:cstheme="majorBidi"/>
          <w:lang w:val="en-US"/>
        </w:rPr>
        <w:t>Kitab Undang-Undang Hukum Acara Pidana (KUHAP) studi</w:t>
      </w:r>
      <w:r w:rsidRPr="00CB082F">
        <w:rPr>
          <w:rFonts w:asciiTheme="majorBidi" w:hAnsiTheme="majorBidi" w:cstheme="majorBidi"/>
          <w:lang w:val="en-US"/>
        </w:rPr>
        <w:t xml:space="preserve"> </w:t>
      </w:r>
      <w:r w:rsidR="00152413">
        <w:rPr>
          <w:rFonts w:asciiTheme="majorBidi" w:hAnsiTheme="majorBidi" w:cstheme="majorBidi"/>
          <w:lang w:val="en-US"/>
        </w:rPr>
        <w:t>p</w:t>
      </w:r>
      <w:r w:rsidRPr="00CB082F">
        <w:rPr>
          <w:rFonts w:asciiTheme="majorBidi" w:hAnsiTheme="majorBidi" w:cstheme="majorBidi"/>
          <w:lang w:val="en-US"/>
        </w:rPr>
        <w:t>utusan Mahkamah Syariah Takengon Nomor 9/JN/2023/MS.Tkn?</w:t>
      </w:r>
    </w:p>
    <w:p w14:paraId="73663AE0" w14:textId="10DF9143" w:rsidR="008D372B" w:rsidRPr="00CB082F" w:rsidRDefault="008D372B" w:rsidP="00A42310">
      <w:pPr>
        <w:pStyle w:val="ListParagraph"/>
        <w:numPr>
          <w:ilvl w:val="0"/>
          <w:numId w:val="4"/>
        </w:numPr>
        <w:spacing w:line="276" w:lineRule="auto"/>
        <w:ind w:left="851"/>
        <w:jc w:val="both"/>
        <w:rPr>
          <w:rFonts w:asciiTheme="majorBidi" w:hAnsiTheme="majorBidi" w:cstheme="majorBidi"/>
          <w:lang w:val="en-US"/>
        </w:rPr>
      </w:pPr>
      <w:r w:rsidRPr="00CB082F">
        <w:rPr>
          <w:rFonts w:asciiTheme="majorBidi" w:hAnsiTheme="majorBidi" w:cstheme="majorBidi"/>
          <w:lang w:val="en-US"/>
        </w:rPr>
        <w:t xml:space="preserve">Bagaimana konsep saksi </w:t>
      </w:r>
      <w:r w:rsidRPr="003B2963">
        <w:rPr>
          <w:rFonts w:asciiTheme="majorBidi" w:hAnsiTheme="majorBidi" w:cstheme="majorBidi"/>
          <w:i/>
          <w:iCs/>
          <w:lang w:val="en-US"/>
        </w:rPr>
        <w:t>testimonium de auditu</w:t>
      </w:r>
      <w:r>
        <w:rPr>
          <w:rFonts w:asciiTheme="majorBidi" w:hAnsiTheme="majorBidi" w:cstheme="majorBidi"/>
          <w:lang w:val="en-US"/>
        </w:rPr>
        <w:t xml:space="preserve"> </w:t>
      </w:r>
      <w:r w:rsidRPr="00CB082F">
        <w:rPr>
          <w:rFonts w:asciiTheme="majorBidi" w:hAnsiTheme="majorBidi" w:cstheme="majorBidi"/>
          <w:lang w:val="en-US"/>
        </w:rPr>
        <w:t xml:space="preserve"> </w:t>
      </w:r>
      <w:r>
        <w:rPr>
          <w:rFonts w:asciiTheme="majorBidi" w:hAnsiTheme="majorBidi" w:cstheme="majorBidi"/>
          <w:lang w:val="en-US"/>
        </w:rPr>
        <w:t>pada</w:t>
      </w:r>
      <w:r w:rsidRPr="00CB082F">
        <w:rPr>
          <w:rFonts w:asciiTheme="majorBidi" w:hAnsiTheme="majorBidi" w:cstheme="majorBidi"/>
          <w:lang w:val="en-US"/>
        </w:rPr>
        <w:t xml:space="preserve"> kasus tindak pidana pelecehan seksual terhadap anak </w:t>
      </w:r>
      <w:r w:rsidR="00152413">
        <w:rPr>
          <w:rFonts w:asciiTheme="majorBidi" w:hAnsiTheme="majorBidi" w:cstheme="majorBidi"/>
          <w:lang w:val="en-US"/>
        </w:rPr>
        <w:t xml:space="preserve">dalam </w:t>
      </w:r>
      <w:r w:rsidRPr="00CB082F">
        <w:rPr>
          <w:rFonts w:asciiTheme="majorBidi" w:hAnsiTheme="majorBidi" w:cstheme="majorBidi"/>
          <w:lang w:val="en-US"/>
        </w:rPr>
        <w:t>per</w:t>
      </w:r>
      <w:r w:rsidR="000A7878">
        <w:rPr>
          <w:rFonts w:asciiTheme="majorBidi" w:hAnsiTheme="majorBidi" w:cstheme="majorBidi"/>
          <w:lang w:val="en-US"/>
        </w:rPr>
        <w:t>s</w:t>
      </w:r>
      <w:r w:rsidRPr="00CB082F">
        <w:rPr>
          <w:rFonts w:asciiTheme="majorBidi" w:hAnsiTheme="majorBidi" w:cstheme="majorBidi"/>
          <w:lang w:val="en-US"/>
        </w:rPr>
        <w:t xml:space="preserve">pektif </w:t>
      </w:r>
      <w:r w:rsidR="00152413">
        <w:rPr>
          <w:rFonts w:asciiTheme="majorBidi" w:hAnsiTheme="majorBidi" w:cstheme="majorBidi"/>
          <w:lang w:val="en-US"/>
        </w:rPr>
        <w:t xml:space="preserve">Qanun </w:t>
      </w:r>
      <w:r w:rsidRPr="00CB082F">
        <w:rPr>
          <w:rFonts w:asciiTheme="majorBidi" w:hAnsiTheme="majorBidi" w:cstheme="majorBidi"/>
          <w:lang w:val="en-US"/>
        </w:rPr>
        <w:t>Hukum</w:t>
      </w:r>
      <w:r>
        <w:rPr>
          <w:rFonts w:asciiTheme="majorBidi" w:hAnsiTheme="majorBidi" w:cstheme="majorBidi"/>
          <w:lang w:val="en-US"/>
        </w:rPr>
        <w:t xml:space="preserve"> </w:t>
      </w:r>
      <w:r w:rsidRPr="00CB082F">
        <w:rPr>
          <w:rFonts w:asciiTheme="majorBidi" w:hAnsiTheme="majorBidi" w:cstheme="majorBidi"/>
          <w:lang w:val="en-US"/>
        </w:rPr>
        <w:t xml:space="preserve">Acara Jinayat </w:t>
      </w:r>
      <w:r w:rsidR="00152413">
        <w:rPr>
          <w:rFonts w:asciiTheme="majorBidi" w:hAnsiTheme="majorBidi" w:cstheme="majorBidi"/>
          <w:lang w:val="en-US"/>
        </w:rPr>
        <w:t>(QHAJ) studi</w:t>
      </w:r>
      <w:r w:rsidRPr="00CB082F">
        <w:rPr>
          <w:rFonts w:asciiTheme="majorBidi" w:hAnsiTheme="majorBidi" w:cstheme="majorBidi"/>
          <w:lang w:val="en-US"/>
        </w:rPr>
        <w:t xml:space="preserve"> </w:t>
      </w:r>
      <w:r w:rsidR="00152413">
        <w:rPr>
          <w:rFonts w:asciiTheme="majorBidi" w:hAnsiTheme="majorBidi" w:cstheme="majorBidi"/>
          <w:lang w:val="en-US"/>
        </w:rPr>
        <w:t>p</w:t>
      </w:r>
      <w:r w:rsidRPr="00CB082F">
        <w:rPr>
          <w:rFonts w:asciiTheme="majorBidi" w:hAnsiTheme="majorBidi" w:cstheme="majorBidi"/>
          <w:lang w:val="en-US"/>
        </w:rPr>
        <w:t>utusan Mahkamah Syariah Takengon Nomor</w:t>
      </w:r>
      <w:r>
        <w:rPr>
          <w:rFonts w:asciiTheme="majorBidi" w:hAnsiTheme="majorBidi" w:cstheme="majorBidi"/>
          <w:lang w:val="en-US"/>
        </w:rPr>
        <w:t xml:space="preserve"> </w:t>
      </w:r>
      <w:r w:rsidRPr="00CB082F">
        <w:rPr>
          <w:rFonts w:asciiTheme="majorBidi" w:hAnsiTheme="majorBidi" w:cstheme="majorBidi"/>
          <w:lang w:val="en-US"/>
        </w:rPr>
        <w:t>9/Jn/2023/M</w:t>
      </w:r>
      <w:r>
        <w:rPr>
          <w:rFonts w:asciiTheme="majorBidi" w:hAnsiTheme="majorBidi" w:cstheme="majorBidi"/>
          <w:lang w:val="en-US"/>
        </w:rPr>
        <w:t>S</w:t>
      </w:r>
      <w:r w:rsidRPr="00CB082F">
        <w:rPr>
          <w:rFonts w:asciiTheme="majorBidi" w:hAnsiTheme="majorBidi" w:cstheme="majorBidi"/>
          <w:lang w:val="en-US"/>
        </w:rPr>
        <w:t xml:space="preserve">.Tkn? </w:t>
      </w:r>
    </w:p>
    <w:p w14:paraId="33EDA826" w14:textId="77777777" w:rsidR="008D372B" w:rsidRPr="00476137" w:rsidRDefault="008D372B" w:rsidP="00A42310">
      <w:pPr>
        <w:pStyle w:val="Heading2"/>
        <w:spacing w:line="360" w:lineRule="auto"/>
        <w:ind w:left="284"/>
      </w:pPr>
      <w:bookmarkStart w:id="17" w:name="_Toc185961335"/>
      <w:r w:rsidRPr="00476137">
        <w:t xml:space="preserve">Tujuan </w:t>
      </w:r>
      <w:r>
        <w:t>P</w:t>
      </w:r>
      <w:r w:rsidRPr="00476137">
        <w:t>enelitian</w:t>
      </w:r>
      <w:bookmarkEnd w:id="17"/>
    </w:p>
    <w:p w14:paraId="3F588E8D" w14:textId="6BD46F3C" w:rsidR="008D372B" w:rsidRPr="00CB082F" w:rsidRDefault="008D372B" w:rsidP="00A42310">
      <w:pPr>
        <w:spacing w:line="276" w:lineRule="auto"/>
        <w:ind w:left="284" w:firstLine="567"/>
        <w:jc w:val="both"/>
        <w:rPr>
          <w:rFonts w:asciiTheme="majorBidi" w:hAnsiTheme="majorBidi" w:cstheme="majorBidi"/>
          <w:b/>
          <w:bCs/>
          <w:lang w:val="en-US"/>
        </w:rPr>
      </w:pPr>
      <w:r w:rsidRPr="00CB082F">
        <w:rPr>
          <w:rFonts w:asciiTheme="majorBidi" w:hAnsiTheme="majorBidi" w:cstheme="majorBidi"/>
          <w:lang w:val="en-US"/>
        </w:rPr>
        <w:t xml:space="preserve">Secara umum penelitian ini bertujuan untuk menemukan, mengembangkan dan menguji atas suatu objek penelitian. Oleh karena itu penelitian ini bertujuan untuk: </w:t>
      </w:r>
    </w:p>
    <w:p w14:paraId="43617B68" w14:textId="4FBC3DF7" w:rsidR="008D372B" w:rsidRPr="00CB082F" w:rsidRDefault="008D372B" w:rsidP="00A42310">
      <w:pPr>
        <w:pStyle w:val="ListParagraph"/>
        <w:numPr>
          <w:ilvl w:val="0"/>
          <w:numId w:val="5"/>
        </w:numPr>
        <w:spacing w:line="276" w:lineRule="auto"/>
        <w:ind w:left="851"/>
        <w:jc w:val="both"/>
        <w:rPr>
          <w:rFonts w:asciiTheme="majorBidi" w:hAnsiTheme="majorBidi" w:cstheme="majorBidi"/>
          <w:lang w:val="en-US"/>
        </w:rPr>
      </w:pPr>
      <w:r w:rsidRPr="00CB082F">
        <w:rPr>
          <w:rFonts w:asciiTheme="majorBidi" w:hAnsiTheme="majorBidi" w:cstheme="majorBidi"/>
          <w:lang w:val="en-US"/>
        </w:rPr>
        <w:t xml:space="preserve">Menjelaskan </w:t>
      </w:r>
      <w:r w:rsidR="00152413" w:rsidRPr="00CB082F">
        <w:rPr>
          <w:rFonts w:asciiTheme="majorBidi" w:hAnsiTheme="majorBidi" w:cstheme="majorBidi"/>
          <w:lang w:val="en-US"/>
        </w:rPr>
        <w:t xml:space="preserve">konsep saksi </w:t>
      </w:r>
      <w:r w:rsidR="00152413" w:rsidRPr="00CB082F">
        <w:rPr>
          <w:rFonts w:asciiTheme="majorBidi" w:hAnsiTheme="majorBidi" w:cstheme="majorBidi"/>
          <w:i/>
          <w:iCs/>
          <w:lang w:val="en-US"/>
        </w:rPr>
        <w:t>testimonium de auditu</w:t>
      </w:r>
      <w:r w:rsidR="00152413" w:rsidRPr="00CB082F">
        <w:rPr>
          <w:rFonts w:asciiTheme="majorBidi" w:hAnsiTheme="majorBidi" w:cstheme="majorBidi"/>
          <w:lang w:val="en-US"/>
        </w:rPr>
        <w:t xml:space="preserve"> </w:t>
      </w:r>
      <w:r w:rsidR="00152413">
        <w:rPr>
          <w:rFonts w:asciiTheme="majorBidi" w:hAnsiTheme="majorBidi" w:cstheme="majorBidi"/>
          <w:lang w:val="en-US"/>
        </w:rPr>
        <w:t>pada</w:t>
      </w:r>
      <w:r w:rsidR="00152413" w:rsidRPr="00CB082F">
        <w:rPr>
          <w:rFonts w:asciiTheme="majorBidi" w:hAnsiTheme="majorBidi" w:cstheme="majorBidi"/>
          <w:lang w:val="en-US"/>
        </w:rPr>
        <w:t xml:space="preserve"> kasus tindak pidana pelecehan seksual terhadap anak </w:t>
      </w:r>
      <w:r w:rsidR="00152413">
        <w:rPr>
          <w:rFonts w:asciiTheme="majorBidi" w:hAnsiTheme="majorBidi" w:cstheme="majorBidi"/>
          <w:lang w:val="en-US"/>
        </w:rPr>
        <w:t xml:space="preserve">dalam </w:t>
      </w:r>
      <w:r w:rsidR="00152413" w:rsidRPr="00CB082F">
        <w:rPr>
          <w:rFonts w:asciiTheme="majorBidi" w:hAnsiTheme="majorBidi" w:cstheme="majorBidi"/>
          <w:lang w:val="en-US"/>
        </w:rPr>
        <w:t>per</w:t>
      </w:r>
      <w:r w:rsidR="000A7878">
        <w:rPr>
          <w:rFonts w:asciiTheme="majorBidi" w:hAnsiTheme="majorBidi" w:cstheme="majorBidi"/>
          <w:lang w:val="en-US"/>
        </w:rPr>
        <w:t>s</w:t>
      </w:r>
      <w:r w:rsidR="00152413" w:rsidRPr="00CB082F">
        <w:rPr>
          <w:rFonts w:asciiTheme="majorBidi" w:hAnsiTheme="majorBidi" w:cstheme="majorBidi"/>
          <w:lang w:val="en-US"/>
        </w:rPr>
        <w:t xml:space="preserve">pektif </w:t>
      </w:r>
      <w:r w:rsidR="00152413">
        <w:rPr>
          <w:rFonts w:asciiTheme="majorBidi" w:hAnsiTheme="majorBidi" w:cstheme="majorBidi"/>
          <w:lang w:val="en-US"/>
        </w:rPr>
        <w:t>Kitab Undang-Undang Hukum Acara Pidana (KUHAP) studi</w:t>
      </w:r>
      <w:r w:rsidR="00152413" w:rsidRPr="00CB082F">
        <w:rPr>
          <w:rFonts w:asciiTheme="majorBidi" w:hAnsiTheme="majorBidi" w:cstheme="majorBidi"/>
          <w:lang w:val="en-US"/>
        </w:rPr>
        <w:t xml:space="preserve"> </w:t>
      </w:r>
      <w:r w:rsidR="00152413">
        <w:rPr>
          <w:rFonts w:asciiTheme="majorBidi" w:hAnsiTheme="majorBidi" w:cstheme="majorBidi"/>
          <w:lang w:val="en-US"/>
        </w:rPr>
        <w:t>p</w:t>
      </w:r>
      <w:r w:rsidR="00152413" w:rsidRPr="00CB082F">
        <w:rPr>
          <w:rFonts w:asciiTheme="majorBidi" w:hAnsiTheme="majorBidi" w:cstheme="majorBidi"/>
          <w:lang w:val="en-US"/>
        </w:rPr>
        <w:t>utusan Mahkamah Syariah Takengon Nomor 9/JN/2023/MS.Tkn</w:t>
      </w:r>
      <w:r w:rsidR="00152413">
        <w:rPr>
          <w:rFonts w:asciiTheme="majorBidi" w:hAnsiTheme="majorBidi" w:cstheme="majorBidi"/>
          <w:lang w:val="en-US"/>
        </w:rPr>
        <w:t>.</w:t>
      </w:r>
    </w:p>
    <w:p w14:paraId="64FAC30C" w14:textId="31CC87F6" w:rsidR="009F7719" w:rsidRPr="009F7719" w:rsidRDefault="008D372B" w:rsidP="00A42310">
      <w:pPr>
        <w:pStyle w:val="ListParagraph"/>
        <w:numPr>
          <w:ilvl w:val="0"/>
          <w:numId w:val="5"/>
        </w:numPr>
        <w:spacing w:line="276" w:lineRule="auto"/>
        <w:ind w:left="851"/>
        <w:jc w:val="both"/>
        <w:rPr>
          <w:rFonts w:asciiTheme="majorBidi" w:hAnsiTheme="majorBidi" w:cstheme="majorBidi"/>
          <w:lang w:val="en-US"/>
        </w:rPr>
      </w:pPr>
      <w:r w:rsidRPr="00CB082F">
        <w:rPr>
          <w:rFonts w:asciiTheme="majorBidi" w:hAnsiTheme="majorBidi" w:cstheme="majorBidi"/>
          <w:lang w:val="en-US"/>
        </w:rPr>
        <w:t xml:space="preserve">Menjelaskan </w:t>
      </w:r>
      <w:r w:rsidR="00152413" w:rsidRPr="00CB082F">
        <w:rPr>
          <w:rFonts w:asciiTheme="majorBidi" w:hAnsiTheme="majorBidi" w:cstheme="majorBidi"/>
          <w:lang w:val="en-US"/>
        </w:rPr>
        <w:t xml:space="preserve">konsep saksi </w:t>
      </w:r>
      <w:r w:rsidR="00152413" w:rsidRPr="003B2963">
        <w:rPr>
          <w:rFonts w:asciiTheme="majorBidi" w:hAnsiTheme="majorBidi" w:cstheme="majorBidi"/>
          <w:i/>
          <w:iCs/>
          <w:lang w:val="en-US"/>
        </w:rPr>
        <w:t>testimonium de auditu</w:t>
      </w:r>
      <w:r w:rsidR="00152413">
        <w:rPr>
          <w:rFonts w:asciiTheme="majorBidi" w:hAnsiTheme="majorBidi" w:cstheme="majorBidi"/>
          <w:lang w:val="en-US"/>
        </w:rPr>
        <w:t xml:space="preserve"> </w:t>
      </w:r>
      <w:r w:rsidR="00152413" w:rsidRPr="00CB082F">
        <w:rPr>
          <w:rFonts w:asciiTheme="majorBidi" w:hAnsiTheme="majorBidi" w:cstheme="majorBidi"/>
          <w:lang w:val="en-US"/>
        </w:rPr>
        <w:t xml:space="preserve"> </w:t>
      </w:r>
      <w:r w:rsidR="00152413">
        <w:rPr>
          <w:rFonts w:asciiTheme="majorBidi" w:hAnsiTheme="majorBidi" w:cstheme="majorBidi"/>
          <w:lang w:val="en-US"/>
        </w:rPr>
        <w:t>pada</w:t>
      </w:r>
      <w:r w:rsidR="00152413" w:rsidRPr="00CB082F">
        <w:rPr>
          <w:rFonts w:asciiTheme="majorBidi" w:hAnsiTheme="majorBidi" w:cstheme="majorBidi"/>
          <w:lang w:val="en-US"/>
        </w:rPr>
        <w:t xml:space="preserve"> kasus tindak pidana pelecehan seksual terhadap anak </w:t>
      </w:r>
      <w:r w:rsidR="00152413">
        <w:rPr>
          <w:rFonts w:asciiTheme="majorBidi" w:hAnsiTheme="majorBidi" w:cstheme="majorBidi"/>
          <w:lang w:val="en-US"/>
        </w:rPr>
        <w:t xml:space="preserve">dalam </w:t>
      </w:r>
      <w:r w:rsidR="00152413" w:rsidRPr="00CB082F">
        <w:rPr>
          <w:rFonts w:asciiTheme="majorBidi" w:hAnsiTheme="majorBidi" w:cstheme="majorBidi"/>
          <w:lang w:val="en-US"/>
        </w:rPr>
        <w:t>per</w:t>
      </w:r>
      <w:r w:rsidR="000A7878">
        <w:rPr>
          <w:rFonts w:asciiTheme="majorBidi" w:hAnsiTheme="majorBidi" w:cstheme="majorBidi"/>
          <w:lang w:val="en-US"/>
        </w:rPr>
        <w:t>s</w:t>
      </w:r>
      <w:r w:rsidR="00152413" w:rsidRPr="00CB082F">
        <w:rPr>
          <w:rFonts w:asciiTheme="majorBidi" w:hAnsiTheme="majorBidi" w:cstheme="majorBidi"/>
          <w:lang w:val="en-US"/>
        </w:rPr>
        <w:t xml:space="preserve">pektif </w:t>
      </w:r>
      <w:r w:rsidR="00152413">
        <w:rPr>
          <w:rFonts w:asciiTheme="majorBidi" w:hAnsiTheme="majorBidi" w:cstheme="majorBidi"/>
          <w:lang w:val="en-US"/>
        </w:rPr>
        <w:t xml:space="preserve">Qanun </w:t>
      </w:r>
      <w:r w:rsidR="00152413" w:rsidRPr="00CB082F">
        <w:rPr>
          <w:rFonts w:asciiTheme="majorBidi" w:hAnsiTheme="majorBidi" w:cstheme="majorBidi"/>
          <w:lang w:val="en-US"/>
        </w:rPr>
        <w:t>Hukum</w:t>
      </w:r>
      <w:r w:rsidR="00152413">
        <w:rPr>
          <w:rFonts w:asciiTheme="majorBidi" w:hAnsiTheme="majorBidi" w:cstheme="majorBidi"/>
          <w:lang w:val="en-US"/>
        </w:rPr>
        <w:t xml:space="preserve"> </w:t>
      </w:r>
      <w:r w:rsidR="00152413" w:rsidRPr="00CB082F">
        <w:rPr>
          <w:rFonts w:asciiTheme="majorBidi" w:hAnsiTheme="majorBidi" w:cstheme="majorBidi"/>
          <w:lang w:val="en-US"/>
        </w:rPr>
        <w:t xml:space="preserve">Acara Jinayat </w:t>
      </w:r>
      <w:r w:rsidR="00152413">
        <w:rPr>
          <w:rFonts w:asciiTheme="majorBidi" w:hAnsiTheme="majorBidi" w:cstheme="majorBidi"/>
          <w:lang w:val="en-US"/>
        </w:rPr>
        <w:t>(QHAJ) studi</w:t>
      </w:r>
      <w:r w:rsidR="00152413" w:rsidRPr="00CB082F">
        <w:rPr>
          <w:rFonts w:asciiTheme="majorBidi" w:hAnsiTheme="majorBidi" w:cstheme="majorBidi"/>
          <w:lang w:val="en-US"/>
        </w:rPr>
        <w:t xml:space="preserve"> </w:t>
      </w:r>
      <w:r w:rsidR="00152413">
        <w:rPr>
          <w:rFonts w:asciiTheme="majorBidi" w:hAnsiTheme="majorBidi" w:cstheme="majorBidi"/>
          <w:lang w:val="en-US"/>
        </w:rPr>
        <w:t>p</w:t>
      </w:r>
      <w:r w:rsidR="00152413" w:rsidRPr="00CB082F">
        <w:rPr>
          <w:rFonts w:asciiTheme="majorBidi" w:hAnsiTheme="majorBidi" w:cstheme="majorBidi"/>
          <w:lang w:val="en-US"/>
        </w:rPr>
        <w:t>utusan Mahkamah Syariah Takengon Nomor</w:t>
      </w:r>
      <w:r w:rsidR="00152413">
        <w:rPr>
          <w:rFonts w:asciiTheme="majorBidi" w:hAnsiTheme="majorBidi" w:cstheme="majorBidi"/>
          <w:lang w:val="en-US"/>
        </w:rPr>
        <w:t xml:space="preserve"> </w:t>
      </w:r>
      <w:r w:rsidR="00152413" w:rsidRPr="00CB082F">
        <w:rPr>
          <w:rFonts w:asciiTheme="majorBidi" w:hAnsiTheme="majorBidi" w:cstheme="majorBidi"/>
          <w:lang w:val="en-US"/>
        </w:rPr>
        <w:t>9/Jn/2023/M</w:t>
      </w:r>
      <w:r w:rsidR="00152413">
        <w:rPr>
          <w:rFonts w:asciiTheme="majorBidi" w:hAnsiTheme="majorBidi" w:cstheme="majorBidi"/>
          <w:lang w:val="en-US"/>
        </w:rPr>
        <w:t>S</w:t>
      </w:r>
      <w:r w:rsidR="00152413" w:rsidRPr="00CB082F">
        <w:rPr>
          <w:rFonts w:asciiTheme="majorBidi" w:hAnsiTheme="majorBidi" w:cstheme="majorBidi"/>
          <w:lang w:val="en-US"/>
        </w:rPr>
        <w:t>.</w:t>
      </w:r>
      <w:r w:rsidRPr="00CB082F">
        <w:rPr>
          <w:rFonts w:asciiTheme="majorBidi" w:hAnsiTheme="majorBidi" w:cstheme="majorBidi"/>
          <w:lang w:val="en-US"/>
        </w:rPr>
        <w:t xml:space="preserve"> </w:t>
      </w:r>
      <w:r w:rsidR="00152413" w:rsidRPr="00CB082F">
        <w:rPr>
          <w:rFonts w:asciiTheme="majorBidi" w:hAnsiTheme="majorBidi" w:cstheme="majorBidi"/>
          <w:lang w:val="en-US"/>
        </w:rPr>
        <w:t>Tkn</w:t>
      </w:r>
      <w:r w:rsidR="00152413">
        <w:rPr>
          <w:rFonts w:asciiTheme="majorBidi" w:hAnsiTheme="majorBidi" w:cstheme="majorBidi"/>
          <w:lang w:val="en-US"/>
        </w:rPr>
        <w:t>.</w:t>
      </w:r>
    </w:p>
    <w:p w14:paraId="52FAB809" w14:textId="77777777" w:rsidR="008D372B" w:rsidRPr="00476137" w:rsidRDefault="008D372B" w:rsidP="00A42310">
      <w:pPr>
        <w:pStyle w:val="Heading2"/>
        <w:spacing w:line="360" w:lineRule="auto"/>
        <w:ind w:left="284"/>
      </w:pPr>
      <w:bookmarkStart w:id="18" w:name="_Toc185961336"/>
      <w:r w:rsidRPr="00476137">
        <w:t xml:space="preserve">Manfaat </w:t>
      </w:r>
      <w:r>
        <w:t>P</w:t>
      </w:r>
      <w:r w:rsidRPr="00476137">
        <w:t>enelitian</w:t>
      </w:r>
      <w:bookmarkEnd w:id="18"/>
      <w:r w:rsidRPr="00476137">
        <w:t xml:space="preserve"> </w:t>
      </w:r>
    </w:p>
    <w:p w14:paraId="7773064F" w14:textId="77777777" w:rsidR="008D372B" w:rsidRPr="00CB082F" w:rsidRDefault="008D372B" w:rsidP="00A42310">
      <w:pPr>
        <w:spacing w:line="276" w:lineRule="auto"/>
        <w:ind w:left="284" w:firstLine="567"/>
        <w:jc w:val="both"/>
        <w:rPr>
          <w:rFonts w:asciiTheme="majorBidi" w:hAnsiTheme="majorBidi" w:cstheme="majorBidi"/>
          <w:b/>
          <w:bCs/>
          <w:lang w:val="en-US"/>
        </w:rPr>
      </w:pPr>
      <w:r w:rsidRPr="00CB082F">
        <w:rPr>
          <w:rFonts w:asciiTheme="majorBidi" w:hAnsiTheme="majorBidi" w:cstheme="majorBidi"/>
          <w:lang w:val="en-US"/>
        </w:rPr>
        <w:t>Terkait dengan penelitian, palin</w:t>
      </w:r>
      <w:r>
        <w:rPr>
          <w:rFonts w:asciiTheme="majorBidi" w:hAnsiTheme="majorBidi" w:cstheme="majorBidi"/>
          <w:lang w:val="en-US"/>
        </w:rPr>
        <w:t>g</w:t>
      </w:r>
      <w:r w:rsidRPr="00CB082F">
        <w:rPr>
          <w:rFonts w:asciiTheme="majorBidi" w:hAnsiTheme="majorBidi" w:cstheme="majorBidi"/>
          <w:lang w:val="en-US"/>
        </w:rPr>
        <w:t xml:space="preserve"> tidak mendapatkan tiga manfaat yang hendak dicapai dari penelitian ini</w:t>
      </w:r>
      <w:r>
        <w:rPr>
          <w:rFonts w:asciiTheme="majorBidi" w:hAnsiTheme="majorBidi" w:cstheme="majorBidi"/>
          <w:lang w:val="en-US"/>
        </w:rPr>
        <w:t xml:space="preserve"> yaitu</w:t>
      </w:r>
      <w:r w:rsidRPr="00CB082F">
        <w:rPr>
          <w:rFonts w:asciiTheme="majorBidi" w:hAnsiTheme="majorBidi" w:cstheme="majorBidi"/>
          <w:lang w:val="en-US"/>
        </w:rPr>
        <w:t xml:space="preserve">: </w:t>
      </w:r>
    </w:p>
    <w:p w14:paraId="383BA020" w14:textId="77777777" w:rsidR="00E809B8" w:rsidRDefault="008D372B" w:rsidP="005418DB">
      <w:pPr>
        <w:pStyle w:val="ListParagraph"/>
        <w:numPr>
          <w:ilvl w:val="0"/>
          <w:numId w:val="6"/>
        </w:numPr>
        <w:spacing w:line="276" w:lineRule="auto"/>
        <w:ind w:left="851"/>
        <w:jc w:val="both"/>
        <w:rPr>
          <w:rFonts w:asciiTheme="majorBidi" w:hAnsiTheme="majorBidi" w:cstheme="majorBidi"/>
          <w:lang w:val="en-US"/>
        </w:rPr>
      </w:pPr>
      <w:r w:rsidRPr="00CB082F">
        <w:rPr>
          <w:rFonts w:asciiTheme="majorBidi" w:hAnsiTheme="majorBidi" w:cstheme="majorBidi"/>
          <w:lang w:val="en-US"/>
        </w:rPr>
        <w:lastRenderedPageBreak/>
        <w:t xml:space="preserve">Manfaat </w:t>
      </w:r>
      <w:r w:rsidR="00E809B8">
        <w:rPr>
          <w:rFonts w:asciiTheme="majorBidi" w:hAnsiTheme="majorBidi" w:cstheme="majorBidi"/>
          <w:lang w:val="en-US"/>
        </w:rPr>
        <w:t>Teoritis</w:t>
      </w:r>
    </w:p>
    <w:p w14:paraId="12C60B20" w14:textId="7DA2F583" w:rsidR="008D372B" w:rsidRDefault="00E809B8" w:rsidP="005418DB">
      <w:pPr>
        <w:pStyle w:val="ListParagraph"/>
        <w:numPr>
          <w:ilvl w:val="0"/>
          <w:numId w:val="99"/>
        </w:numPr>
        <w:spacing w:line="276" w:lineRule="auto"/>
        <w:ind w:left="1418" w:hanging="284"/>
        <w:jc w:val="both"/>
        <w:rPr>
          <w:rFonts w:asciiTheme="majorBidi" w:hAnsiTheme="majorBidi" w:cstheme="majorBidi"/>
          <w:lang w:val="en-US"/>
        </w:rPr>
      </w:pPr>
      <w:r>
        <w:rPr>
          <w:rFonts w:asciiTheme="majorBidi" w:hAnsiTheme="majorBidi" w:cstheme="majorBidi"/>
          <w:lang w:val="en-US"/>
        </w:rPr>
        <w:t>Penelitian ini diharapkan dapat menambah wawasan bagi mahasiswa yang ada di perguruan tinggi seluruh Indonesia, khusu</w:t>
      </w:r>
      <w:r w:rsidR="000A7878">
        <w:rPr>
          <w:rFonts w:asciiTheme="majorBidi" w:hAnsiTheme="majorBidi" w:cstheme="majorBidi"/>
          <w:lang w:val="en-US"/>
        </w:rPr>
        <w:t>s</w:t>
      </w:r>
      <w:r>
        <w:rPr>
          <w:rFonts w:asciiTheme="majorBidi" w:hAnsiTheme="majorBidi" w:cstheme="majorBidi"/>
          <w:lang w:val="en-US"/>
        </w:rPr>
        <w:t xml:space="preserve">nya dalam bidang hukum </w:t>
      </w:r>
      <w:r w:rsidR="0055758F">
        <w:rPr>
          <w:rFonts w:asciiTheme="majorBidi" w:hAnsiTheme="majorBidi" w:cstheme="majorBidi"/>
          <w:lang w:val="en-US"/>
        </w:rPr>
        <w:t xml:space="preserve">pidana dan hukum pidana Islam berkaitan dengan kesaksian </w:t>
      </w:r>
      <w:r w:rsidR="0055758F" w:rsidRPr="0055758F">
        <w:rPr>
          <w:rFonts w:asciiTheme="majorBidi" w:hAnsiTheme="majorBidi" w:cstheme="majorBidi"/>
          <w:i/>
          <w:iCs/>
          <w:lang w:val="en-US"/>
        </w:rPr>
        <w:t>testimonium de auditu</w:t>
      </w:r>
      <w:r w:rsidR="0055758F">
        <w:rPr>
          <w:rFonts w:asciiTheme="majorBidi" w:hAnsiTheme="majorBidi" w:cstheme="majorBidi"/>
          <w:lang w:val="en-US"/>
        </w:rPr>
        <w:t xml:space="preserve"> </w:t>
      </w:r>
      <w:r w:rsidR="008D372B" w:rsidRPr="00CB082F">
        <w:rPr>
          <w:rFonts w:asciiTheme="majorBidi" w:hAnsiTheme="majorBidi" w:cstheme="majorBidi"/>
          <w:lang w:val="en-US"/>
        </w:rPr>
        <w:t xml:space="preserve"> </w:t>
      </w:r>
    </w:p>
    <w:p w14:paraId="78D8124E" w14:textId="39B8EEF6" w:rsidR="0055758F" w:rsidRPr="00CB082F" w:rsidRDefault="0055758F" w:rsidP="005418DB">
      <w:pPr>
        <w:pStyle w:val="ListParagraph"/>
        <w:numPr>
          <w:ilvl w:val="0"/>
          <w:numId w:val="99"/>
        </w:numPr>
        <w:spacing w:line="276" w:lineRule="auto"/>
        <w:ind w:left="1418" w:hanging="284"/>
        <w:jc w:val="both"/>
        <w:rPr>
          <w:rFonts w:asciiTheme="majorBidi" w:hAnsiTheme="majorBidi" w:cstheme="majorBidi"/>
          <w:lang w:val="en-US"/>
        </w:rPr>
      </w:pPr>
      <w:r>
        <w:rPr>
          <w:rFonts w:asciiTheme="majorBidi" w:hAnsiTheme="majorBidi" w:cstheme="majorBidi"/>
          <w:lang w:val="en-US"/>
        </w:rPr>
        <w:t xml:space="preserve">Penelitian ini diharapkan dapat dijadikan sebagai referensi dan pedoman penelitian selanjutnya dalam bidang hukum pidana positif dan hukum acara jinayah yang berkaitan dengan dengan kesaksian </w:t>
      </w:r>
      <w:r w:rsidRPr="0055758F">
        <w:rPr>
          <w:rFonts w:asciiTheme="majorBidi" w:hAnsiTheme="majorBidi" w:cstheme="majorBidi"/>
          <w:i/>
          <w:iCs/>
          <w:lang w:val="en-US"/>
        </w:rPr>
        <w:t>testimonium de auditu</w:t>
      </w:r>
      <w:r>
        <w:rPr>
          <w:rFonts w:asciiTheme="majorBidi" w:hAnsiTheme="majorBidi" w:cstheme="majorBidi"/>
          <w:lang w:val="en-US"/>
        </w:rPr>
        <w:t xml:space="preserve"> </w:t>
      </w:r>
    </w:p>
    <w:p w14:paraId="6BFC6289" w14:textId="54DBB815" w:rsidR="0055758F" w:rsidRDefault="0055758F" w:rsidP="005418DB">
      <w:pPr>
        <w:pStyle w:val="ListParagraph"/>
        <w:numPr>
          <w:ilvl w:val="0"/>
          <w:numId w:val="6"/>
        </w:numPr>
        <w:spacing w:line="276" w:lineRule="auto"/>
        <w:ind w:left="851"/>
        <w:jc w:val="both"/>
        <w:rPr>
          <w:rFonts w:asciiTheme="majorBidi" w:hAnsiTheme="majorBidi" w:cstheme="majorBidi"/>
          <w:lang w:val="en-US"/>
        </w:rPr>
      </w:pPr>
      <w:r>
        <w:rPr>
          <w:rFonts w:asciiTheme="majorBidi" w:hAnsiTheme="majorBidi" w:cstheme="majorBidi"/>
          <w:lang w:val="en-US"/>
        </w:rPr>
        <w:t xml:space="preserve">Manfaat Praktis </w:t>
      </w:r>
    </w:p>
    <w:p w14:paraId="2EBFF613" w14:textId="77777777" w:rsidR="0055758F" w:rsidRDefault="0055758F" w:rsidP="005418DB">
      <w:pPr>
        <w:pStyle w:val="ListParagraph"/>
        <w:numPr>
          <w:ilvl w:val="0"/>
          <w:numId w:val="101"/>
        </w:numPr>
        <w:spacing w:line="276" w:lineRule="auto"/>
        <w:ind w:hanging="306"/>
        <w:jc w:val="both"/>
        <w:rPr>
          <w:rFonts w:asciiTheme="majorBidi" w:hAnsiTheme="majorBidi" w:cstheme="majorBidi"/>
          <w:lang w:val="en-US"/>
        </w:rPr>
      </w:pPr>
      <w:r>
        <w:rPr>
          <w:rFonts w:asciiTheme="majorBidi" w:hAnsiTheme="majorBidi" w:cstheme="majorBidi"/>
          <w:lang w:val="en-US"/>
        </w:rPr>
        <w:t>Bagi Peneliti</w:t>
      </w:r>
    </w:p>
    <w:p w14:paraId="4F543461" w14:textId="77777777" w:rsidR="0055758F" w:rsidRDefault="008D372B" w:rsidP="0055758F">
      <w:pPr>
        <w:pStyle w:val="ListParagraph"/>
        <w:spacing w:line="276" w:lineRule="auto"/>
        <w:ind w:left="1440"/>
        <w:jc w:val="both"/>
        <w:rPr>
          <w:rFonts w:asciiTheme="majorBidi" w:hAnsiTheme="majorBidi" w:cstheme="majorBidi"/>
          <w:lang w:val="en-US"/>
        </w:rPr>
      </w:pPr>
      <w:r w:rsidRPr="0055758F">
        <w:rPr>
          <w:rFonts w:asciiTheme="majorBidi" w:hAnsiTheme="majorBidi" w:cstheme="majorBidi"/>
          <w:lang w:val="en-US"/>
        </w:rPr>
        <w:t xml:space="preserve">Penelitian ini memunginkan penulis untuk mendalami konsep saksi </w:t>
      </w:r>
      <w:r w:rsidRPr="0055758F">
        <w:rPr>
          <w:rFonts w:asciiTheme="majorBidi" w:hAnsiTheme="majorBidi" w:cstheme="majorBidi"/>
          <w:i/>
          <w:iCs/>
          <w:lang w:val="en-US"/>
        </w:rPr>
        <w:t>testimonium de auditu</w:t>
      </w:r>
      <w:r w:rsidRPr="0055758F">
        <w:rPr>
          <w:rFonts w:asciiTheme="majorBidi" w:hAnsiTheme="majorBidi" w:cstheme="majorBidi"/>
          <w:lang w:val="en-US"/>
        </w:rPr>
        <w:t xml:space="preserve"> dalam hukum positif dan hukum acara pidana Islam (</w:t>
      </w:r>
      <w:r w:rsidRPr="0055758F">
        <w:rPr>
          <w:rFonts w:asciiTheme="majorBidi" w:hAnsiTheme="majorBidi" w:cstheme="majorBidi"/>
          <w:i/>
          <w:iCs/>
          <w:lang w:val="en-US"/>
        </w:rPr>
        <w:t>Jinayah</w:t>
      </w:r>
      <w:r w:rsidRPr="0055758F">
        <w:rPr>
          <w:rFonts w:asciiTheme="majorBidi" w:hAnsiTheme="majorBidi" w:cstheme="majorBidi"/>
          <w:lang w:val="en-US"/>
        </w:rPr>
        <w:t>). Hal ini akan memperkaya pengetahuan dan pemahaman penulis tentang kedua sistem hukum tersebut, khususnya dalam kaitannya dengan sistem pembuktian dalam kasus pelecehan seksual terhadap anak di bawah umur</w:t>
      </w:r>
    </w:p>
    <w:p w14:paraId="6075F505" w14:textId="77777777" w:rsidR="0055758F" w:rsidRDefault="008D372B" w:rsidP="0055758F">
      <w:pPr>
        <w:pStyle w:val="ListParagraph"/>
        <w:numPr>
          <w:ilvl w:val="0"/>
          <w:numId w:val="101"/>
        </w:numPr>
        <w:spacing w:line="276" w:lineRule="auto"/>
        <w:jc w:val="both"/>
        <w:rPr>
          <w:rFonts w:asciiTheme="majorBidi" w:hAnsiTheme="majorBidi" w:cstheme="majorBidi"/>
          <w:lang w:val="en-US"/>
        </w:rPr>
      </w:pPr>
      <w:r w:rsidRPr="0055758F">
        <w:rPr>
          <w:rFonts w:asciiTheme="majorBidi" w:hAnsiTheme="majorBidi" w:cstheme="majorBidi"/>
          <w:lang w:val="en-US"/>
        </w:rPr>
        <w:t>Manfaat bagi akademik</w:t>
      </w:r>
    </w:p>
    <w:p w14:paraId="3AE7C743" w14:textId="77777777" w:rsidR="0055758F" w:rsidRDefault="008D372B" w:rsidP="0055758F">
      <w:pPr>
        <w:pStyle w:val="ListParagraph"/>
        <w:spacing w:line="276" w:lineRule="auto"/>
        <w:ind w:left="1440"/>
        <w:jc w:val="both"/>
        <w:rPr>
          <w:rFonts w:asciiTheme="majorBidi" w:hAnsiTheme="majorBidi" w:cstheme="majorBidi"/>
          <w:lang w:val="en-US"/>
        </w:rPr>
      </w:pPr>
      <w:r w:rsidRPr="0055758F">
        <w:rPr>
          <w:rFonts w:asciiTheme="majorBidi" w:hAnsiTheme="majorBidi" w:cstheme="majorBidi"/>
          <w:lang w:val="en-US"/>
        </w:rPr>
        <w:t xml:space="preserve">Penelitian ini dapat memicu diskusi dan wacana akademik tentang kesaksian </w:t>
      </w:r>
      <w:r w:rsidRPr="0055758F">
        <w:rPr>
          <w:rFonts w:asciiTheme="majorBidi" w:hAnsiTheme="majorBidi" w:cstheme="majorBidi"/>
          <w:i/>
          <w:iCs/>
          <w:lang w:val="en-US"/>
        </w:rPr>
        <w:t>testimonium de auditu</w:t>
      </w:r>
      <w:r w:rsidRPr="0055758F">
        <w:rPr>
          <w:rFonts w:asciiTheme="majorBidi" w:hAnsiTheme="majorBidi" w:cstheme="majorBidi"/>
          <w:lang w:val="en-US"/>
        </w:rPr>
        <w:t xml:space="preserve"> dalam hukum positif dan hukum pidana Islam </w:t>
      </w:r>
      <w:r w:rsidRPr="0055758F">
        <w:rPr>
          <w:rFonts w:asciiTheme="majorBidi" w:hAnsiTheme="majorBidi" w:cstheme="majorBidi"/>
          <w:i/>
          <w:iCs/>
          <w:lang w:val="en-US"/>
        </w:rPr>
        <w:t>(Jinayah</w:t>
      </w:r>
      <w:r w:rsidRPr="0055758F">
        <w:rPr>
          <w:rFonts w:asciiTheme="majorBidi" w:hAnsiTheme="majorBidi" w:cstheme="majorBidi"/>
          <w:lang w:val="en-US"/>
        </w:rPr>
        <w:t xml:space="preserve">). Hal ini akan memperkaya </w:t>
      </w:r>
      <w:r w:rsidRPr="0055758F">
        <w:rPr>
          <w:rFonts w:asciiTheme="majorBidi" w:hAnsiTheme="majorBidi" w:cstheme="majorBidi"/>
          <w:i/>
          <w:iCs/>
          <w:lang w:val="en-US"/>
        </w:rPr>
        <w:t>khazanah</w:t>
      </w:r>
      <w:r w:rsidRPr="0055758F">
        <w:rPr>
          <w:rFonts w:asciiTheme="majorBidi" w:hAnsiTheme="majorBidi" w:cstheme="majorBidi"/>
          <w:lang w:val="en-US"/>
        </w:rPr>
        <w:t xml:space="preserve"> ilmu pengetahuan dan mendorong kemajuan ilmu hukum.</w:t>
      </w:r>
    </w:p>
    <w:p w14:paraId="20D787D8" w14:textId="77777777" w:rsidR="0055758F" w:rsidRDefault="008D372B" w:rsidP="0055758F">
      <w:pPr>
        <w:pStyle w:val="ListParagraph"/>
        <w:numPr>
          <w:ilvl w:val="0"/>
          <w:numId w:val="101"/>
        </w:numPr>
        <w:spacing w:line="276" w:lineRule="auto"/>
        <w:jc w:val="both"/>
        <w:rPr>
          <w:rFonts w:asciiTheme="majorBidi" w:hAnsiTheme="majorBidi" w:cstheme="majorBidi"/>
          <w:lang w:val="en-US"/>
        </w:rPr>
      </w:pPr>
      <w:r w:rsidRPr="0055758F">
        <w:rPr>
          <w:rFonts w:asciiTheme="majorBidi" w:hAnsiTheme="majorBidi" w:cstheme="majorBidi"/>
          <w:lang w:val="en-US"/>
        </w:rPr>
        <w:t>Manfaat bagi masyarakat</w:t>
      </w:r>
    </w:p>
    <w:p w14:paraId="2A92C20C" w14:textId="5C711BB2" w:rsidR="00E809B8" w:rsidRPr="0055758F" w:rsidRDefault="008D372B" w:rsidP="0055758F">
      <w:pPr>
        <w:pStyle w:val="ListParagraph"/>
        <w:spacing w:line="276" w:lineRule="auto"/>
        <w:ind w:left="1440"/>
        <w:jc w:val="both"/>
        <w:rPr>
          <w:rFonts w:asciiTheme="majorBidi" w:hAnsiTheme="majorBidi" w:cstheme="majorBidi"/>
          <w:lang w:val="en-US"/>
        </w:rPr>
      </w:pPr>
      <w:r w:rsidRPr="0055758F">
        <w:rPr>
          <w:rFonts w:asciiTheme="majorBidi" w:hAnsiTheme="majorBidi" w:cstheme="majorBidi"/>
          <w:lang w:val="en-US"/>
        </w:rPr>
        <w:t xml:space="preserve">Hasil penelitian ini dapat membantu penegak hukum dalam memahami dan menerapkan hukum </w:t>
      </w:r>
      <w:r w:rsidRPr="0055758F">
        <w:rPr>
          <w:rFonts w:asciiTheme="majorBidi" w:hAnsiTheme="majorBidi" w:cstheme="majorBidi"/>
          <w:lang w:val="en-US"/>
        </w:rPr>
        <w:lastRenderedPageBreak/>
        <w:t xml:space="preserve">dengan lebih baik dalam kasus pelecehan seksual terhadap anak di bawah umur untuk mendapatkan keadilan. </w:t>
      </w:r>
    </w:p>
    <w:p w14:paraId="7DAF056F" w14:textId="77777777" w:rsidR="008D372B" w:rsidRPr="00CB082F" w:rsidRDefault="008D372B" w:rsidP="005418DB">
      <w:pPr>
        <w:pStyle w:val="Heading2"/>
        <w:spacing w:line="360" w:lineRule="auto"/>
        <w:ind w:left="284"/>
      </w:pPr>
      <w:bookmarkStart w:id="19" w:name="_Toc185961337"/>
      <w:r w:rsidRPr="00CB082F">
        <w:t xml:space="preserve">Telaah </w:t>
      </w:r>
      <w:r>
        <w:t>P</w:t>
      </w:r>
      <w:r w:rsidRPr="00CB082F">
        <w:t>ustaka</w:t>
      </w:r>
      <w:bookmarkEnd w:id="19"/>
      <w:r w:rsidRPr="00CB082F">
        <w:t xml:space="preserve"> </w:t>
      </w:r>
    </w:p>
    <w:p w14:paraId="3E706E48" w14:textId="0D601041" w:rsidR="008D372B" w:rsidRDefault="008D372B" w:rsidP="005418DB">
      <w:pPr>
        <w:spacing w:line="276" w:lineRule="auto"/>
        <w:ind w:left="284" w:firstLine="567"/>
        <w:jc w:val="both"/>
        <w:rPr>
          <w:rFonts w:asciiTheme="majorBidi" w:hAnsiTheme="majorBidi" w:cstheme="majorBidi"/>
          <w:lang w:val="en-US"/>
        </w:rPr>
      </w:pPr>
      <w:r w:rsidRPr="00CB082F">
        <w:rPr>
          <w:rFonts w:asciiTheme="majorBidi" w:hAnsiTheme="majorBidi" w:cstheme="majorBidi"/>
          <w:lang w:val="en-US"/>
        </w:rPr>
        <w:t>Sejauh pengamatan penulis terhadap beberapa penelitian yang berkaitan dengan masalah ini baik secara umum men</w:t>
      </w:r>
      <w:r w:rsidR="000A7878">
        <w:rPr>
          <w:rFonts w:asciiTheme="majorBidi" w:hAnsiTheme="majorBidi" w:cstheme="majorBidi"/>
          <w:lang w:val="en-US"/>
        </w:rPr>
        <w:t>g</w:t>
      </w:r>
      <w:r w:rsidRPr="00CB082F">
        <w:rPr>
          <w:rFonts w:asciiTheme="majorBidi" w:hAnsiTheme="majorBidi" w:cstheme="majorBidi"/>
          <w:lang w:val="en-US"/>
        </w:rPr>
        <w:t xml:space="preserve">enai pembuktian atau secara khusus dengan kesaksian </w:t>
      </w:r>
      <w:r w:rsidRPr="00FE5715">
        <w:rPr>
          <w:rFonts w:asciiTheme="majorBidi" w:hAnsiTheme="majorBidi" w:cstheme="majorBidi"/>
          <w:i/>
          <w:iCs/>
          <w:lang w:val="en-US"/>
        </w:rPr>
        <w:t>testimonium de auditu</w:t>
      </w:r>
      <w:r w:rsidRPr="00CB082F">
        <w:rPr>
          <w:rFonts w:asciiTheme="majorBidi" w:hAnsiTheme="majorBidi" w:cstheme="majorBidi"/>
          <w:lang w:val="en-US"/>
        </w:rPr>
        <w:t xml:space="preserve"> telah ada sebelumnya diantaranya: </w:t>
      </w:r>
    </w:p>
    <w:p w14:paraId="4863FE79" w14:textId="395C4716" w:rsidR="00FE5715" w:rsidRDefault="008D372B" w:rsidP="005418DB">
      <w:pPr>
        <w:spacing w:line="276" w:lineRule="auto"/>
        <w:ind w:left="284" w:firstLine="567"/>
        <w:jc w:val="both"/>
        <w:rPr>
          <w:rFonts w:asciiTheme="majorBidi" w:hAnsiTheme="majorBidi" w:cstheme="majorBidi"/>
        </w:rPr>
      </w:pPr>
      <w:r w:rsidRPr="00213D5E">
        <w:rPr>
          <w:rFonts w:asciiTheme="majorBidi" w:hAnsiTheme="majorBidi" w:cstheme="majorBidi"/>
          <w:lang w:val="en-US"/>
        </w:rPr>
        <w:t>Skripsi yang ditulis oleh Okky Praset</w:t>
      </w:r>
      <w:r w:rsidR="000A7878">
        <w:rPr>
          <w:rFonts w:asciiTheme="majorBidi" w:hAnsiTheme="majorBidi" w:cstheme="majorBidi"/>
          <w:lang w:val="en-US"/>
        </w:rPr>
        <w:t>y</w:t>
      </w:r>
      <w:r w:rsidRPr="00213D5E">
        <w:rPr>
          <w:rFonts w:asciiTheme="majorBidi" w:hAnsiTheme="majorBidi" w:cstheme="majorBidi"/>
          <w:lang w:val="en-US"/>
        </w:rPr>
        <w:t xml:space="preserve">o Ajie pada tahun 2023 yang berjudul </w:t>
      </w:r>
      <w:r w:rsidRPr="009F1245">
        <w:rPr>
          <w:rFonts w:asciiTheme="majorBidi" w:hAnsiTheme="majorBidi" w:cstheme="majorBidi"/>
          <w:i/>
          <w:iCs/>
          <w:lang w:val="en-US"/>
        </w:rPr>
        <w:t>“Keabsahan Keterangan Saksi Testimonium De Auditu dalam Pembuktian Perkara Pidana.”</w:t>
      </w:r>
      <w:r>
        <w:rPr>
          <w:rFonts w:asciiTheme="majorBidi" w:hAnsiTheme="majorBidi" w:cstheme="majorBidi"/>
          <w:lang w:val="en-US"/>
        </w:rPr>
        <w:t xml:space="preserve"> Skripsi </w:t>
      </w:r>
      <w:r w:rsidRPr="00213D5E">
        <w:rPr>
          <w:rFonts w:asciiTheme="majorBidi" w:hAnsiTheme="majorBidi" w:cstheme="majorBidi"/>
          <w:lang w:val="en-US"/>
        </w:rPr>
        <w:t xml:space="preserve">ini membahas tentang </w:t>
      </w:r>
      <w:r w:rsidRPr="00213D5E">
        <w:rPr>
          <w:rFonts w:asciiTheme="majorBidi" w:hAnsiTheme="majorBidi" w:cstheme="majorBidi"/>
        </w:rPr>
        <w:t xml:space="preserve">keabsahan keterangan saksi </w:t>
      </w:r>
      <w:r w:rsidRPr="00213D5E">
        <w:rPr>
          <w:rFonts w:asciiTheme="majorBidi" w:hAnsiTheme="majorBidi" w:cstheme="majorBidi"/>
          <w:i/>
          <w:iCs/>
        </w:rPr>
        <w:t>testimonium de auditu</w:t>
      </w:r>
      <w:r w:rsidRPr="00213D5E">
        <w:rPr>
          <w:rFonts w:asciiTheme="majorBidi" w:hAnsiTheme="majorBidi" w:cstheme="majorBidi"/>
        </w:rPr>
        <w:t xml:space="preserve"> sebagai alat bukti dalam perkara tindak pidana pembunuhan berencana yang diadili di Pengadilan Negeri Ende</w:t>
      </w:r>
      <w:r>
        <w:rPr>
          <w:rFonts w:asciiTheme="majorBidi" w:hAnsiTheme="majorBidi" w:cstheme="majorBidi"/>
        </w:rPr>
        <w:t xml:space="preserve">. Hasil skripsi tersebut adalah </w:t>
      </w:r>
      <w:r w:rsidRPr="00213D5E">
        <w:rPr>
          <w:rFonts w:asciiTheme="majorBidi" w:hAnsiTheme="majorBidi" w:cstheme="majorBidi"/>
        </w:rPr>
        <w:t>kesaksian</w:t>
      </w:r>
      <w:r>
        <w:rPr>
          <w:rFonts w:asciiTheme="majorBidi" w:hAnsiTheme="majorBidi" w:cstheme="majorBidi"/>
        </w:rPr>
        <w:t xml:space="preserve"> </w:t>
      </w:r>
      <w:r w:rsidRPr="00FE5715">
        <w:rPr>
          <w:rFonts w:asciiTheme="majorBidi" w:hAnsiTheme="majorBidi" w:cstheme="majorBidi"/>
          <w:i/>
          <w:iCs/>
        </w:rPr>
        <w:t>testimonium de auditu</w:t>
      </w:r>
      <w:r w:rsidRPr="00213D5E">
        <w:rPr>
          <w:rFonts w:asciiTheme="majorBidi" w:hAnsiTheme="majorBidi" w:cstheme="majorBidi"/>
        </w:rPr>
        <w:t xml:space="preserve"> bisa jadi bukti yang sah, asalkan ada bukti lain yang mendukungnya dan kesaksian itu berhubungan dengan perkara yang sedang diadili. Namun, kesaksian ini tidak bisa menjadi satu-satunya bukti, dan hanya bisa jadi petunjuk bagi hakim dalam mengambil keputusan.</w:t>
      </w:r>
      <w:r>
        <w:rPr>
          <w:rStyle w:val="FootnoteReference"/>
          <w:rFonts w:asciiTheme="majorBidi" w:hAnsiTheme="majorBidi" w:cstheme="majorBidi"/>
        </w:rPr>
        <w:footnoteReference w:id="20"/>
      </w:r>
      <w:r>
        <w:rPr>
          <w:rFonts w:asciiTheme="majorBidi" w:hAnsiTheme="majorBidi" w:cstheme="majorBidi"/>
        </w:rPr>
        <w:t xml:space="preserve"> </w:t>
      </w:r>
    </w:p>
    <w:p w14:paraId="7A439CD7" w14:textId="17DB0538" w:rsidR="008D372B" w:rsidRDefault="008D372B" w:rsidP="005418DB">
      <w:pPr>
        <w:spacing w:line="276" w:lineRule="auto"/>
        <w:ind w:left="284" w:firstLine="567"/>
        <w:jc w:val="both"/>
        <w:rPr>
          <w:rFonts w:asciiTheme="majorBidi" w:hAnsiTheme="majorBidi" w:cstheme="majorBidi"/>
        </w:rPr>
      </w:pPr>
      <w:r w:rsidRPr="00C60B04">
        <w:rPr>
          <w:rFonts w:asciiTheme="majorBidi" w:hAnsiTheme="majorBidi" w:cstheme="majorBidi"/>
        </w:rPr>
        <w:t>Persamaan skripsi ini dengan penelitian</w:t>
      </w:r>
      <w:r w:rsidR="00FE5715">
        <w:rPr>
          <w:rFonts w:asciiTheme="majorBidi" w:hAnsiTheme="majorBidi" w:cstheme="majorBidi"/>
        </w:rPr>
        <w:t xml:space="preserve"> penulis</w:t>
      </w:r>
      <w:r w:rsidRPr="00C60B04">
        <w:rPr>
          <w:rFonts w:asciiTheme="majorBidi" w:hAnsiTheme="majorBidi" w:cstheme="majorBidi"/>
        </w:rPr>
        <w:t xml:space="preserve"> terletak pada fokus kajian, yaitu kesaksian </w:t>
      </w:r>
      <w:r w:rsidRPr="009F1245">
        <w:rPr>
          <w:rFonts w:asciiTheme="majorBidi" w:hAnsiTheme="majorBidi" w:cstheme="majorBidi"/>
          <w:i/>
          <w:iCs/>
        </w:rPr>
        <w:t>testimonium de auditu</w:t>
      </w:r>
      <w:r w:rsidRPr="00C60B04">
        <w:rPr>
          <w:rFonts w:asciiTheme="majorBidi" w:hAnsiTheme="majorBidi" w:cstheme="majorBidi"/>
        </w:rPr>
        <w:t xml:space="preserve"> dalam tindak pidana. Namun, terdapat perbedaan pada objek material tindak pidana yang diteliti. Skripsi ini berfokus pada tindak pidana pembunuhan berencana, sedangkan penelitian</w:t>
      </w:r>
      <w:r w:rsidR="00FE5715">
        <w:rPr>
          <w:rFonts w:asciiTheme="majorBidi" w:hAnsiTheme="majorBidi" w:cstheme="majorBidi"/>
        </w:rPr>
        <w:t xml:space="preserve"> penulis </w:t>
      </w:r>
      <w:r w:rsidRPr="00C60B04">
        <w:rPr>
          <w:rFonts w:asciiTheme="majorBidi" w:hAnsiTheme="majorBidi" w:cstheme="majorBidi"/>
        </w:rPr>
        <w:t xml:space="preserve">mengkaji tindak pidana pelecehan seksual. Selain itu, penelitian </w:t>
      </w:r>
      <w:r w:rsidR="00FE5715">
        <w:rPr>
          <w:rFonts w:asciiTheme="majorBidi" w:hAnsiTheme="majorBidi" w:cstheme="majorBidi"/>
        </w:rPr>
        <w:lastRenderedPageBreak/>
        <w:t>penulis</w:t>
      </w:r>
      <w:r w:rsidRPr="00C60B04">
        <w:rPr>
          <w:rFonts w:asciiTheme="majorBidi" w:hAnsiTheme="majorBidi" w:cstheme="majorBidi"/>
        </w:rPr>
        <w:t xml:space="preserve"> menekankan pada penerapan konsep </w:t>
      </w:r>
      <w:r w:rsidRPr="00442ED1">
        <w:rPr>
          <w:rFonts w:asciiTheme="majorBidi" w:hAnsiTheme="majorBidi" w:cstheme="majorBidi"/>
          <w:i/>
          <w:iCs/>
        </w:rPr>
        <w:t>testimonium de auditu</w:t>
      </w:r>
      <w:r w:rsidRPr="00C60B04">
        <w:rPr>
          <w:rFonts w:asciiTheme="majorBidi" w:hAnsiTheme="majorBidi" w:cstheme="majorBidi"/>
        </w:rPr>
        <w:t xml:space="preserve"> dalam kerangka ketentuan Kitab Undang-Undang Hukum Acara Pidana (KUHAP)</w:t>
      </w:r>
      <w:r>
        <w:rPr>
          <w:rFonts w:asciiTheme="majorBidi" w:hAnsiTheme="majorBidi" w:cstheme="majorBidi"/>
        </w:rPr>
        <w:t xml:space="preserve"> dan Qanun Hukum Acara Jinayat (QHAJ)</w:t>
      </w:r>
      <w:r w:rsidRPr="00C60B04">
        <w:rPr>
          <w:rFonts w:asciiTheme="majorBidi" w:hAnsiTheme="majorBidi" w:cstheme="majorBidi"/>
        </w:rPr>
        <w:t xml:space="preserve"> terkait penerimaan kesaksian.</w:t>
      </w:r>
    </w:p>
    <w:p w14:paraId="3B54EE29" w14:textId="241FD6AF" w:rsidR="00FE5715" w:rsidRDefault="008D372B" w:rsidP="005418DB">
      <w:pPr>
        <w:spacing w:line="276" w:lineRule="auto"/>
        <w:ind w:left="284" w:firstLine="567"/>
        <w:jc w:val="both"/>
        <w:rPr>
          <w:rFonts w:asciiTheme="majorBidi" w:hAnsiTheme="majorBidi" w:cstheme="majorBidi"/>
        </w:rPr>
      </w:pPr>
      <w:r w:rsidRPr="0030016A">
        <w:rPr>
          <w:rFonts w:asciiTheme="majorBidi" w:hAnsiTheme="majorBidi" w:cstheme="majorBidi"/>
        </w:rPr>
        <w:t xml:space="preserve">Skripsi </w:t>
      </w:r>
      <w:r>
        <w:rPr>
          <w:rFonts w:asciiTheme="majorBidi" w:hAnsiTheme="majorBidi" w:cstheme="majorBidi"/>
        </w:rPr>
        <w:t xml:space="preserve">yang ditulis </w:t>
      </w:r>
      <w:r w:rsidRPr="0030016A">
        <w:rPr>
          <w:rFonts w:asciiTheme="majorBidi" w:hAnsiTheme="majorBidi" w:cstheme="majorBidi"/>
        </w:rPr>
        <w:t>Muhammad Alif Daffa Putranto</w:t>
      </w:r>
      <w:r>
        <w:rPr>
          <w:rFonts w:asciiTheme="majorBidi" w:hAnsiTheme="majorBidi" w:cstheme="majorBidi"/>
        </w:rPr>
        <w:t xml:space="preserve"> pada</w:t>
      </w:r>
      <w:r w:rsidRPr="0030016A">
        <w:rPr>
          <w:rFonts w:asciiTheme="majorBidi" w:hAnsiTheme="majorBidi" w:cstheme="majorBidi"/>
        </w:rPr>
        <w:t xml:space="preserve"> tahun 2020 </w:t>
      </w:r>
      <w:r>
        <w:rPr>
          <w:rFonts w:asciiTheme="majorBidi" w:hAnsiTheme="majorBidi" w:cstheme="majorBidi"/>
        </w:rPr>
        <w:t xml:space="preserve">yang </w:t>
      </w:r>
      <w:r w:rsidRPr="0030016A">
        <w:rPr>
          <w:rFonts w:asciiTheme="majorBidi" w:hAnsiTheme="majorBidi" w:cstheme="majorBidi"/>
        </w:rPr>
        <w:t xml:space="preserve">berjudul </w:t>
      </w:r>
      <w:r w:rsidRPr="009F1245">
        <w:rPr>
          <w:rFonts w:asciiTheme="majorBidi" w:hAnsiTheme="majorBidi" w:cstheme="majorBidi"/>
          <w:i/>
          <w:iCs/>
        </w:rPr>
        <w:t>“Telaah Pendayagunaan Kesaksian Testimonium De Auditu dan Unus Testis Nul</w:t>
      </w:r>
      <w:r w:rsidR="000A7878">
        <w:rPr>
          <w:rFonts w:asciiTheme="majorBidi" w:hAnsiTheme="majorBidi" w:cstheme="majorBidi"/>
          <w:i/>
          <w:iCs/>
        </w:rPr>
        <w:t>l</w:t>
      </w:r>
      <w:r w:rsidRPr="009F1245">
        <w:rPr>
          <w:rFonts w:asciiTheme="majorBidi" w:hAnsiTheme="majorBidi" w:cstheme="majorBidi"/>
          <w:i/>
          <w:iCs/>
        </w:rPr>
        <w:t>us Testis dalam Pengungkapan Tindak Pidana Pencabulan Terhadap Anak (Studi Putusan Nomor 260/Pid.Susu/2017/Gns).”</w:t>
      </w:r>
      <w:r>
        <w:rPr>
          <w:rFonts w:asciiTheme="majorBidi" w:hAnsiTheme="majorBidi" w:cstheme="majorBidi"/>
        </w:rPr>
        <w:t xml:space="preserve"> Skripsi ini membahas tentang </w:t>
      </w:r>
      <w:r w:rsidRPr="00CC4224">
        <w:rPr>
          <w:rFonts w:asciiTheme="majorBidi" w:hAnsiTheme="majorBidi" w:cstheme="majorBidi"/>
        </w:rPr>
        <w:t xml:space="preserve">penerapan asas </w:t>
      </w:r>
      <w:r w:rsidRPr="003A15BB">
        <w:rPr>
          <w:rFonts w:asciiTheme="majorBidi" w:hAnsiTheme="majorBidi" w:cstheme="majorBidi"/>
          <w:i/>
          <w:iCs/>
        </w:rPr>
        <w:t>testimonium de auditu</w:t>
      </w:r>
      <w:r w:rsidRPr="00CC4224">
        <w:rPr>
          <w:rFonts w:asciiTheme="majorBidi" w:hAnsiTheme="majorBidi" w:cstheme="majorBidi"/>
        </w:rPr>
        <w:t xml:space="preserve"> dan </w:t>
      </w:r>
      <w:r w:rsidRPr="003A15BB">
        <w:rPr>
          <w:rFonts w:asciiTheme="majorBidi" w:hAnsiTheme="majorBidi" w:cstheme="majorBidi"/>
          <w:i/>
          <w:iCs/>
        </w:rPr>
        <w:t>unus testis nullus testis</w:t>
      </w:r>
      <w:r w:rsidRPr="00CC4224">
        <w:rPr>
          <w:rFonts w:asciiTheme="majorBidi" w:hAnsiTheme="majorBidi" w:cstheme="majorBidi"/>
        </w:rPr>
        <w:t xml:space="preserve"> dalam penilaian keterangan saksi sebagai alat bukti dalam perkara tindak pidana, khususnya pada tindak pidana pencabulan terhadap anak.</w:t>
      </w:r>
      <w:r>
        <w:rPr>
          <w:rFonts w:asciiTheme="majorBidi" w:hAnsiTheme="majorBidi" w:cstheme="majorBidi"/>
        </w:rPr>
        <w:t xml:space="preserve"> Hasil skripsi adalah </w:t>
      </w:r>
      <w:r w:rsidRPr="00CC4224">
        <w:rPr>
          <w:rFonts w:asciiTheme="majorBidi" w:hAnsiTheme="majorBidi" w:cstheme="majorBidi"/>
        </w:rPr>
        <w:t xml:space="preserve">menunjukkan bahwa asas </w:t>
      </w:r>
      <w:r w:rsidRPr="00D5297D">
        <w:rPr>
          <w:rFonts w:asciiTheme="majorBidi" w:hAnsiTheme="majorBidi" w:cstheme="majorBidi"/>
          <w:i/>
          <w:iCs/>
        </w:rPr>
        <w:t>testimonium de auditu</w:t>
      </w:r>
      <w:r w:rsidRPr="00CC4224">
        <w:rPr>
          <w:rFonts w:asciiTheme="majorBidi" w:hAnsiTheme="majorBidi" w:cstheme="majorBidi"/>
        </w:rPr>
        <w:t xml:space="preserve"> dan </w:t>
      </w:r>
      <w:r w:rsidRPr="00D5297D">
        <w:rPr>
          <w:rFonts w:asciiTheme="majorBidi" w:hAnsiTheme="majorBidi" w:cstheme="majorBidi"/>
          <w:i/>
          <w:iCs/>
        </w:rPr>
        <w:t>unus testis nullus testis</w:t>
      </w:r>
      <w:r w:rsidRPr="00CC4224">
        <w:rPr>
          <w:rFonts w:asciiTheme="majorBidi" w:hAnsiTheme="majorBidi" w:cstheme="majorBidi"/>
        </w:rPr>
        <w:t xml:space="preserve"> dapat dimanfaatkan dalam proses pembuktian tindak pidana. </w:t>
      </w:r>
      <w:r w:rsidRPr="00CC4224">
        <w:rPr>
          <w:rFonts w:asciiTheme="majorBidi" w:hAnsiTheme="majorBidi" w:cstheme="majorBidi"/>
          <w:i/>
          <w:iCs/>
        </w:rPr>
        <w:t>Asas unus testis nullus testis</w:t>
      </w:r>
      <w:r w:rsidRPr="00CC4224">
        <w:rPr>
          <w:rFonts w:asciiTheme="majorBidi" w:hAnsiTheme="majorBidi" w:cstheme="majorBidi"/>
        </w:rPr>
        <w:t xml:space="preserve"> dapat dijadikan pertimbangan oleh hakim sebagai petunjuk tambahan, terutama jika dikombinasikan dengan alat bukti lain seperti </w:t>
      </w:r>
      <w:r w:rsidRPr="00D5297D">
        <w:rPr>
          <w:rFonts w:asciiTheme="majorBidi" w:hAnsiTheme="majorBidi" w:cstheme="majorBidi"/>
          <w:i/>
          <w:iCs/>
        </w:rPr>
        <w:t xml:space="preserve">visum et repertum </w:t>
      </w:r>
      <w:r w:rsidRPr="00CC4224">
        <w:rPr>
          <w:rFonts w:asciiTheme="majorBidi" w:hAnsiTheme="majorBidi" w:cstheme="majorBidi"/>
        </w:rPr>
        <w:t>dan keterangan terdakwa</w:t>
      </w:r>
      <w:r>
        <w:rPr>
          <w:rFonts w:asciiTheme="majorBidi" w:hAnsiTheme="majorBidi" w:cstheme="majorBidi"/>
        </w:rPr>
        <w:t>.</w:t>
      </w:r>
      <w:r>
        <w:rPr>
          <w:rStyle w:val="FootnoteReference"/>
          <w:rFonts w:asciiTheme="majorBidi" w:hAnsiTheme="majorBidi" w:cstheme="majorBidi"/>
        </w:rPr>
        <w:footnoteReference w:id="21"/>
      </w:r>
      <w:r>
        <w:rPr>
          <w:rFonts w:asciiTheme="majorBidi" w:hAnsiTheme="majorBidi" w:cstheme="majorBidi"/>
        </w:rPr>
        <w:t xml:space="preserve"> </w:t>
      </w:r>
    </w:p>
    <w:p w14:paraId="0EE4D866" w14:textId="38D201F9" w:rsidR="008D372B" w:rsidRDefault="00FE5715" w:rsidP="005418DB">
      <w:pPr>
        <w:spacing w:line="276" w:lineRule="auto"/>
        <w:ind w:left="284" w:firstLine="567"/>
        <w:jc w:val="both"/>
        <w:rPr>
          <w:rFonts w:asciiTheme="majorBidi" w:hAnsiTheme="majorBidi" w:cstheme="majorBidi"/>
        </w:rPr>
      </w:pPr>
      <w:r w:rsidRPr="00117B83">
        <w:rPr>
          <w:rFonts w:asciiTheme="majorBidi" w:hAnsiTheme="majorBidi" w:cstheme="majorBidi"/>
        </w:rPr>
        <w:t>Persamaan jurnal ini dengan penelitian</w:t>
      </w:r>
      <w:r>
        <w:rPr>
          <w:rFonts w:asciiTheme="majorBidi" w:hAnsiTheme="majorBidi" w:cstheme="majorBidi"/>
        </w:rPr>
        <w:t xml:space="preserve"> penulis</w:t>
      </w:r>
      <w:r w:rsidRPr="00117B83">
        <w:rPr>
          <w:rFonts w:asciiTheme="majorBidi" w:hAnsiTheme="majorBidi" w:cstheme="majorBidi"/>
        </w:rPr>
        <w:t xml:space="preserve"> terletak pada objek kajiannya, yaitu </w:t>
      </w:r>
      <w:r w:rsidR="008D372B" w:rsidRPr="00B70BD3">
        <w:rPr>
          <w:rFonts w:asciiTheme="majorBidi" w:hAnsiTheme="majorBidi" w:cstheme="majorBidi"/>
        </w:rPr>
        <w:t xml:space="preserve">kesaksian </w:t>
      </w:r>
      <w:r w:rsidR="008D372B" w:rsidRPr="00B70BD3">
        <w:rPr>
          <w:rFonts w:asciiTheme="majorBidi" w:hAnsiTheme="majorBidi" w:cstheme="majorBidi"/>
          <w:i/>
          <w:iCs/>
        </w:rPr>
        <w:t>testimonium de auditu</w:t>
      </w:r>
      <w:r w:rsidR="008D372B" w:rsidRPr="00B70BD3">
        <w:rPr>
          <w:rFonts w:asciiTheme="majorBidi" w:hAnsiTheme="majorBidi" w:cstheme="majorBidi"/>
        </w:rPr>
        <w:t xml:space="preserve"> dalam</w:t>
      </w:r>
      <w:r w:rsidR="008D372B">
        <w:rPr>
          <w:rFonts w:asciiTheme="majorBidi" w:hAnsiTheme="majorBidi" w:cstheme="majorBidi"/>
        </w:rPr>
        <w:t xml:space="preserve"> </w:t>
      </w:r>
      <w:r w:rsidR="008D372B" w:rsidRPr="00B70BD3">
        <w:rPr>
          <w:rFonts w:asciiTheme="majorBidi" w:hAnsiTheme="majorBidi" w:cstheme="majorBidi"/>
        </w:rPr>
        <w:t>tindak pidana terhadap anak. Namun, terdapat perbedaan fokus</w:t>
      </w:r>
      <w:r>
        <w:rPr>
          <w:rFonts w:asciiTheme="majorBidi" w:hAnsiTheme="majorBidi" w:cstheme="majorBidi"/>
        </w:rPr>
        <w:t xml:space="preserve"> pembah</w:t>
      </w:r>
      <w:r w:rsidR="000A2E5C">
        <w:rPr>
          <w:rFonts w:asciiTheme="majorBidi" w:hAnsiTheme="majorBidi" w:cstheme="majorBidi"/>
        </w:rPr>
        <w:t>asan</w:t>
      </w:r>
      <w:r>
        <w:rPr>
          <w:rFonts w:asciiTheme="majorBidi" w:hAnsiTheme="majorBidi" w:cstheme="majorBidi"/>
        </w:rPr>
        <w:t xml:space="preserve"> </w:t>
      </w:r>
      <w:r w:rsidR="008D372B" w:rsidRPr="00B70BD3">
        <w:rPr>
          <w:rFonts w:asciiTheme="majorBidi" w:hAnsiTheme="majorBidi" w:cstheme="majorBidi"/>
        </w:rPr>
        <w:t xml:space="preserve">, di mana penelitian </w:t>
      </w:r>
      <w:r>
        <w:rPr>
          <w:rFonts w:asciiTheme="majorBidi" w:hAnsiTheme="majorBidi" w:cstheme="majorBidi"/>
        </w:rPr>
        <w:t>penulis</w:t>
      </w:r>
      <w:r w:rsidR="008D372B" w:rsidRPr="00B70BD3">
        <w:rPr>
          <w:rFonts w:asciiTheme="majorBidi" w:hAnsiTheme="majorBidi" w:cstheme="majorBidi"/>
        </w:rPr>
        <w:t xml:space="preserve"> secara khusus menganalisis konsep kesaksian </w:t>
      </w:r>
      <w:r w:rsidR="008D372B" w:rsidRPr="00D5297D">
        <w:rPr>
          <w:rFonts w:asciiTheme="majorBidi" w:hAnsiTheme="majorBidi" w:cstheme="majorBidi"/>
          <w:i/>
          <w:iCs/>
        </w:rPr>
        <w:t>testimonium de auditu</w:t>
      </w:r>
      <w:r w:rsidR="008D372B" w:rsidRPr="00B70BD3">
        <w:rPr>
          <w:rFonts w:asciiTheme="majorBidi" w:hAnsiTheme="majorBidi" w:cstheme="majorBidi"/>
        </w:rPr>
        <w:t xml:space="preserve"> dari perspektif </w:t>
      </w:r>
      <w:r w:rsidR="008D372B">
        <w:rPr>
          <w:rFonts w:asciiTheme="majorBidi" w:hAnsiTheme="majorBidi" w:cstheme="majorBidi"/>
        </w:rPr>
        <w:t>H</w:t>
      </w:r>
      <w:r w:rsidR="008D372B" w:rsidRPr="00B70BD3">
        <w:rPr>
          <w:rFonts w:asciiTheme="majorBidi" w:hAnsiTheme="majorBidi" w:cstheme="majorBidi"/>
        </w:rPr>
        <w:t xml:space="preserve">ukum </w:t>
      </w:r>
      <w:r w:rsidR="008D372B">
        <w:rPr>
          <w:rFonts w:asciiTheme="majorBidi" w:hAnsiTheme="majorBidi" w:cstheme="majorBidi"/>
        </w:rPr>
        <w:t>A</w:t>
      </w:r>
      <w:r w:rsidR="008D372B" w:rsidRPr="00B70BD3">
        <w:rPr>
          <w:rFonts w:asciiTheme="majorBidi" w:hAnsiTheme="majorBidi" w:cstheme="majorBidi"/>
        </w:rPr>
        <w:t xml:space="preserve">cara </w:t>
      </w:r>
      <w:r w:rsidR="008D372B" w:rsidRPr="000A2E5C">
        <w:rPr>
          <w:rFonts w:asciiTheme="majorBidi" w:hAnsiTheme="majorBidi" w:cstheme="majorBidi"/>
          <w:i/>
          <w:iCs/>
        </w:rPr>
        <w:t>Jinaya</w:t>
      </w:r>
      <w:r w:rsidR="000A2E5C" w:rsidRPr="000A2E5C">
        <w:rPr>
          <w:rFonts w:asciiTheme="majorBidi" w:hAnsiTheme="majorBidi" w:cstheme="majorBidi"/>
          <w:i/>
          <w:iCs/>
        </w:rPr>
        <w:t>t</w:t>
      </w:r>
      <w:r w:rsidR="008D372B" w:rsidRPr="000A2E5C">
        <w:rPr>
          <w:rFonts w:asciiTheme="majorBidi" w:hAnsiTheme="majorBidi" w:cstheme="majorBidi"/>
          <w:i/>
          <w:iCs/>
        </w:rPr>
        <w:t xml:space="preserve">. </w:t>
      </w:r>
    </w:p>
    <w:p w14:paraId="3C3BDB23" w14:textId="49A28945" w:rsidR="00FE5715" w:rsidRDefault="008D372B" w:rsidP="005418DB">
      <w:pPr>
        <w:spacing w:line="276" w:lineRule="auto"/>
        <w:ind w:left="284" w:firstLine="567"/>
        <w:jc w:val="both"/>
        <w:rPr>
          <w:rFonts w:asciiTheme="majorBidi" w:hAnsiTheme="majorBidi" w:cstheme="majorBidi"/>
        </w:rPr>
      </w:pPr>
      <w:r>
        <w:rPr>
          <w:rFonts w:asciiTheme="majorBidi" w:hAnsiTheme="majorBidi" w:cstheme="majorBidi"/>
        </w:rPr>
        <w:lastRenderedPageBreak/>
        <w:t>Jurnal yang ditulis oleh Syafru</w:t>
      </w:r>
      <w:r w:rsidR="000A7878">
        <w:rPr>
          <w:rFonts w:asciiTheme="majorBidi" w:hAnsiTheme="majorBidi" w:cstheme="majorBidi"/>
        </w:rPr>
        <w:t>d</w:t>
      </w:r>
      <w:r>
        <w:rPr>
          <w:rFonts w:asciiTheme="majorBidi" w:hAnsiTheme="majorBidi" w:cstheme="majorBidi"/>
        </w:rPr>
        <w:t xml:space="preserve">din Syam, Rizki Muhammad Haris, dan Fachruddin Zakariya pada tahun 2022 yang berjudul </w:t>
      </w:r>
      <w:r w:rsidRPr="009F1245">
        <w:rPr>
          <w:rFonts w:asciiTheme="majorBidi" w:hAnsiTheme="majorBidi" w:cstheme="majorBidi"/>
          <w:i/>
          <w:iCs/>
        </w:rPr>
        <w:t>“Studi Legalitas Saksi Syahadah Al-Istifadah dalam Pembuktian Perkara Itsbat Nikah: Pendekatan Maqashid Syari’ah (Analisis Kasus di Mahkamah Syar'iyah Meulaboh).”</w:t>
      </w:r>
      <w:r>
        <w:rPr>
          <w:rFonts w:asciiTheme="majorBidi" w:hAnsiTheme="majorBidi" w:cstheme="majorBidi"/>
        </w:rPr>
        <w:t xml:space="preserve"> Pada penelitian ini membahas </w:t>
      </w:r>
      <w:r w:rsidRPr="005D273D">
        <w:rPr>
          <w:rFonts w:asciiTheme="majorBidi" w:hAnsiTheme="majorBidi" w:cstheme="majorBidi"/>
        </w:rPr>
        <w:t xml:space="preserve">tentang legalitas saksi </w:t>
      </w:r>
      <w:r w:rsidRPr="00D5297D">
        <w:rPr>
          <w:rFonts w:asciiTheme="majorBidi" w:hAnsiTheme="majorBidi" w:cstheme="majorBidi"/>
          <w:i/>
          <w:iCs/>
        </w:rPr>
        <w:t>Syahadah al-Istifadah</w:t>
      </w:r>
      <w:r w:rsidRPr="005D273D">
        <w:rPr>
          <w:rFonts w:asciiTheme="majorBidi" w:hAnsiTheme="majorBidi" w:cstheme="majorBidi"/>
        </w:rPr>
        <w:t xml:space="preserve"> dalam pembuktian pernikahan (</w:t>
      </w:r>
      <w:r w:rsidRPr="00FE5715">
        <w:rPr>
          <w:rFonts w:asciiTheme="majorBidi" w:hAnsiTheme="majorBidi" w:cstheme="majorBidi"/>
          <w:i/>
          <w:iCs/>
        </w:rPr>
        <w:t>itsba</w:t>
      </w:r>
      <w:r w:rsidRPr="005D273D">
        <w:rPr>
          <w:rFonts w:asciiTheme="majorBidi" w:hAnsiTheme="majorBidi" w:cstheme="majorBidi"/>
        </w:rPr>
        <w:t xml:space="preserve">t nikah) di Mahkamah Syar'iyah Meulaboh, Aceh, terutama setelah bencana tsunami yang mengakibatkan hilangnya banyak dokumen dan saksi. </w:t>
      </w:r>
      <w:r>
        <w:rPr>
          <w:rFonts w:asciiTheme="majorBidi" w:hAnsiTheme="majorBidi" w:cstheme="majorBidi"/>
        </w:rPr>
        <w:t xml:space="preserve">Hasil penelitian ini </w:t>
      </w:r>
      <w:r w:rsidRPr="005D273D">
        <w:rPr>
          <w:rFonts w:asciiTheme="majorBidi" w:hAnsiTheme="majorBidi" w:cstheme="majorBidi"/>
        </w:rPr>
        <w:t xml:space="preserve">menunjukkan bahwa Mahkamah Syar'iyah Meulaboh menerima keterangan saksi </w:t>
      </w:r>
      <w:r w:rsidRPr="00D5297D">
        <w:rPr>
          <w:rFonts w:asciiTheme="majorBidi" w:hAnsiTheme="majorBidi" w:cstheme="majorBidi"/>
          <w:i/>
          <w:iCs/>
        </w:rPr>
        <w:t>Syahadah al-Istifadah</w:t>
      </w:r>
      <w:r w:rsidRPr="005D273D">
        <w:rPr>
          <w:rFonts w:asciiTheme="majorBidi" w:hAnsiTheme="majorBidi" w:cstheme="majorBidi"/>
        </w:rPr>
        <w:t xml:space="preserve"> dalam proses </w:t>
      </w:r>
      <w:r w:rsidRPr="00D5297D">
        <w:rPr>
          <w:rFonts w:asciiTheme="majorBidi" w:hAnsiTheme="majorBidi" w:cstheme="majorBidi"/>
          <w:i/>
          <w:iCs/>
        </w:rPr>
        <w:t>itsbat</w:t>
      </w:r>
      <w:r w:rsidRPr="005D273D">
        <w:rPr>
          <w:rFonts w:asciiTheme="majorBidi" w:hAnsiTheme="majorBidi" w:cstheme="majorBidi"/>
        </w:rPr>
        <w:t xml:space="preserve"> nikah. Hal ini dilakukan demi menciptakan kepastian hukum, keadilan, dan kemanfaatan bagi para pihak yang terlibat. Penelitian ini menegaskan bahwa meskipun saksi tersebut tidak melihat langsung peristiwa pernikahan, keterangan mereka tetap dapat dipertimbangkan sebagai alat bukti yang valid, terutama dalam</w:t>
      </w:r>
      <w:r>
        <w:rPr>
          <w:rFonts w:asciiTheme="majorBidi" w:hAnsiTheme="majorBidi" w:cstheme="majorBidi"/>
        </w:rPr>
        <w:t xml:space="preserve"> </w:t>
      </w:r>
      <w:r w:rsidRPr="005D273D">
        <w:rPr>
          <w:rFonts w:asciiTheme="majorBidi" w:hAnsiTheme="majorBidi" w:cstheme="majorBidi"/>
        </w:rPr>
        <w:t>masyarakat yang mengalami kesulitan akibat bencana dan konflik. Dengan demikian, hakim diharapkan dapat menggunakan pertimbangan yang objektif dan rasional dalam menilai keterangan saksi untuk mencapai keputusan yang adil dan sesuai dengan prinsip maqashid syariah</w:t>
      </w:r>
      <w:r>
        <w:rPr>
          <w:rFonts w:asciiTheme="majorBidi" w:hAnsiTheme="majorBidi" w:cstheme="majorBidi"/>
        </w:rPr>
        <w:t>.</w:t>
      </w:r>
      <w:r>
        <w:rPr>
          <w:rStyle w:val="FootnoteReference"/>
          <w:rFonts w:asciiTheme="majorBidi" w:hAnsiTheme="majorBidi" w:cstheme="majorBidi"/>
        </w:rPr>
        <w:footnoteReference w:id="22"/>
      </w:r>
      <w:r>
        <w:rPr>
          <w:rFonts w:asciiTheme="majorBidi" w:hAnsiTheme="majorBidi" w:cstheme="majorBidi"/>
        </w:rPr>
        <w:t xml:space="preserve"> </w:t>
      </w:r>
    </w:p>
    <w:p w14:paraId="7C4E70EE" w14:textId="0EE52383" w:rsidR="008D372B" w:rsidRDefault="008D372B" w:rsidP="005418DB">
      <w:pPr>
        <w:spacing w:line="276" w:lineRule="auto"/>
        <w:ind w:left="284" w:firstLine="567"/>
        <w:jc w:val="both"/>
        <w:rPr>
          <w:rFonts w:asciiTheme="majorBidi" w:hAnsiTheme="majorBidi" w:cstheme="majorBidi"/>
        </w:rPr>
      </w:pPr>
      <w:r w:rsidRPr="00117B83">
        <w:rPr>
          <w:rFonts w:asciiTheme="majorBidi" w:hAnsiTheme="majorBidi" w:cstheme="majorBidi"/>
        </w:rPr>
        <w:t>Persamaan jurnal ini dengan penelitian</w:t>
      </w:r>
      <w:r>
        <w:rPr>
          <w:rFonts w:asciiTheme="majorBidi" w:hAnsiTheme="majorBidi" w:cstheme="majorBidi"/>
        </w:rPr>
        <w:t xml:space="preserve"> </w:t>
      </w:r>
      <w:r w:rsidR="00FE5715">
        <w:rPr>
          <w:rFonts w:asciiTheme="majorBidi" w:hAnsiTheme="majorBidi" w:cstheme="majorBidi"/>
        </w:rPr>
        <w:t>penulis</w:t>
      </w:r>
      <w:r w:rsidRPr="00117B83">
        <w:rPr>
          <w:rFonts w:asciiTheme="majorBidi" w:hAnsiTheme="majorBidi" w:cstheme="majorBidi"/>
        </w:rPr>
        <w:t xml:space="preserve"> terletak pada objek kajiannya, yaitu kesaksian </w:t>
      </w:r>
      <w:r w:rsidRPr="00D5297D">
        <w:rPr>
          <w:rFonts w:asciiTheme="majorBidi" w:hAnsiTheme="majorBidi" w:cstheme="majorBidi"/>
          <w:i/>
          <w:iCs/>
        </w:rPr>
        <w:t>syahadah al istifadah</w:t>
      </w:r>
      <w:r>
        <w:rPr>
          <w:rFonts w:asciiTheme="majorBidi" w:hAnsiTheme="majorBidi" w:cstheme="majorBidi"/>
        </w:rPr>
        <w:t xml:space="preserve"> </w:t>
      </w:r>
      <w:r w:rsidRPr="00117B83">
        <w:rPr>
          <w:rFonts w:asciiTheme="majorBidi" w:hAnsiTheme="majorBidi" w:cstheme="majorBidi"/>
        </w:rPr>
        <w:t xml:space="preserve">dalam  peradilan Mahkamah Syariah di </w:t>
      </w:r>
      <w:r>
        <w:rPr>
          <w:rFonts w:asciiTheme="majorBidi" w:hAnsiTheme="majorBidi" w:cstheme="majorBidi"/>
        </w:rPr>
        <w:t xml:space="preserve">Provinsi </w:t>
      </w:r>
      <w:r w:rsidRPr="00117B83">
        <w:rPr>
          <w:rFonts w:asciiTheme="majorBidi" w:hAnsiTheme="majorBidi" w:cstheme="majorBidi"/>
        </w:rPr>
        <w:t xml:space="preserve">Aceh. Namun, terdapat perbedaan fokus antara keduanya. Jika jurnal ini </w:t>
      </w:r>
      <w:r w:rsidRPr="00117B83">
        <w:rPr>
          <w:rFonts w:asciiTheme="majorBidi" w:hAnsiTheme="majorBidi" w:cstheme="majorBidi"/>
        </w:rPr>
        <w:lastRenderedPageBreak/>
        <w:t>membahas secara umum mengenai penerimaan kesaksian</w:t>
      </w:r>
      <w:r>
        <w:rPr>
          <w:rFonts w:asciiTheme="majorBidi" w:hAnsiTheme="majorBidi" w:cstheme="majorBidi"/>
        </w:rPr>
        <w:t xml:space="preserve"> </w:t>
      </w:r>
      <w:r w:rsidRPr="00117B83">
        <w:rPr>
          <w:rFonts w:asciiTheme="majorBidi" w:hAnsiTheme="majorBidi" w:cstheme="majorBidi"/>
        </w:rPr>
        <w:t>dalam</w:t>
      </w:r>
      <w:r>
        <w:rPr>
          <w:rFonts w:asciiTheme="majorBidi" w:hAnsiTheme="majorBidi" w:cstheme="majorBidi"/>
        </w:rPr>
        <w:t xml:space="preserve"> </w:t>
      </w:r>
      <w:r w:rsidRPr="00117B83">
        <w:rPr>
          <w:rFonts w:asciiTheme="majorBidi" w:hAnsiTheme="majorBidi" w:cstheme="majorBidi"/>
        </w:rPr>
        <w:t>perkara</w:t>
      </w:r>
      <w:r>
        <w:rPr>
          <w:rFonts w:asciiTheme="majorBidi" w:hAnsiTheme="majorBidi" w:cstheme="majorBidi"/>
        </w:rPr>
        <w:t xml:space="preserve"> perkara perdata</w:t>
      </w:r>
      <w:r w:rsidRPr="00117B83">
        <w:rPr>
          <w:rFonts w:asciiTheme="majorBidi" w:hAnsiTheme="majorBidi" w:cstheme="majorBidi"/>
        </w:rPr>
        <w:t>,</w:t>
      </w:r>
      <w:r>
        <w:rPr>
          <w:rFonts w:asciiTheme="majorBidi" w:hAnsiTheme="majorBidi" w:cstheme="majorBidi"/>
        </w:rPr>
        <w:t xml:space="preserve"> sedangkan</w:t>
      </w:r>
      <w:r w:rsidRPr="00117B83">
        <w:rPr>
          <w:rFonts w:asciiTheme="majorBidi" w:hAnsiTheme="majorBidi" w:cstheme="majorBidi"/>
        </w:rPr>
        <w:t xml:space="preserve"> penelitian </w:t>
      </w:r>
      <w:r w:rsidR="000C6E3F">
        <w:rPr>
          <w:rFonts w:asciiTheme="majorBidi" w:hAnsiTheme="majorBidi" w:cstheme="majorBidi"/>
        </w:rPr>
        <w:t xml:space="preserve">penulis </w:t>
      </w:r>
      <w:r w:rsidRPr="00117B83">
        <w:rPr>
          <w:rFonts w:asciiTheme="majorBidi" w:hAnsiTheme="majorBidi" w:cstheme="majorBidi"/>
        </w:rPr>
        <w:t xml:space="preserve"> secara spesifik menganalisis penerimaan kesaksian dalam kasus tindak pidana pelecehan seksual terhadap anak di Mahkamah Syariah Takengon.</w:t>
      </w:r>
    </w:p>
    <w:p w14:paraId="7B4BAE24" w14:textId="77777777" w:rsidR="00FE5715" w:rsidRDefault="008D372B" w:rsidP="005418DB">
      <w:pPr>
        <w:spacing w:line="276" w:lineRule="auto"/>
        <w:ind w:left="284" w:firstLine="567"/>
        <w:jc w:val="both"/>
        <w:rPr>
          <w:rFonts w:asciiTheme="majorBidi" w:hAnsiTheme="majorBidi" w:cstheme="majorBidi"/>
        </w:rPr>
      </w:pPr>
      <w:r>
        <w:rPr>
          <w:rFonts w:asciiTheme="majorBidi" w:hAnsiTheme="majorBidi" w:cstheme="majorBidi"/>
        </w:rPr>
        <w:t xml:space="preserve">Jurnal yang ditulis oleh Ihdi Karim, Jmahir, dan Sarah Fadhilah pada tahun 2020 yang berjudul </w:t>
      </w:r>
      <w:r w:rsidRPr="009F1245">
        <w:rPr>
          <w:rFonts w:asciiTheme="majorBidi" w:hAnsiTheme="majorBidi" w:cstheme="majorBidi"/>
          <w:i/>
          <w:iCs/>
        </w:rPr>
        <w:t>“Saksi Testimonium De Auditu dalam Perkara Perceraian menurut Hukum Islam”.</w:t>
      </w:r>
      <w:r>
        <w:rPr>
          <w:rFonts w:asciiTheme="majorBidi" w:hAnsiTheme="majorBidi" w:cstheme="majorBidi"/>
        </w:rPr>
        <w:t xml:space="preserve"> Penelitian ini membahas tentang </w:t>
      </w:r>
      <w:r w:rsidRPr="00123C03">
        <w:rPr>
          <w:rFonts w:asciiTheme="majorBidi" w:hAnsiTheme="majorBidi" w:cstheme="majorBidi"/>
        </w:rPr>
        <w:t xml:space="preserve">penerimaan saksi </w:t>
      </w:r>
      <w:r w:rsidRPr="00123C03">
        <w:rPr>
          <w:rFonts w:asciiTheme="majorBidi" w:hAnsiTheme="majorBidi" w:cstheme="majorBidi"/>
          <w:i/>
          <w:iCs/>
        </w:rPr>
        <w:t>testimonium de auditu</w:t>
      </w:r>
      <w:r w:rsidRPr="00123C03">
        <w:rPr>
          <w:rFonts w:asciiTheme="majorBidi" w:hAnsiTheme="majorBidi" w:cstheme="majorBidi"/>
        </w:rPr>
        <w:t xml:space="preserve"> dalam perkara perceraian menurut hukum Islam.</w:t>
      </w:r>
      <w:r>
        <w:rPr>
          <w:rFonts w:asciiTheme="majorBidi" w:hAnsiTheme="majorBidi" w:cstheme="majorBidi"/>
        </w:rPr>
        <w:t xml:space="preserve"> Hasil dari penelitian adalah </w:t>
      </w:r>
      <w:r w:rsidRPr="00E250A7">
        <w:rPr>
          <w:rFonts w:asciiTheme="majorBidi" w:hAnsiTheme="majorBidi" w:cstheme="majorBidi"/>
        </w:rPr>
        <w:t xml:space="preserve">kesaksian </w:t>
      </w:r>
      <w:r w:rsidRPr="000A2E5C">
        <w:rPr>
          <w:rFonts w:asciiTheme="majorBidi" w:hAnsiTheme="majorBidi" w:cstheme="majorBidi"/>
          <w:i/>
          <w:iCs/>
        </w:rPr>
        <w:t>testimonium de auditu</w:t>
      </w:r>
      <w:r w:rsidRPr="00E250A7">
        <w:rPr>
          <w:rFonts w:asciiTheme="majorBidi" w:hAnsiTheme="majorBidi" w:cstheme="majorBidi"/>
        </w:rPr>
        <w:t>, yakni kesaksian yang didengar dari orang lain, umumnya tidak dapat dijadikan sebagai bukti utama dalam perkara perceraian menurut hukum Islam. Hal ini dikarenakan syarat utama dalam hukum Islam adalah saksi harus memiliki pengetahuan langsung mengenai suatu peristiwa. Namun, dalam situasi di mana saksi langsung tidak tersedia, kesaksian testimonium de auditu dapat dipertimbangkan dengan syarat sumber informasinya dapat dipertanggungjawabkan.</w:t>
      </w:r>
      <w:r>
        <w:rPr>
          <w:rStyle w:val="FootnoteReference"/>
          <w:rFonts w:asciiTheme="majorBidi" w:hAnsiTheme="majorBidi" w:cstheme="majorBidi"/>
        </w:rPr>
        <w:footnoteReference w:id="23"/>
      </w:r>
      <w:r>
        <w:rPr>
          <w:rFonts w:asciiTheme="majorBidi" w:hAnsiTheme="majorBidi" w:cstheme="majorBidi"/>
        </w:rPr>
        <w:t xml:space="preserve"> </w:t>
      </w:r>
    </w:p>
    <w:p w14:paraId="684F5D49" w14:textId="6B348B22" w:rsidR="008D372B" w:rsidRDefault="00FE5715" w:rsidP="005418DB">
      <w:pPr>
        <w:spacing w:line="276" w:lineRule="auto"/>
        <w:ind w:left="284" w:firstLine="567"/>
        <w:jc w:val="both"/>
        <w:rPr>
          <w:rFonts w:asciiTheme="majorBidi" w:hAnsiTheme="majorBidi" w:cstheme="majorBidi"/>
        </w:rPr>
      </w:pPr>
      <w:r w:rsidRPr="00117B83">
        <w:rPr>
          <w:rFonts w:asciiTheme="majorBidi" w:hAnsiTheme="majorBidi" w:cstheme="majorBidi"/>
        </w:rPr>
        <w:t>Persamaan jurnal ini dengan penelitian</w:t>
      </w:r>
      <w:r>
        <w:rPr>
          <w:rFonts w:asciiTheme="majorBidi" w:hAnsiTheme="majorBidi" w:cstheme="majorBidi"/>
        </w:rPr>
        <w:t xml:space="preserve"> penulis</w:t>
      </w:r>
      <w:r w:rsidRPr="00117B83">
        <w:rPr>
          <w:rFonts w:asciiTheme="majorBidi" w:hAnsiTheme="majorBidi" w:cstheme="majorBidi"/>
        </w:rPr>
        <w:t xml:space="preserve"> terletak pada objek kajiannya, yaitu</w:t>
      </w:r>
      <w:r w:rsidR="008D372B" w:rsidRPr="00E250A7">
        <w:rPr>
          <w:rFonts w:asciiTheme="majorBidi" w:hAnsiTheme="majorBidi" w:cstheme="majorBidi"/>
        </w:rPr>
        <w:t xml:space="preserve"> kesaksian </w:t>
      </w:r>
      <w:r w:rsidR="008D372B" w:rsidRPr="00E250A7">
        <w:rPr>
          <w:rFonts w:asciiTheme="majorBidi" w:hAnsiTheme="majorBidi" w:cstheme="majorBidi"/>
          <w:i/>
          <w:iCs/>
        </w:rPr>
        <w:t>testimonium de auditu</w:t>
      </w:r>
      <w:r>
        <w:rPr>
          <w:rFonts w:asciiTheme="majorBidi" w:hAnsiTheme="majorBidi" w:cstheme="majorBidi"/>
        </w:rPr>
        <w:t xml:space="preserve">. </w:t>
      </w:r>
      <w:r w:rsidR="008D372B" w:rsidRPr="00E250A7">
        <w:rPr>
          <w:rFonts w:asciiTheme="majorBidi" w:hAnsiTheme="majorBidi" w:cstheme="majorBidi"/>
        </w:rPr>
        <w:t xml:space="preserve">Namun, terdapat perbedaan signifikan dalam lingkup pembahasan. Jika jurnal tersebut secara umum membahas penerimaan jenis kesaksian ini dalam perkara perdata, khususnya perceraian, maka penelitian </w:t>
      </w:r>
      <w:r w:rsidR="00E56623">
        <w:rPr>
          <w:rFonts w:asciiTheme="majorBidi" w:hAnsiTheme="majorBidi" w:cstheme="majorBidi"/>
        </w:rPr>
        <w:t>penulis</w:t>
      </w:r>
      <w:r w:rsidR="008D372B" w:rsidRPr="00E250A7">
        <w:rPr>
          <w:rFonts w:asciiTheme="majorBidi" w:hAnsiTheme="majorBidi" w:cstheme="majorBidi"/>
        </w:rPr>
        <w:t xml:space="preserve"> lebih spesifik menganalisis penerimaan kesaksian </w:t>
      </w:r>
      <w:r w:rsidR="008D372B" w:rsidRPr="00E250A7">
        <w:rPr>
          <w:rFonts w:asciiTheme="majorBidi" w:hAnsiTheme="majorBidi" w:cstheme="majorBidi"/>
          <w:i/>
          <w:iCs/>
        </w:rPr>
        <w:t>testimonium de auditu</w:t>
      </w:r>
      <w:r w:rsidR="008D372B" w:rsidRPr="00E250A7">
        <w:rPr>
          <w:rFonts w:asciiTheme="majorBidi" w:hAnsiTheme="majorBidi" w:cstheme="majorBidi"/>
        </w:rPr>
        <w:t xml:space="preserve"> </w:t>
      </w:r>
      <w:r w:rsidR="008D372B" w:rsidRPr="00E250A7">
        <w:rPr>
          <w:rFonts w:asciiTheme="majorBidi" w:hAnsiTheme="majorBidi" w:cstheme="majorBidi"/>
        </w:rPr>
        <w:lastRenderedPageBreak/>
        <w:t>dalam tindak pidana pelecehan seksual terhadap anak yang disidangkan di Mahkamah Syariah Takengon.</w:t>
      </w:r>
    </w:p>
    <w:p w14:paraId="4B0E20F4" w14:textId="6C2803CF" w:rsidR="00E56623" w:rsidRDefault="008D372B" w:rsidP="005418DB">
      <w:pPr>
        <w:spacing w:line="276" w:lineRule="auto"/>
        <w:ind w:left="284" w:firstLine="567"/>
        <w:jc w:val="both"/>
        <w:rPr>
          <w:rFonts w:asciiTheme="majorBidi" w:hAnsiTheme="majorBidi" w:cstheme="majorBidi"/>
        </w:rPr>
      </w:pPr>
      <w:r>
        <w:rPr>
          <w:rFonts w:asciiTheme="majorBidi" w:hAnsiTheme="majorBidi" w:cstheme="majorBidi"/>
        </w:rPr>
        <w:t>Jurnal yang ditulis oleh Rani Nur Isnaini pada tahun 2024 yang berjudul “</w:t>
      </w:r>
      <w:r w:rsidRPr="009F1245">
        <w:rPr>
          <w:rFonts w:asciiTheme="majorBidi" w:hAnsiTheme="majorBidi" w:cstheme="majorBidi"/>
          <w:i/>
          <w:iCs/>
        </w:rPr>
        <w:t>Kekuatan Pembuktian Testimonium De Auditu dalam Tindak Pidana Kekerasan Seksual pada Anak.”</w:t>
      </w:r>
      <w:r>
        <w:rPr>
          <w:rFonts w:asciiTheme="majorBidi" w:hAnsiTheme="majorBidi" w:cstheme="majorBidi"/>
        </w:rPr>
        <w:t xml:space="preserve"> </w:t>
      </w:r>
      <w:r w:rsidRPr="00366DCB">
        <w:rPr>
          <w:rFonts w:asciiTheme="majorBidi" w:hAnsiTheme="majorBidi" w:cstheme="majorBidi"/>
        </w:rPr>
        <w:t xml:space="preserve">Penelitian ini membahas mengenai kekuatan pembuktian keterangan saksi yang mengandung </w:t>
      </w:r>
      <w:r w:rsidRPr="0068385B">
        <w:rPr>
          <w:rFonts w:asciiTheme="majorBidi" w:hAnsiTheme="majorBidi" w:cstheme="majorBidi"/>
          <w:i/>
          <w:iCs/>
        </w:rPr>
        <w:t>testimonium de auditu</w:t>
      </w:r>
      <w:r>
        <w:rPr>
          <w:rFonts w:asciiTheme="majorBidi" w:hAnsiTheme="majorBidi" w:cstheme="majorBidi"/>
        </w:rPr>
        <w:t xml:space="preserve"> pada </w:t>
      </w:r>
      <w:r w:rsidRPr="00C80184">
        <w:rPr>
          <w:rFonts w:asciiTheme="majorBidi" w:hAnsiTheme="majorBidi" w:cstheme="majorBidi"/>
        </w:rPr>
        <w:t>Putusan Pengadilan Negeri Makassar Nomor 77/Pid.Sus/2022/PN.Mks</w:t>
      </w:r>
      <w:r>
        <w:rPr>
          <w:rFonts w:asciiTheme="majorBidi" w:hAnsiTheme="majorBidi" w:cstheme="majorBidi"/>
        </w:rPr>
        <w:t xml:space="preserve"> </w:t>
      </w:r>
      <w:r w:rsidRPr="00C80184">
        <w:rPr>
          <w:rFonts w:asciiTheme="majorBidi" w:hAnsiTheme="majorBidi" w:cstheme="majorBidi"/>
        </w:rPr>
        <w:t xml:space="preserve">yang membebaskan terdakwa dalam kasus kekerasan seksual pada anak menjadi titik awal penelitian ini. Hasil penelitian menunjukkan adanya kendala dalam penerapan hukum terkait kekuatan bukti keterangan saksi yang mendengar dari orang lain. Hakim cenderung masih berpedoman pada prinsip </w:t>
      </w:r>
      <w:r>
        <w:rPr>
          <w:rFonts w:asciiTheme="majorBidi" w:hAnsiTheme="majorBidi" w:cstheme="majorBidi"/>
        </w:rPr>
        <w:t>“</w:t>
      </w:r>
      <w:r w:rsidRPr="00C80184">
        <w:rPr>
          <w:rFonts w:asciiTheme="majorBidi" w:hAnsiTheme="majorBidi" w:cstheme="majorBidi"/>
        </w:rPr>
        <w:t>satu saksi bukan saksi</w:t>
      </w:r>
      <w:r>
        <w:rPr>
          <w:rFonts w:asciiTheme="majorBidi" w:hAnsiTheme="majorBidi" w:cstheme="majorBidi"/>
        </w:rPr>
        <w:t>”</w:t>
      </w:r>
      <w:r w:rsidRPr="00C80184">
        <w:rPr>
          <w:rFonts w:asciiTheme="majorBidi" w:hAnsiTheme="majorBidi" w:cstheme="majorBidi"/>
        </w:rPr>
        <w:t xml:space="preserve"> (</w:t>
      </w:r>
      <w:r w:rsidRPr="0068385B">
        <w:rPr>
          <w:rFonts w:asciiTheme="majorBidi" w:hAnsiTheme="majorBidi" w:cstheme="majorBidi"/>
          <w:i/>
          <w:iCs/>
        </w:rPr>
        <w:t>unus testis nullus testis)</w:t>
      </w:r>
      <w:r w:rsidRPr="00C80184">
        <w:rPr>
          <w:rFonts w:asciiTheme="majorBidi" w:hAnsiTheme="majorBidi" w:cstheme="majorBidi"/>
        </w:rPr>
        <w:t>, sehingga kurang memberikan bobot yang cukup pada keterangan saksi tersebut.</w:t>
      </w:r>
      <w:r>
        <w:rPr>
          <w:rStyle w:val="FootnoteReference"/>
          <w:rFonts w:asciiTheme="majorBidi" w:hAnsiTheme="majorBidi" w:cstheme="majorBidi"/>
        </w:rPr>
        <w:footnoteReference w:id="24"/>
      </w:r>
      <w:r>
        <w:rPr>
          <w:rFonts w:asciiTheme="majorBidi" w:hAnsiTheme="majorBidi" w:cstheme="majorBidi"/>
        </w:rPr>
        <w:t xml:space="preserve"> </w:t>
      </w:r>
    </w:p>
    <w:p w14:paraId="47BA990E" w14:textId="0C35917D" w:rsidR="008D372B" w:rsidRPr="0068385B" w:rsidRDefault="00E56623" w:rsidP="005418DB">
      <w:pPr>
        <w:spacing w:line="276" w:lineRule="auto"/>
        <w:ind w:left="284" w:firstLine="567"/>
        <w:jc w:val="both"/>
        <w:rPr>
          <w:rFonts w:asciiTheme="majorBidi" w:hAnsiTheme="majorBidi" w:cstheme="majorBidi"/>
        </w:rPr>
      </w:pPr>
      <w:r w:rsidRPr="00117B83">
        <w:rPr>
          <w:rFonts w:asciiTheme="majorBidi" w:hAnsiTheme="majorBidi" w:cstheme="majorBidi"/>
        </w:rPr>
        <w:t>Persamaan jurnal ini dengan penelitian</w:t>
      </w:r>
      <w:r>
        <w:rPr>
          <w:rFonts w:asciiTheme="majorBidi" w:hAnsiTheme="majorBidi" w:cstheme="majorBidi"/>
        </w:rPr>
        <w:t xml:space="preserve"> penulis</w:t>
      </w:r>
      <w:r w:rsidRPr="00117B83">
        <w:rPr>
          <w:rFonts w:asciiTheme="majorBidi" w:hAnsiTheme="majorBidi" w:cstheme="majorBidi"/>
        </w:rPr>
        <w:t xml:space="preserve"> terletak pada objek kajiannya, yaitu </w:t>
      </w:r>
      <w:r w:rsidR="008D372B" w:rsidRPr="00A46149">
        <w:rPr>
          <w:rFonts w:asciiTheme="majorBidi" w:hAnsiTheme="majorBidi" w:cstheme="majorBidi"/>
        </w:rPr>
        <w:t xml:space="preserve">kesaksian </w:t>
      </w:r>
      <w:r w:rsidR="008D372B" w:rsidRPr="0068385B">
        <w:rPr>
          <w:rFonts w:asciiTheme="majorBidi" w:hAnsiTheme="majorBidi" w:cstheme="majorBidi"/>
          <w:i/>
          <w:iCs/>
        </w:rPr>
        <w:t>testimonium de auditu</w:t>
      </w:r>
      <w:r w:rsidR="008D372B" w:rsidRPr="00A46149">
        <w:rPr>
          <w:rFonts w:asciiTheme="majorBidi" w:hAnsiTheme="majorBidi" w:cstheme="majorBidi"/>
        </w:rPr>
        <w:t xml:space="preserve"> dalam tindak pidana yang berkaitan dengan kekerasan seksual terhadap anak. Namun, perbedaan utama terletak pada fokus penelitian ini yang lebih spesifik, yakni pada penerimaan terhadap kesaksian </w:t>
      </w:r>
      <w:r w:rsidR="008D372B" w:rsidRPr="0068385B">
        <w:rPr>
          <w:rFonts w:asciiTheme="majorBidi" w:hAnsiTheme="majorBidi" w:cstheme="majorBidi"/>
          <w:i/>
          <w:iCs/>
        </w:rPr>
        <w:t>testimonium de auditu</w:t>
      </w:r>
      <w:r w:rsidR="008D372B" w:rsidRPr="00A46149">
        <w:rPr>
          <w:rFonts w:asciiTheme="majorBidi" w:hAnsiTheme="majorBidi" w:cstheme="majorBidi"/>
        </w:rPr>
        <w:t xml:space="preserve"> dalam kasus pelecehan seksual pada anak di lingkungan Mahkamah Syariah</w:t>
      </w:r>
      <w:r w:rsidR="008D372B">
        <w:rPr>
          <w:rFonts w:asciiTheme="majorBidi" w:hAnsiTheme="majorBidi" w:cstheme="majorBidi"/>
        </w:rPr>
        <w:t xml:space="preserve"> Takengon dengan dasar Hukum Acara Jinayat.</w:t>
      </w:r>
      <w:r w:rsidR="008D372B" w:rsidRPr="0068385B">
        <w:rPr>
          <w:rFonts w:asciiTheme="majorBidi" w:hAnsiTheme="majorBidi" w:cstheme="majorBidi"/>
        </w:rPr>
        <w:t xml:space="preserve">  </w:t>
      </w:r>
    </w:p>
    <w:p w14:paraId="5C8E7843" w14:textId="77777777" w:rsidR="008D372B" w:rsidRPr="00476137" w:rsidRDefault="008D372B" w:rsidP="005418DB">
      <w:pPr>
        <w:pStyle w:val="Heading2"/>
        <w:spacing w:line="360" w:lineRule="auto"/>
        <w:ind w:left="284"/>
      </w:pPr>
      <w:bookmarkStart w:id="20" w:name="_Toc185961338"/>
      <w:r w:rsidRPr="00476137">
        <w:t xml:space="preserve">Metode </w:t>
      </w:r>
      <w:r>
        <w:t>P</w:t>
      </w:r>
      <w:r w:rsidRPr="00476137">
        <w:t>enelitian</w:t>
      </w:r>
      <w:bookmarkEnd w:id="20"/>
      <w:r w:rsidRPr="00476137">
        <w:t xml:space="preserve"> </w:t>
      </w:r>
    </w:p>
    <w:p w14:paraId="60A89BCC" w14:textId="0C92CDFD" w:rsidR="008D372B" w:rsidRPr="00CB082F" w:rsidRDefault="008D372B" w:rsidP="005418DB">
      <w:pPr>
        <w:spacing w:line="276" w:lineRule="auto"/>
        <w:ind w:left="284" w:firstLine="567"/>
        <w:jc w:val="both"/>
        <w:rPr>
          <w:rFonts w:asciiTheme="majorBidi" w:hAnsiTheme="majorBidi" w:cstheme="majorBidi"/>
          <w:b/>
          <w:bCs/>
        </w:rPr>
      </w:pPr>
      <w:r w:rsidRPr="00CB0BCE">
        <w:rPr>
          <w:rFonts w:asciiTheme="majorBidi" w:hAnsiTheme="majorBidi" w:cstheme="majorBidi"/>
        </w:rPr>
        <w:lastRenderedPageBreak/>
        <w:t xml:space="preserve">Studi ini mengkaji perbandingan konsep kesaksian </w:t>
      </w:r>
      <w:r w:rsidRPr="00CB0BCE">
        <w:rPr>
          <w:rFonts w:asciiTheme="majorBidi" w:hAnsiTheme="majorBidi" w:cstheme="majorBidi"/>
          <w:i/>
          <w:iCs/>
        </w:rPr>
        <w:t>testimonium de auditu</w:t>
      </w:r>
      <w:r w:rsidRPr="00CB0BCE">
        <w:rPr>
          <w:rFonts w:asciiTheme="majorBidi" w:hAnsiTheme="majorBidi" w:cstheme="majorBidi"/>
        </w:rPr>
        <w:t xml:space="preserve"> antara sistem hukum positif dan hukum</w:t>
      </w:r>
      <w:r>
        <w:rPr>
          <w:rFonts w:asciiTheme="majorBidi" w:hAnsiTheme="majorBidi" w:cstheme="majorBidi"/>
        </w:rPr>
        <w:t xml:space="preserve"> acara pidana </w:t>
      </w:r>
      <w:r w:rsidR="00E76283">
        <w:rPr>
          <w:rFonts w:asciiTheme="majorBidi" w:hAnsiTheme="majorBidi" w:cstheme="majorBidi"/>
        </w:rPr>
        <w:t>Islam (</w:t>
      </w:r>
      <w:r w:rsidR="00E76283">
        <w:rPr>
          <w:rFonts w:asciiTheme="majorBidi" w:hAnsiTheme="majorBidi" w:cstheme="majorBidi"/>
          <w:i/>
          <w:iCs/>
        </w:rPr>
        <w:t>j</w:t>
      </w:r>
      <w:r w:rsidRPr="00E56623">
        <w:rPr>
          <w:rFonts w:asciiTheme="majorBidi" w:hAnsiTheme="majorBidi" w:cstheme="majorBidi"/>
          <w:i/>
          <w:iCs/>
        </w:rPr>
        <w:t>inayat)</w:t>
      </w:r>
      <w:r w:rsidRPr="00CB0BCE">
        <w:rPr>
          <w:rFonts w:asciiTheme="majorBidi" w:hAnsiTheme="majorBidi" w:cstheme="majorBidi"/>
        </w:rPr>
        <w:t>, dengan tujuan untuk</w:t>
      </w:r>
      <w:r>
        <w:rPr>
          <w:rFonts w:asciiTheme="majorBidi" w:hAnsiTheme="majorBidi" w:cstheme="majorBidi"/>
        </w:rPr>
        <w:t xml:space="preserve"> </w:t>
      </w:r>
      <w:r w:rsidRPr="00CB0BCE">
        <w:rPr>
          <w:rFonts w:asciiTheme="majorBidi" w:hAnsiTheme="majorBidi" w:cstheme="majorBidi"/>
        </w:rPr>
        <w:t>mengidentifikasi perbedaan, mencari titik temu, atau mengusulkan perbaikan</w:t>
      </w:r>
      <w:r>
        <w:rPr>
          <w:rFonts w:asciiTheme="majorBidi" w:hAnsiTheme="majorBidi" w:cstheme="majorBidi"/>
        </w:rPr>
        <w:t>.</w:t>
      </w:r>
      <w:r w:rsidRPr="00CB082F">
        <w:rPr>
          <w:rFonts w:asciiTheme="majorBidi" w:hAnsiTheme="majorBidi" w:cstheme="majorBidi"/>
        </w:rPr>
        <w:t xml:space="preserve"> </w:t>
      </w:r>
    </w:p>
    <w:p w14:paraId="59D8A1F7" w14:textId="77777777" w:rsidR="005418DB" w:rsidRDefault="008D372B" w:rsidP="005418DB">
      <w:pPr>
        <w:pStyle w:val="ListParagraph"/>
        <w:numPr>
          <w:ilvl w:val="0"/>
          <w:numId w:val="9"/>
        </w:numPr>
        <w:spacing w:line="276" w:lineRule="auto"/>
        <w:ind w:left="851"/>
        <w:jc w:val="both"/>
        <w:rPr>
          <w:rFonts w:asciiTheme="majorBidi" w:hAnsiTheme="majorBidi" w:cstheme="majorBidi"/>
        </w:rPr>
      </w:pPr>
      <w:r w:rsidRPr="00CB082F">
        <w:rPr>
          <w:rFonts w:asciiTheme="majorBidi" w:hAnsiTheme="majorBidi" w:cstheme="majorBidi"/>
        </w:rPr>
        <w:t xml:space="preserve">Jenis </w:t>
      </w:r>
      <w:r>
        <w:rPr>
          <w:rFonts w:asciiTheme="majorBidi" w:hAnsiTheme="majorBidi" w:cstheme="majorBidi"/>
        </w:rPr>
        <w:t>P</w:t>
      </w:r>
      <w:r w:rsidRPr="00CB082F">
        <w:rPr>
          <w:rFonts w:asciiTheme="majorBidi" w:hAnsiTheme="majorBidi" w:cstheme="majorBidi"/>
        </w:rPr>
        <w:t xml:space="preserve">enelitian dan </w:t>
      </w:r>
      <w:r>
        <w:rPr>
          <w:rFonts w:asciiTheme="majorBidi" w:hAnsiTheme="majorBidi" w:cstheme="majorBidi"/>
        </w:rPr>
        <w:t>P</w:t>
      </w:r>
      <w:r w:rsidRPr="00CB082F">
        <w:rPr>
          <w:rFonts w:asciiTheme="majorBidi" w:hAnsiTheme="majorBidi" w:cstheme="majorBidi"/>
        </w:rPr>
        <w:t xml:space="preserve">endekatan </w:t>
      </w:r>
      <w:r>
        <w:rPr>
          <w:rFonts w:asciiTheme="majorBidi" w:hAnsiTheme="majorBidi" w:cstheme="majorBidi"/>
        </w:rPr>
        <w:t>P</w:t>
      </w:r>
      <w:r w:rsidRPr="00CB082F">
        <w:rPr>
          <w:rFonts w:asciiTheme="majorBidi" w:hAnsiTheme="majorBidi" w:cstheme="majorBidi"/>
        </w:rPr>
        <w:t xml:space="preserve">enelitian </w:t>
      </w:r>
    </w:p>
    <w:p w14:paraId="0EA652E6" w14:textId="77777777" w:rsidR="005418DB" w:rsidRDefault="008D372B" w:rsidP="005418DB">
      <w:pPr>
        <w:pStyle w:val="ListParagraph"/>
        <w:spacing w:line="276" w:lineRule="auto"/>
        <w:ind w:left="851" w:firstLine="567"/>
        <w:jc w:val="both"/>
        <w:rPr>
          <w:rFonts w:asciiTheme="majorBidi" w:hAnsiTheme="majorBidi" w:cstheme="majorBidi"/>
        </w:rPr>
      </w:pPr>
      <w:r w:rsidRPr="005418DB">
        <w:rPr>
          <w:rFonts w:asciiTheme="majorBidi" w:hAnsiTheme="majorBidi" w:cstheme="majorBidi"/>
        </w:rPr>
        <w:t>Jenis penelitian yang digunakan dalam penelitian ini adalah penelitian pustaka (</w:t>
      </w:r>
      <w:r w:rsidRPr="005418DB">
        <w:rPr>
          <w:rFonts w:asciiTheme="majorBidi" w:hAnsiTheme="majorBidi" w:cstheme="majorBidi"/>
          <w:i/>
          <w:iCs/>
        </w:rPr>
        <w:t>library research</w:t>
      </w:r>
      <w:r w:rsidRPr="005418DB">
        <w:rPr>
          <w:rFonts w:asciiTheme="majorBidi" w:hAnsiTheme="majorBidi" w:cstheme="majorBidi"/>
        </w:rPr>
        <w:t>) yaitu penelitian yang mengkaji studi dokumen, studi dokumen adalah proses mengurai dan menafsirkan berbagai jenis dokumen untuk menemukan makna tersembunyi dan hubungan antar informasi dengan menggunakan berbagai data seperti: peraturan perundang-undangan, putusan pengadilan, teori hukum, dan dapat berupa pendapat para sarjana.</w:t>
      </w:r>
      <w:r>
        <w:rPr>
          <w:rStyle w:val="FootnoteReference"/>
          <w:rFonts w:asciiTheme="majorBidi" w:hAnsiTheme="majorBidi" w:cstheme="majorBidi"/>
        </w:rPr>
        <w:footnoteReference w:id="25"/>
      </w:r>
      <w:r w:rsidRPr="005418DB">
        <w:rPr>
          <w:rFonts w:asciiTheme="majorBidi" w:hAnsiTheme="majorBidi" w:cstheme="majorBidi"/>
        </w:rPr>
        <w:t xml:space="preserve"> </w:t>
      </w:r>
    </w:p>
    <w:p w14:paraId="4C31CE11" w14:textId="5D25CFEB" w:rsidR="008D372B" w:rsidRPr="005418DB" w:rsidRDefault="008D372B" w:rsidP="005418DB">
      <w:pPr>
        <w:pStyle w:val="ListParagraph"/>
        <w:spacing w:line="276" w:lineRule="auto"/>
        <w:ind w:left="851" w:firstLine="567"/>
        <w:jc w:val="both"/>
        <w:rPr>
          <w:rFonts w:asciiTheme="majorBidi" w:hAnsiTheme="majorBidi" w:cstheme="majorBidi"/>
        </w:rPr>
      </w:pPr>
      <w:r w:rsidRPr="005418DB">
        <w:rPr>
          <w:rFonts w:asciiTheme="majorBidi" w:hAnsiTheme="majorBidi" w:cstheme="majorBidi"/>
        </w:rPr>
        <w:t>Penelitian ini menggunakan analisis kualitatif yakni dengan menjelaskan data-data yang ada dengan kata-kata atau pernyataan bukan dengan angka-angka. Dalam hal ini penulis menggunakan buku-buku dan literatur-literatur penunjang yang mengemukakan berbagai teori hukum dan dalil yang berhubungan dengan masalah yang akan dikaji. Dalam penelitian ini penulis menggunakan pendekatan hukum normatif (doktrinal) yaitu mengkaji masalah yang diteliti dengan mengacu sumber-sumber hukum yang berhubungan dengan masalah yang dikaji.</w:t>
      </w:r>
      <w:r w:rsidRPr="00CB082F">
        <w:rPr>
          <w:rStyle w:val="FootnoteReference"/>
          <w:rFonts w:asciiTheme="majorBidi" w:hAnsiTheme="majorBidi" w:cstheme="majorBidi"/>
        </w:rPr>
        <w:footnoteReference w:id="26"/>
      </w:r>
      <w:r w:rsidRPr="005418DB">
        <w:rPr>
          <w:rFonts w:asciiTheme="majorBidi" w:hAnsiTheme="majorBidi" w:cstheme="majorBidi"/>
        </w:rPr>
        <w:t xml:space="preserve"> </w:t>
      </w:r>
    </w:p>
    <w:p w14:paraId="2DBB381F" w14:textId="77777777" w:rsidR="008D372B" w:rsidRDefault="008D372B" w:rsidP="005418DB">
      <w:pPr>
        <w:pStyle w:val="ListParagraph"/>
        <w:numPr>
          <w:ilvl w:val="0"/>
          <w:numId w:val="9"/>
        </w:numPr>
        <w:spacing w:line="276" w:lineRule="auto"/>
        <w:ind w:left="851"/>
        <w:jc w:val="both"/>
        <w:rPr>
          <w:rFonts w:asciiTheme="majorBidi" w:hAnsiTheme="majorBidi" w:cstheme="majorBidi"/>
        </w:rPr>
      </w:pPr>
      <w:r w:rsidRPr="00CB082F">
        <w:rPr>
          <w:rFonts w:asciiTheme="majorBidi" w:hAnsiTheme="majorBidi" w:cstheme="majorBidi"/>
        </w:rPr>
        <w:t xml:space="preserve">Sumber </w:t>
      </w:r>
      <w:r>
        <w:rPr>
          <w:rFonts w:asciiTheme="majorBidi" w:hAnsiTheme="majorBidi" w:cstheme="majorBidi"/>
        </w:rPr>
        <w:t>D</w:t>
      </w:r>
      <w:r w:rsidRPr="00CB082F">
        <w:rPr>
          <w:rFonts w:asciiTheme="majorBidi" w:hAnsiTheme="majorBidi" w:cstheme="majorBidi"/>
        </w:rPr>
        <w:t>ata</w:t>
      </w:r>
    </w:p>
    <w:p w14:paraId="0264BDDB" w14:textId="77777777" w:rsidR="008D372B" w:rsidRDefault="008D372B" w:rsidP="005418DB">
      <w:pPr>
        <w:pStyle w:val="ListParagraph"/>
        <w:spacing w:line="276" w:lineRule="auto"/>
        <w:ind w:left="851" w:firstLine="567"/>
        <w:jc w:val="both"/>
        <w:rPr>
          <w:rFonts w:asciiTheme="majorBidi" w:hAnsiTheme="majorBidi" w:cstheme="majorBidi"/>
        </w:rPr>
      </w:pPr>
      <w:r>
        <w:rPr>
          <w:rFonts w:asciiTheme="majorBidi" w:hAnsiTheme="majorBidi" w:cstheme="majorBidi"/>
        </w:rPr>
        <w:lastRenderedPageBreak/>
        <w:t xml:space="preserve">Sumber data yang digunakan dalam penelitian ini adalah berupa sumber data sekunder yang berasal dari </w:t>
      </w:r>
      <w:r w:rsidRPr="00CB082F">
        <w:rPr>
          <w:rFonts w:asciiTheme="majorBidi" w:hAnsiTheme="majorBidi" w:cstheme="majorBidi"/>
        </w:rPr>
        <w:t>Putusan Nomor 9/JN/2023/MS.Tkn</w:t>
      </w:r>
      <w:r>
        <w:rPr>
          <w:rFonts w:asciiTheme="majorBidi" w:hAnsiTheme="majorBidi" w:cstheme="majorBidi"/>
        </w:rPr>
        <w:t>. Data ini diperoleh dari situs Website Mahkamah Agung Republik Indonesia</w:t>
      </w:r>
    </w:p>
    <w:p w14:paraId="6DD41DB3" w14:textId="77777777" w:rsidR="008D372B" w:rsidRPr="00CB082F" w:rsidRDefault="008D372B" w:rsidP="005418DB">
      <w:pPr>
        <w:pStyle w:val="ListParagraph"/>
        <w:numPr>
          <w:ilvl w:val="0"/>
          <w:numId w:val="9"/>
        </w:numPr>
        <w:spacing w:line="276" w:lineRule="auto"/>
        <w:ind w:left="851"/>
        <w:jc w:val="both"/>
        <w:rPr>
          <w:rFonts w:asciiTheme="majorBidi" w:hAnsiTheme="majorBidi" w:cstheme="majorBidi"/>
        </w:rPr>
      </w:pPr>
      <w:r>
        <w:rPr>
          <w:rFonts w:asciiTheme="majorBidi" w:hAnsiTheme="majorBidi" w:cstheme="majorBidi"/>
        </w:rPr>
        <w:t xml:space="preserve">Bahan Hukum </w:t>
      </w:r>
      <w:r w:rsidRPr="00CB082F">
        <w:rPr>
          <w:rFonts w:asciiTheme="majorBidi" w:hAnsiTheme="majorBidi" w:cstheme="majorBidi"/>
        </w:rPr>
        <w:t xml:space="preserve"> </w:t>
      </w:r>
    </w:p>
    <w:p w14:paraId="3BF3663E" w14:textId="77777777" w:rsidR="005418DB" w:rsidRDefault="008D372B" w:rsidP="005418DB">
      <w:pPr>
        <w:pStyle w:val="ListParagraph"/>
        <w:numPr>
          <w:ilvl w:val="0"/>
          <w:numId w:val="79"/>
        </w:numPr>
        <w:spacing w:line="276" w:lineRule="auto"/>
        <w:ind w:left="1134" w:hanging="283"/>
        <w:jc w:val="both"/>
        <w:rPr>
          <w:rFonts w:asciiTheme="majorBidi" w:hAnsiTheme="majorBidi" w:cstheme="majorBidi"/>
        </w:rPr>
      </w:pPr>
      <w:r w:rsidRPr="00CB082F">
        <w:rPr>
          <w:rFonts w:asciiTheme="majorBidi" w:hAnsiTheme="majorBidi" w:cstheme="majorBidi"/>
        </w:rPr>
        <w:t xml:space="preserve">Bahan Hukum Primer </w:t>
      </w:r>
    </w:p>
    <w:p w14:paraId="552A41DA" w14:textId="76C9EF6F" w:rsidR="008D372B" w:rsidRPr="005418DB" w:rsidRDefault="008D372B" w:rsidP="005418DB">
      <w:pPr>
        <w:pStyle w:val="ListParagraph"/>
        <w:spacing w:line="276" w:lineRule="auto"/>
        <w:ind w:left="1134" w:firstLine="284"/>
        <w:jc w:val="both"/>
        <w:rPr>
          <w:rFonts w:asciiTheme="majorBidi" w:hAnsiTheme="majorBidi" w:cstheme="majorBidi"/>
        </w:rPr>
      </w:pPr>
      <w:r w:rsidRPr="005418DB">
        <w:rPr>
          <w:rFonts w:asciiTheme="majorBidi" w:hAnsiTheme="majorBidi" w:cstheme="majorBidi"/>
        </w:rPr>
        <w:t xml:space="preserve">Penelitian ini menggunakan </w:t>
      </w:r>
      <w:r w:rsidR="00E76283" w:rsidRPr="005418DB">
        <w:rPr>
          <w:rFonts w:asciiTheme="majorBidi" w:hAnsiTheme="majorBidi" w:cstheme="majorBidi"/>
        </w:rPr>
        <w:t>bahan hukum primer</w:t>
      </w:r>
      <w:r w:rsidRPr="005418DB">
        <w:rPr>
          <w:rFonts w:asciiTheme="majorBidi" w:hAnsiTheme="majorBidi" w:cstheme="majorBidi"/>
        </w:rPr>
        <w:t xml:space="preserve"> yaitu: </w:t>
      </w:r>
      <w:r w:rsidRPr="005418DB">
        <w:rPr>
          <w:rFonts w:asciiTheme="majorBidi" w:hAnsiTheme="majorBidi" w:cstheme="majorBidi"/>
          <w:lang w:val="en-US"/>
        </w:rPr>
        <w:t xml:space="preserve">Kitab Undang Undang Hukum Acara Pidana (KUHAP) dan Qanun Aceh Nomor 7 tahun 2013 tentang hukum acara </w:t>
      </w:r>
      <w:r w:rsidRPr="005418DB">
        <w:rPr>
          <w:rFonts w:asciiTheme="majorBidi" w:hAnsiTheme="majorBidi" w:cstheme="majorBidi"/>
          <w:i/>
          <w:iCs/>
          <w:lang w:val="en-US"/>
        </w:rPr>
        <w:t xml:space="preserve">jinayat </w:t>
      </w:r>
      <w:r w:rsidRPr="005418DB">
        <w:rPr>
          <w:rFonts w:asciiTheme="majorBidi" w:hAnsiTheme="majorBidi" w:cstheme="majorBidi"/>
          <w:lang w:val="en-US"/>
        </w:rPr>
        <w:t xml:space="preserve">(QHAJ) </w:t>
      </w:r>
    </w:p>
    <w:p w14:paraId="512D35D1" w14:textId="77777777" w:rsidR="008D372B" w:rsidRPr="00CB082F" w:rsidRDefault="008D372B" w:rsidP="005418DB">
      <w:pPr>
        <w:pStyle w:val="ListParagraph"/>
        <w:numPr>
          <w:ilvl w:val="0"/>
          <w:numId w:val="79"/>
        </w:numPr>
        <w:spacing w:line="276" w:lineRule="auto"/>
        <w:ind w:left="1134" w:hanging="283"/>
        <w:jc w:val="both"/>
        <w:rPr>
          <w:rFonts w:asciiTheme="majorBidi" w:hAnsiTheme="majorBidi" w:cstheme="majorBidi"/>
        </w:rPr>
      </w:pPr>
      <w:r w:rsidRPr="00CB082F">
        <w:rPr>
          <w:rFonts w:asciiTheme="majorBidi" w:hAnsiTheme="majorBidi" w:cstheme="majorBidi"/>
        </w:rPr>
        <w:t xml:space="preserve">Bahan Hukum Sekunder </w:t>
      </w:r>
    </w:p>
    <w:p w14:paraId="4E7662CC" w14:textId="3E549796" w:rsidR="008D372B" w:rsidRPr="00CB082F" w:rsidRDefault="00E76283" w:rsidP="005418DB">
      <w:pPr>
        <w:pStyle w:val="ListParagraph"/>
        <w:spacing w:line="276" w:lineRule="auto"/>
        <w:ind w:left="1134" w:firstLine="284"/>
        <w:jc w:val="both"/>
        <w:rPr>
          <w:rFonts w:asciiTheme="majorBidi" w:hAnsiTheme="majorBidi" w:cstheme="majorBidi"/>
        </w:rPr>
      </w:pPr>
      <w:r>
        <w:rPr>
          <w:rFonts w:asciiTheme="majorBidi" w:hAnsiTheme="majorBidi" w:cstheme="majorBidi"/>
        </w:rPr>
        <w:t>P</w:t>
      </w:r>
      <w:r w:rsidR="008D372B" w:rsidRPr="00CB082F">
        <w:rPr>
          <w:rFonts w:asciiTheme="majorBidi" w:hAnsiTheme="majorBidi" w:cstheme="majorBidi"/>
        </w:rPr>
        <w:t>enelitian ini juga menggun</w:t>
      </w:r>
      <w:r w:rsidR="00E56623">
        <w:rPr>
          <w:rFonts w:asciiTheme="majorBidi" w:hAnsiTheme="majorBidi" w:cstheme="majorBidi"/>
        </w:rPr>
        <w:t>a</w:t>
      </w:r>
      <w:r w:rsidR="008D372B" w:rsidRPr="00CB082F">
        <w:rPr>
          <w:rFonts w:asciiTheme="majorBidi" w:hAnsiTheme="majorBidi" w:cstheme="majorBidi"/>
        </w:rPr>
        <w:t>k</w:t>
      </w:r>
      <w:r w:rsidR="008D372B">
        <w:rPr>
          <w:rFonts w:asciiTheme="majorBidi" w:hAnsiTheme="majorBidi" w:cstheme="majorBidi"/>
        </w:rPr>
        <w:t>a</w:t>
      </w:r>
      <w:r w:rsidR="008D372B" w:rsidRPr="00CB082F">
        <w:rPr>
          <w:rFonts w:asciiTheme="majorBidi" w:hAnsiTheme="majorBidi" w:cstheme="majorBidi"/>
        </w:rPr>
        <w:t xml:space="preserve">n </w:t>
      </w:r>
      <w:r w:rsidR="008D372B">
        <w:rPr>
          <w:rFonts w:asciiTheme="majorBidi" w:hAnsiTheme="majorBidi" w:cstheme="majorBidi"/>
        </w:rPr>
        <w:t xml:space="preserve">bahan hukum </w:t>
      </w:r>
      <w:r w:rsidR="008D372B" w:rsidRPr="00CB082F">
        <w:rPr>
          <w:rFonts w:asciiTheme="majorBidi" w:hAnsiTheme="majorBidi" w:cstheme="majorBidi"/>
        </w:rPr>
        <w:t>seku</w:t>
      </w:r>
      <w:r w:rsidR="003B0E85">
        <w:rPr>
          <w:rFonts w:asciiTheme="majorBidi" w:hAnsiTheme="majorBidi" w:cstheme="majorBidi"/>
        </w:rPr>
        <w:t>n</w:t>
      </w:r>
      <w:r w:rsidR="008D372B" w:rsidRPr="00CB082F">
        <w:rPr>
          <w:rFonts w:asciiTheme="majorBidi" w:hAnsiTheme="majorBidi" w:cstheme="majorBidi"/>
        </w:rPr>
        <w:t xml:space="preserve">der sebagai bahan pendukung dalam penelitian ini seperti: </w:t>
      </w:r>
      <w:r>
        <w:rPr>
          <w:rFonts w:asciiTheme="majorBidi" w:hAnsiTheme="majorBidi" w:cstheme="majorBidi"/>
        </w:rPr>
        <w:t>b</w:t>
      </w:r>
      <w:r w:rsidR="008D372B" w:rsidRPr="00CB082F">
        <w:rPr>
          <w:rFonts w:asciiTheme="majorBidi" w:hAnsiTheme="majorBidi" w:cstheme="majorBidi"/>
        </w:rPr>
        <w:t xml:space="preserve">uku </w:t>
      </w:r>
      <w:r w:rsidR="00E56623">
        <w:rPr>
          <w:rFonts w:asciiTheme="majorBidi" w:hAnsiTheme="majorBidi" w:cstheme="majorBidi"/>
        </w:rPr>
        <w:t xml:space="preserve">karya </w:t>
      </w:r>
      <w:r w:rsidR="008D372B" w:rsidRPr="00CB082F">
        <w:rPr>
          <w:rFonts w:asciiTheme="majorBidi" w:hAnsiTheme="majorBidi" w:cstheme="majorBidi"/>
        </w:rPr>
        <w:t xml:space="preserve">Munir Fuady dengan judul </w:t>
      </w:r>
      <w:r w:rsidR="008D372B" w:rsidRPr="00CB082F">
        <w:rPr>
          <w:rFonts w:asciiTheme="majorBidi" w:hAnsiTheme="majorBidi" w:cstheme="majorBidi"/>
          <w:i/>
          <w:iCs/>
        </w:rPr>
        <w:t>Teori Hukum Pembuktian Pidana dan Perdata,</w:t>
      </w:r>
      <w:r w:rsidR="008D372B" w:rsidRPr="00CB082F">
        <w:rPr>
          <w:rFonts w:asciiTheme="majorBidi" w:hAnsiTheme="majorBidi" w:cstheme="majorBidi"/>
        </w:rPr>
        <w:t xml:space="preserve"> </w:t>
      </w:r>
      <w:r>
        <w:rPr>
          <w:rFonts w:asciiTheme="majorBidi" w:hAnsiTheme="majorBidi" w:cstheme="majorBidi"/>
        </w:rPr>
        <w:t>b</w:t>
      </w:r>
      <w:r w:rsidR="00E56623">
        <w:rPr>
          <w:rFonts w:asciiTheme="majorBidi" w:hAnsiTheme="majorBidi" w:cstheme="majorBidi"/>
        </w:rPr>
        <w:t xml:space="preserve">uku karya </w:t>
      </w:r>
      <w:r w:rsidR="008D372B" w:rsidRPr="00CB082F">
        <w:rPr>
          <w:rFonts w:asciiTheme="majorBidi" w:hAnsiTheme="majorBidi" w:cstheme="majorBidi"/>
        </w:rPr>
        <w:t>Riadi Asra Rahmad yang berjudul</w:t>
      </w:r>
      <w:r w:rsidR="00E56623">
        <w:rPr>
          <w:rFonts w:asciiTheme="majorBidi" w:hAnsiTheme="majorBidi" w:cstheme="majorBidi"/>
        </w:rPr>
        <w:t xml:space="preserve"> </w:t>
      </w:r>
      <w:r w:rsidR="008D372B" w:rsidRPr="00CB082F">
        <w:rPr>
          <w:rFonts w:asciiTheme="majorBidi" w:hAnsiTheme="majorBidi" w:cstheme="majorBidi"/>
          <w:i/>
          <w:iCs/>
        </w:rPr>
        <w:t>Hukum Acara Pidana</w:t>
      </w:r>
      <w:r w:rsidR="00E56623">
        <w:rPr>
          <w:rFonts w:asciiTheme="majorBidi" w:hAnsiTheme="majorBidi" w:cstheme="majorBidi"/>
        </w:rPr>
        <w:t>,</w:t>
      </w:r>
      <w:r w:rsidR="008D372B" w:rsidRPr="00CB082F">
        <w:rPr>
          <w:rFonts w:asciiTheme="majorBidi" w:hAnsiTheme="majorBidi" w:cstheme="majorBidi"/>
        </w:rPr>
        <w:t xml:space="preserve"> </w:t>
      </w:r>
      <w:r>
        <w:rPr>
          <w:rFonts w:asciiTheme="majorBidi" w:hAnsiTheme="majorBidi" w:cstheme="majorBidi"/>
        </w:rPr>
        <w:t>buku</w:t>
      </w:r>
      <w:r w:rsidR="00E56623">
        <w:rPr>
          <w:rFonts w:asciiTheme="majorBidi" w:hAnsiTheme="majorBidi" w:cstheme="majorBidi"/>
        </w:rPr>
        <w:t xml:space="preserve"> karya </w:t>
      </w:r>
      <w:r w:rsidR="008D372B" w:rsidRPr="00CB082F">
        <w:rPr>
          <w:rFonts w:asciiTheme="majorBidi" w:hAnsiTheme="majorBidi" w:cstheme="majorBidi"/>
        </w:rPr>
        <w:t>M. Yahya</w:t>
      </w:r>
      <w:r>
        <w:rPr>
          <w:rFonts w:asciiTheme="majorBidi" w:hAnsiTheme="majorBidi" w:cstheme="majorBidi"/>
        </w:rPr>
        <w:t xml:space="preserve"> </w:t>
      </w:r>
      <w:r w:rsidR="008D372B" w:rsidRPr="00CB082F">
        <w:rPr>
          <w:rFonts w:asciiTheme="majorBidi" w:hAnsiTheme="majorBidi" w:cstheme="majorBidi"/>
        </w:rPr>
        <w:t xml:space="preserve">Harahap yang berjudul </w:t>
      </w:r>
      <w:r w:rsidR="008D372B" w:rsidRPr="00CB082F">
        <w:rPr>
          <w:rFonts w:asciiTheme="majorBidi" w:hAnsiTheme="majorBidi" w:cstheme="majorBidi"/>
          <w:i/>
          <w:iCs/>
        </w:rPr>
        <w:t>Pembahasan Permasalahan dan Penerapan KUHAP</w:t>
      </w:r>
      <w:r w:rsidR="008D372B" w:rsidRPr="00CB082F">
        <w:rPr>
          <w:rFonts w:asciiTheme="majorBidi" w:hAnsiTheme="majorBidi" w:cstheme="majorBidi"/>
        </w:rPr>
        <w:t xml:space="preserve"> dan</w:t>
      </w:r>
      <w:r w:rsidR="0006189A">
        <w:rPr>
          <w:rFonts w:asciiTheme="majorBidi" w:hAnsiTheme="majorBidi" w:cstheme="majorBidi"/>
        </w:rPr>
        <w:t xml:space="preserve"> </w:t>
      </w:r>
      <w:r>
        <w:rPr>
          <w:rFonts w:asciiTheme="majorBidi" w:hAnsiTheme="majorBidi" w:cstheme="majorBidi"/>
        </w:rPr>
        <w:t xml:space="preserve">buku </w:t>
      </w:r>
      <w:r w:rsidR="0006189A">
        <w:rPr>
          <w:rFonts w:asciiTheme="majorBidi" w:hAnsiTheme="majorBidi" w:cstheme="majorBidi"/>
        </w:rPr>
        <w:t>karya</w:t>
      </w:r>
      <w:r w:rsidR="008D372B" w:rsidRPr="00CB082F">
        <w:rPr>
          <w:rFonts w:asciiTheme="majorBidi" w:hAnsiTheme="majorBidi" w:cstheme="majorBidi"/>
        </w:rPr>
        <w:t xml:space="preserve"> Mhd Teguh Syuhada Lubis yang berjudul </w:t>
      </w:r>
      <w:r w:rsidR="008D372B" w:rsidRPr="00CB082F">
        <w:rPr>
          <w:rFonts w:asciiTheme="majorBidi" w:hAnsiTheme="majorBidi" w:cstheme="majorBidi"/>
          <w:i/>
          <w:iCs/>
        </w:rPr>
        <w:t xml:space="preserve">Hukum Pembuktian </w:t>
      </w:r>
      <w:r w:rsidR="00E56623">
        <w:rPr>
          <w:rFonts w:asciiTheme="majorBidi" w:hAnsiTheme="majorBidi" w:cstheme="majorBidi"/>
          <w:i/>
          <w:iCs/>
        </w:rPr>
        <w:t>d</w:t>
      </w:r>
      <w:r w:rsidR="008D372B" w:rsidRPr="00CB082F">
        <w:rPr>
          <w:rFonts w:asciiTheme="majorBidi" w:hAnsiTheme="majorBidi" w:cstheme="majorBidi"/>
          <w:i/>
          <w:iCs/>
        </w:rPr>
        <w:t>alam Peradilan di Indonesia</w:t>
      </w:r>
      <w:r>
        <w:rPr>
          <w:rFonts w:asciiTheme="majorBidi" w:hAnsiTheme="majorBidi" w:cstheme="majorBidi"/>
        </w:rPr>
        <w:t xml:space="preserve">. Selain itu, </w:t>
      </w:r>
      <w:r w:rsidR="008D372B" w:rsidRPr="00CB082F">
        <w:rPr>
          <w:rFonts w:asciiTheme="majorBidi" w:hAnsiTheme="majorBidi" w:cstheme="majorBidi"/>
        </w:rPr>
        <w:t>buku</w:t>
      </w:r>
      <w:r w:rsidR="003B0E85">
        <w:rPr>
          <w:rFonts w:asciiTheme="majorBidi" w:hAnsiTheme="majorBidi" w:cstheme="majorBidi"/>
        </w:rPr>
        <w:t xml:space="preserve"> </w:t>
      </w:r>
      <w:r>
        <w:rPr>
          <w:rFonts w:asciiTheme="majorBidi" w:hAnsiTheme="majorBidi" w:cstheme="majorBidi"/>
        </w:rPr>
        <w:t>yang berkaitan dengan</w:t>
      </w:r>
      <w:r w:rsidR="008D372B" w:rsidRPr="00CB082F">
        <w:rPr>
          <w:rFonts w:asciiTheme="majorBidi" w:hAnsiTheme="majorBidi" w:cstheme="majorBidi"/>
        </w:rPr>
        <w:t xml:space="preserve"> </w:t>
      </w:r>
      <w:r w:rsidR="0006189A">
        <w:rPr>
          <w:rFonts w:asciiTheme="majorBidi" w:hAnsiTheme="majorBidi" w:cstheme="majorBidi"/>
        </w:rPr>
        <w:t>h</w:t>
      </w:r>
      <w:r w:rsidR="008D372B" w:rsidRPr="00CB082F">
        <w:rPr>
          <w:rFonts w:asciiTheme="majorBidi" w:hAnsiTheme="majorBidi" w:cstheme="majorBidi"/>
        </w:rPr>
        <w:t xml:space="preserve">ukum acara pidana </w:t>
      </w:r>
      <w:r w:rsidRPr="00CB082F">
        <w:rPr>
          <w:rFonts w:asciiTheme="majorBidi" w:hAnsiTheme="majorBidi" w:cstheme="majorBidi"/>
        </w:rPr>
        <w:t>Islam</w:t>
      </w:r>
      <w:r w:rsidR="008D372B" w:rsidRPr="00CB082F">
        <w:rPr>
          <w:rFonts w:asciiTheme="majorBidi" w:hAnsiTheme="majorBidi" w:cstheme="majorBidi"/>
        </w:rPr>
        <w:t xml:space="preserve"> antara lain seperti</w:t>
      </w:r>
      <w:r w:rsidR="00E56623">
        <w:rPr>
          <w:rFonts w:asciiTheme="majorBidi" w:hAnsiTheme="majorBidi" w:cstheme="majorBidi"/>
        </w:rPr>
        <w:t>:</w:t>
      </w:r>
      <w:r w:rsidR="008D372B" w:rsidRPr="00CB082F">
        <w:rPr>
          <w:rFonts w:asciiTheme="majorBidi" w:hAnsiTheme="majorBidi" w:cstheme="majorBidi"/>
        </w:rPr>
        <w:t xml:space="preserve"> </w:t>
      </w:r>
      <w:r>
        <w:rPr>
          <w:rFonts w:asciiTheme="majorBidi" w:hAnsiTheme="majorBidi" w:cstheme="majorBidi"/>
        </w:rPr>
        <w:t>b</w:t>
      </w:r>
      <w:r w:rsidRPr="00CB082F">
        <w:rPr>
          <w:rFonts w:asciiTheme="majorBidi" w:hAnsiTheme="majorBidi" w:cstheme="majorBidi"/>
        </w:rPr>
        <w:t>uku</w:t>
      </w:r>
      <w:r w:rsidR="008D372B" w:rsidRPr="00CB082F">
        <w:rPr>
          <w:rFonts w:asciiTheme="majorBidi" w:hAnsiTheme="majorBidi" w:cstheme="majorBidi"/>
        </w:rPr>
        <w:t xml:space="preserve"> karya Hasbi Asshidiqie </w:t>
      </w:r>
      <w:r w:rsidR="008D372B">
        <w:rPr>
          <w:rFonts w:asciiTheme="majorBidi" w:hAnsiTheme="majorBidi" w:cstheme="majorBidi"/>
        </w:rPr>
        <w:t xml:space="preserve">yang berjudul </w:t>
      </w:r>
      <w:r w:rsidR="008D372B" w:rsidRPr="00CB082F">
        <w:rPr>
          <w:rFonts w:asciiTheme="majorBidi" w:hAnsiTheme="majorBidi" w:cstheme="majorBidi"/>
          <w:i/>
          <w:iCs/>
        </w:rPr>
        <w:t>Peradilan dan Hukum Acara Islam</w:t>
      </w:r>
      <w:r w:rsidR="008D372B" w:rsidRPr="00CB082F">
        <w:rPr>
          <w:rFonts w:asciiTheme="majorBidi" w:hAnsiTheme="majorBidi" w:cstheme="majorBidi"/>
        </w:rPr>
        <w:t xml:space="preserve">, </w:t>
      </w:r>
      <w:r>
        <w:rPr>
          <w:rFonts w:asciiTheme="majorBidi" w:hAnsiTheme="majorBidi" w:cstheme="majorBidi"/>
        </w:rPr>
        <w:t>buku karya</w:t>
      </w:r>
      <w:r w:rsidR="00E56623">
        <w:rPr>
          <w:rFonts w:asciiTheme="majorBidi" w:hAnsiTheme="majorBidi" w:cstheme="majorBidi"/>
        </w:rPr>
        <w:t xml:space="preserve"> </w:t>
      </w:r>
      <w:r w:rsidR="008D372B" w:rsidRPr="00CB082F">
        <w:rPr>
          <w:rFonts w:asciiTheme="majorBidi" w:hAnsiTheme="majorBidi" w:cstheme="majorBidi"/>
        </w:rPr>
        <w:t xml:space="preserve">Muhammad Tahmid Nur yang berjudul </w:t>
      </w:r>
      <w:r w:rsidR="008D372B" w:rsidRPr="00CB082F">
        <w:rPr>
          <w:rFonts w:asciiTheme="majorBidi" w:hAnsiTheme="majorBidi" w:cstheme="majorBidi"/>
          <w:i/>
          <w:iCs/>
        </w:rPr>
        <w:t xml:space="preserve">Hukum Pidana Islam </w:t>
      </w:r>
      <w:r w:rsidR="008D372B">
        <w:rPr>
          <w:rFonts w:asciiTheme="majorBidi" w:hAnsiTheme="majorBidi" w:cstheme="majorBidi"/>
          <w:i/>
          <w:iCs/>
        </w:rPr>
        <w:t>d</w:t>
      </w:r>
      <w:r w:rsidR="008D372B" w:rsidRPr="00CB082F">
        <w:rPr>
          <w:rFonts w:asciiTheme="majorBidi" w:hAnsiTheme="majorBidi" w:cstheme="majorBidi"/>
          <w:i/>
          <w:iCs/>
        </w:rPr>
        <w:t>alam Per</w:t>
      </w:r>
      <w:r w:rsidR="003B0E85">
        <w:rPr>
          <w:rFonts w:asciiTheme="majorBidi" w:hAnsiTheme="majorBidi" w:cstheme="majorBidi"/>
          <w:i/>
          <w:iCs/>
        </w:rPr>
        <w:t>s</w:t>
      </w:r>
      <w:r w:rsidR="008D372B" w:rsidRPr="00CB082F">
        <w:rPr>
          <w:rFonts w:asciiTheme="majorBidi" w:hAnsiTheme="majorBidi" w:cstheme="majorBidi"/>
          <w:i/>
          <w:iCs/>
        </w:rPr>
        <w:t xml:space="preserve">pektif Hukum Pidana Positif, </w:t>
      </w:r>
      <w:r>
        <w:rPr>
          <w:rFonts w:asciiTheme="majorBidi" w:hAnsiTheme="majorBidi" w:cstheme="majorBidi"/>
        </w:rPr>
        <w:t>b</w:t>
      </w:r>
      <w:r w:rsidRPr="00E56623">
        <w:rPr>
          <w:rFonts w:asciiTheme="majorBidi" w:hAnsiTheme="majorBidi" w:cstheme="majorBidi"/>
        </w:rPr>
        <w:t>uku karya</w:t>
      </w:r>
      <w:r w:rsidR="0006189A">
        <w:rPr>
          <w:rFonts w:asciiTheme="majorBidi" w:hAnsiTheme="majorBidi" w:cstheme="majorBidi"/>
          <w:i/>
          <w:iCs/>
        </w:rPr>
        <w:t xml:space="preserve"> </w:t>
      </w:r>
      <w:r w:rsidR="008D372B" w:rsidRPr="00CB082F">
        <w:rPr>
          <w:rFonts w:asciiTheme="majorBidi" w:hAnsiTheme="majorBidi" w:cstheme="majorBidi"/>
        </w:rPr>
        <w:t xml:space="preserve">Anshoruddin dengan judul </w:t>
      </w:r>
      <w:r w:rsidR="008D372B" w:rsidRPr="00CB082F">
        <w:rPr>
          <w:rFonts w:asciiTheme="majorBidi" w:hAnsiTheme="majorBidi" w:cstheme="majorBidi"/>
          <w:i/>
          <w:iCs/>
        </w:rPr>
        <w:t xml:space="preserve">Hukum Pembuktian </w:t>
      </w:r>
      <w:r w:rsidR="0006189A">
        <w:rPr>
          <w:rFonts w:asciiTheme="majorBidi" w:hAnsiTheme="majorBidi" w:cstheme="majorBidi"/>
          <w:i/>
          <w:iCs/>
        </w:rPr>
        <w:t>m</w:t>
      </w:r>
      <w:r w:rsidR="008D372B" w:rsidRPr="00CB082F">
        <w:rPr>
          <w:rFonts w:asciiTheme="majorBidi" w:hAnsiTheme="majorBidi" w:cstheme="majorBidi"/>
          <w:i/>
          <w:iCs/>
        </w:rPr>
        <w:t>enurut Hukum Acara Islam dan Hukum Positif,</w:t>
      </w:r>
      <w:r w:rsidR="008D372B" w:rsidRPr="00CB082F">
        <w:rPr>
          <w:rFonts w:asciiTheme="majorBidi" w:hAnsiTheme="majorBidi" w:cstheme="majorBidi"/>
        </w:rPr>
        <w:t xml:space="preserve"> </w:t>
      </w:r>
      <w:r w:rsidR="00136A2C">
        <w:rPr>
          <w:rFonts w:asciiTheme="majorBidi" w:hAnsiTheme="majorBidi" w:cstheme="majorBidi"/>
        </w:rPr>
        <w:t>buku kary</w:t>
      </w:r>
      <w:r w:rsidR="0006189A">
        <w:rPr>
          <w:rFonts w:asciiTheme="majorBidi" w:hAnsiTheme="majorBidi" w:cstheme="majorBidi"/>
        </w:rPr>
        <w:t xml:space="preserve">a </w:t>
      </w:r>
      <w:r w:rsidR="008D372B" w:rsidRPr="00CB082F">
        <w:rPr>
          <w:rFonts w:asciiTheme="majorBidi" w:hAnsiTheme="majorBidi" w:cstheme="majorBidi"/>
        </w:rPr>
        <w:t xml:space="preserve">Sahud HM dengan judul </w:t>
      </w:r>
      <w:r w:rsidR="008D372B" w:rsidRPr="00CB082F">
        <w:rPr>
          <w:rFonts w:asciiTheme="majorBidi" w:hAnsiTheme="majorBidi" w:cstheme="majorBidi"/>
          <w:i/>
          <w:iCs/>
        </w:rPr>
        <w:t>Epistemologi Hukum Pidana Islam</w:t>
      </w:r>
      <w:r w:rsidR="008D372B" w:rsidRPr="00CB082F">
        <w:rPr>
          <w:rFonts w:asciiTheme="majorBidi" w:hAnsiTheme="majorBidi" w:cstheme="majorBidi"/>
        </w:rPr>
        <w:t xml:space="preserve">, </w:t>
      </w:r>
      <w:r w:rsidR="00136A2C">
        <w:rPr>
          <w:rFonts w:asciiTheme="majorBidi" w:hAnsiTheme="majorBidi" w:cstheme="majorBidi"/>
        </w:rPr>
        <w:t xml:space="preserve">buku karya </w:t>
      </w:r>
      <w:r w:rsidR="008D372B" w:rsidRPr="00CB082F">
        <w:rPr>
          <w:rFonts w:asciiTheme="majorBidi" w:hAnsiTheme="majorBidi" w:cstheme="majorBidi"/>
        </w:rPr>
        <w:t xml:space="preserve">Syamsuri dkk dengan judul </w:t>
      </w:r>
      <w:r w:rsidR="008D372B" w:rsidRPr="00CB082F">
        <w:rPr>
          <w:rFonts w:asciiTheme="majorBidi" w:hAnsiTheme="majorBidi" w:cstheme="majorBidi"/>
          <w:i/>
          <w:iCs/>
        </w:rPr>
        <w:t>Hukum Pidana Islam</w:t>
      </w:r>
      <w:r w:rsidR="008D372B" w:rsidRPr="00CB082F">
        <w:rPr>
          <w:rFonts w:asciiTheme="majorBidi" w:hAnsiTheme="majorBidi" w:cstheme="majorBidi"/>
        </w:rPr>
        <w:t xml:space="preserve"> dan </w:t>
      </w:r>
      <w:r w:rsidR="0006189A">
        <w:rPr>
          <w:rFonts w:asciiTheme="majorBidi" w:hAnsiTheme="majorBidi" w:cstheme="majorBidi"/>
        </w:rPr>
        <w:t xml:space="preserve">kitab karangan </w:t>
      </w:r>
      <w:r w:rsidR="008D372B" w:rsidRPr="00CB082F">
        <w:rPr>
          <w:rFonts w:asciiTheme="majorBidi" w:hAnsiTheme="majorBidi" w:cstheme="majorBidi"/>
        </w:rPr>
        <w:lastRenderedPageBreak/>
        <w:t>Ibnu Qayyim Al Jau</w:t>
      </w:r>
      <w:r w:rsidR="00136A2C">
        <w:rPr>
          <w:rFonts w:asciiTheme="majorBidi" w:hAnsiTheme="majorBidi" w:cstheme="majorBidi"/>
        </w:rPr>
        <w:t>z</w:t>
      </w:r>
      <w:r w:rsidR="008D372B" w:rsidRPr="00CB082F">
        <w:rPr>
          <w:rFonts w:asciiTheme="majorBidi" w:hAnsiTheme="majorBidi" w:cstheme="majorBidi"/>
        </w:rPr>
        <w:t xml:space="preserve">iyah dengan </w:t>
      </w:r>
      <w:r w:rsidR="0006189A">
        <w:rPr>
          <w:rFonts w:asciiTheme="majorBidi" w:hAnsiTheme="majorBidi" w:cstheme="majorBidi"/>
        </w:rPr>
        <w:t>judul</w:t>
      </w:r>
      <w:r w:rsidR="00136A2C">
        <w:rPr>
          <w:rFonts w:asciiTheme="majorBidi" w:hAnsiTheme="majorBidi" w:cstheme="majorBidi"/>
          <w:i/>
          <w:iCs/>
        </w:rPr>
        <w:t xml:space="preserve"> </w:t>
      </w:r>
      <w:r w:rsidR="00136A2C" w:rsidRPr="00136A2C">
        <w:rPr>
          <w:rFonts w:asciiTheme="majorBidi" w:hAnsiTheme="majorBidi" w:cstheme="majorBidi"/>
          <w:i/>
          <w:iCs/>
        </w:rPr>
        <w:t>Al thuruq al Hukmiyyah fi al siyasah al syar'iyyah</w:t>
      </w:r>
      <w:r w:rsidR="008D372B" w:rsidRPr="00CB082F">
        <w:rPr>
          <w:rFonts w:asciiTheme="majorBidi" w:hAnsiTheme="majorBidi" w:cstheme="majorBidi"/>
          <w:i/>
          <w:iCs/>
        </w:rPr>
        <w:t>.</w:t>
      </w:r>
    </w:p>
    <w:p w14:paraId="2EB91E14" w14:textId="77777777" w:rsidR="008D372B" w:rsidRDefault="008D372B" w:rsidP="005418DB">
      <w:pPr>
        <w:pStyle w:val="ListParagraph"/>
        <w:numPr>
          <w:ilvl w:val="0"/>
          <w:numId w:val="79"/>
        </w:numPr>
        <w:spacing w:line="276" w:lineRule="auto"/>
        <w:ind w:left="1134" w:hanging="283"/>
        <w:jc w:val="both"/>
        <w:rPr>
          <w:rFonts w:asciiTheme="majorBidi" w:hAnsiTheme="majorBidi" w:cstheme="majorBidi"/>
        </w:rPr>
      </w:pPr>
      <w:r w:rsidRPr="00CB082F">
        <w:rPr>
          <w:rFonts w:asciiTheme="majorBidi" w:hAnsiTheme="majorBidi" w:cstheme="majorBidi"/>
        </w:rPr>
        <w:t xml:space="preserve">Teknik Pengumpulan Data </w:t>
      </w:r>
    </w:p>
    <w:p w14:paraId="0EC3A34F" w14:textId="4E4832DA" w:rsidR="008D372B" w:rsidRPr="00171599" w:rsidRDefault="008D372B" w:rsidP="005418DB">
      <w:pPr>
        <w:pStyle w:val="ListParagraph"/>
        <w:spacing w:line="276" w:lineRule="auto"/>
        <w:ind w:left="1134" w:firstLine="284"/>
        <w:jc w:val="both"/>
        <w:rPr>
          <w:rFonts w:asciiTheme="majorBidi" w:hAnsiTheme="majorBidi" w:cstheme="majorBidi"/>
        </w:rPr>
      </w:pPr>
      <w:r w:rsidRPr="006E3B65">
        <w:rPr>
          <w:rFonts w:asciiTheme="majorBidi" w:hAnsiTheme="majorBidi" w:cstheme="majorBidi"/>
        </w:rPr>
        <w:t>Penelitian ini mengadopsi pendekatan kualitatif dengan teknik pengumpulan data utama berupa studi dokumen.</w:t>
      </w:r>
      <w:r>
        <w:rPr>
          <w:rStyle w:val="FootnoteReference"/>
          <w:rFonts w:asciiTheme="majorBidi" w:hAnsiTheme="majorBidi" w:cstheme="majorBidi"/>
        </w:rPr>
        <w:footnoteReference w:id="27"/>
      </w:r>
      <w:r w:rsidRPr="006E3B65">
        <w:rPr>
          <w:rFonts w:asciiTheme="majorBidi" w:hAnsiTheme="majorBidi" w:cstheme="majorBidi"/>
        </w:rPr>
        <w:t xml:space="preserve"> Pen</w:t>
      </w:r>
      <w:r w:rsidR="0006189A">
        <w:rPr>
          <w:rFonts w:asciiTheme="majorBidi" w:hAnsiTheme="majorBidi" w:cstheme="majorBidi"/>
        </w:rPr>
        <w:t>ulis</w:t>
      </w:r>
      <w:r w:rsidRPr="006E3B65">
        <w:rPr>
          <w:rFonts w:asciiTheme="majorBidi" w:hAnsiTheme="majorBidi" w:cstheme="majorBidi"/>
        </w:rPr>
        <w:t xml:space="preserve"> menggali berbagai sumber data</w:t>
      </w:r>
      <w:r>
        <w:rPr>
          <w:rFonts w:asciiTheme="majorBidi" w:hAnsiTheme="majorBidi" w:cstheme="majorBidi"/>
        </w:rPr>
        <w:t xml:space="preserve"> yang membahas tentang sistem pembuktian yang didalamnya memuat konsep kesaksian </w:t>
      </w:r>
      <w:r w:rsidRPr="003D0CEF">
        <w:rPr>
          <w:rFonts w:asciiTheme="majorBidi" w:hAnsiTheme="majorBidi" w:cstheme="majorBidi"/>
          <w:i/>
          <w:iCs/>
        </w:rPr>
        <w:t>testimonium de auditu</w:t>
      </w:r>
      <w:r>
        <w:rPr>
          <w:rFonts w:asciiTheme="majorBidi" w:hAnsiTheme="majorBidi" w:cstheme="majorBidi"/>
        </w:rPr>
        <w:t xml:space="preserve">  </w:t>
      </w:r>
      <w:r w:rsidRPr="006E3B65">
        <w:rPr>
          <w:rFonts w:asciiTheme="majorBidi" w:hAnsiTheme="majorBidi" w:cstheme="majorBidi"/>
        </w:rPr>
        <w:t>seperti buku, artikel, jurnal, laporan penelitian terdahulu, dan dokumen-dokumen terkait lainnya. Dengan melakukan analisis mendalam terhadap isi dokumen-dokumen tersebut, pen</w:t>
      </w:r>
      <w:r w:rsidR="0006189A">
        <w:rPr>
          <w:rFonts w:asciiTheme="majorBidi" w:hAnsiTheme="majorBidi" w:cstheme="majorBidi"/>
        </w:rPr>
        <w:t>ulis</w:t>
      </w:r>
      <w:r w:rsidRPr="006E3B65">
        <w:rPr>
          <w:rFonts w:asciiTheme="majorBidi" w:hAnsiTheme="majorBidi" w:cstheme="majorBidi"/>
        </w:rPr>
        <w:t xml:space="preserve"> berusaha untuk mengidentifikasi tema, pola, dan perkembangan pemikiran terkait topik penelitian. Melalui perbandingan antara berbagai sumber</w:t>
      </w:r>
      <w:r>
        <w:rPr>
          <w:rFonts w:asciiTheme="majorBidi" w:hAnsiTheme="majorBidi" w:cstheme="majorBidi"/>
        </w:rPr>
        <w:t xml:space="preserve"> dan bahan hukum</w:t>
      </w:r>
      <w:r w:rsidRPr="006E3B65">
        <w:rPr>
          <w:rFonts w:asciiTheme="majorBidi" w:hAnsiTheme="majorBidi" w:cstheme="majorBidi"/>
        </w:rPr>
        <w:t>, pen</w:t>
      </w:r>
      <w:r w:rsidR="0006189A">
        <w:rPr>
          <w:rFonts w:asciiTheme="majorBidi" w:hAnsiTheme="majorBidi" w:cstheme="majorBidi"/>
        </w:rPr>
        <w:t>ulis</w:t>
      </w:r>
      <w:r w:rsidRPr="006E3B65">
        <w:rPr>
          <w:rFonts w:asciiTheme="majorBidi" w:hAnsiTheme="majorBidi" w:cstheme="majorBidi"/>
        </w:rPr>
        <w:t xml:space="preserve"> dapat menyusun narasi yang koheren mengenai perkembangan suatu konsep </w:t>
      </w:r>
      <w:r w:rsidRPr="00CB082F">
        <w:rPr>
          <w:rFonts w:asciiTheme="majorBidi" w:hAnsiTheme="majorBidi" w:cstheme="majorBidi"/>
        </w:rPr>
        <w:t>kesak</w:t>
      </w:r>
      <w:r w:rsidR="0006189A">
        <w:rPr>
          <w:rFonts w:asciiTheme="majorBidi" w:hAnsiTheme="majorBidi" w:cstheme="majorBidi"/>
        </w:rPr>
        <w:t>s</w:t>
      </w:r>
      <w:r w:rsidRPr="00CB082F">
        <w:rPr>
          <w:rFonts w:asciiTheme="majorBidi" w:hAnsiTheme="majorBidi" w:cstheme="majorBidi"/>
        </w:rPr>
        <w:t xml:space="preserve">ian </w:t>
      </w:r>
      <w:r w:rsidRPr="006E3B65">
        <w:rPr>
          <w:rFonts w:asciiTheme="majorBidi" w:hAnsiTheme="majorBidi" w:cstheme="majorBidi"/>
          <w:i/>
          <w:iCs/>
        </w:rPr>
        <w:t>testimonium de audit</w:t>
      </w:r>
      <w:r w:rsidR="003B0E85">
        <w:rPr>
          <w:rFonts w:asciiTheme="majorBidi" w:hAnsiTheme="majorBidi" w:cstheme="majorBidi"/>
          <w:i/>
          <w:iCs/>
        </w:rPr>
        <w:t>u</w:t>
      </w:r>
      <w:r>
        <w:rPr>
          <w:rFonts w:asciiTheme="majorBidi" w:hAnsiTheme="majorBidi" w:cstheme="majorBidi"/>
          <w:i/>
          <w:iCs/>
        </w:rPr>
        <w:t xml:space="preserve"> </w:t>
      </w:r>
      <w:r w:rsidRPr="00171599">
        <w:rPr>
          <w:rFonts w:asciiTheme="majorBidi" w:hAnsiTheme="majorBidi" w:cstheme="majorBidi"/>
        </w:rPr>
        <w:t xml:space="preserve">dalam perspektif hukum positif dan </w:t>
      </w:r>
      <w:r w:rsidR="0006189A" w:rsidRPr="00171599">
        <w:rPr>
          <w:rFonts w:asciiTheme="majorBidi" w:hAnsiTheme="majorBidi" w:cstheme="majorBidi"/>
        </w:rPr>
        <w:t xml:space="preserve">Hukum Acara </w:t>
      </w:r>
      <w:r w:rsidR="0006189A" w:rsidRPr="0006189A">
        <w:rPr>
          <w:rFonts w:asciiTheme="majorBidi" w:hAnsiTheme="majorBidi" w:cstheme="majorBidi"/>
          <w:i/>
          <w:iCs/>
        </w:rPr>
        <w:t>Jinaya</w:t>
      </w:r>
      <w:r w:rsidR="0006189A">
        <w:rPr>
          <w:rFonts w:asciiTheme="majorBidi" w:hAnsiTheme="majorBidi" w:cstheme="majorBidi"/>
          <w:i/>
          <w:iCs/>
        </w:rPr>
        <w:t>h</w:t>
      </w:r>
      <w:r w:rsidRPr="00171599">
        <w:rPr>
          <w:rFonts w:asciiTheme="majorBidi" w:hAnsiTheme="majorBidi" w:cstheme="majorBidi"/>
        </w:rPr>
        <w:t xml:space="preserve">. </w:t>
      </w:r>
    </w:p>
    <w:p w14:paraId="46DE86E8" w14:textId="77777777" w:rsidR="005418DB" w:rsidRDefault="008D372B" w:rsidP="005418DB">
      <w:pPr>
        <w:pStyle w:val="ListParagraph"/>
        <w:numPr>
          <w:ilvl w:val="0"/>
          <w:numId w:val="9"/>
        </w:numPr>
        <w:spacing w:line="276" w:lineRule="auto"/>
        <w:ind w:left="851"/>
        <w:jc w:val="both"/>
        <w:rPr>
          <w:rFonts w:asciiTheme="majorBidi" w:hAnsiTheme="majorBidi" w:cstheme="majorBidi"/>
        </w:rPr>
      </w:pPr>
      <w:r>
        <w:rPr>
          <w:rFonts w:asciiTheme="majorBidi" w:hAnsiTheme="majorBidi" w:cstheme="majorBidi"/>
        </w:rPr>
        <w:t xml:space="preserve">Teknik </w:t>
      </w:r>
      <w:r w:rsidRPr="00CB082F">
        <w:rPr>
          <w:rFonts w:asciiTheme="majorBidi" w:hAnsiTheme="majorBidi" w:cstheme="majorBidi"/>
        </w:rPr>
        <w:t>Analisis Data</w:t>
      </w:r>
      <w:r>
        <w:rPr>
          <w:rFonts w:asciiTheme="majorBidi" w:hAnsiTheme="majorBidi" w:cstheme="majorBidi"/>
        </w:rPr>
        <w:t xml:space="preserve"> </w:t>
      </w:r>
    </w:p>
    <w:p w14:paraId="3DB612A3" w14:textId="6DF0B862" w:rsidR="008D372B" w:rsidRPr="005418DB" w:rsidRDefault="008D372B" w:rsidP="005418DB">
      <w:pPr>
        <w:pStyle w:val="ListParagraph"/>
        <w:spacing w:line="276" w:lineRule="auto"/>
        <w:ind w:left="851" w:firstLine="589"/>
        <w:jc w:val="both"/>
        <w:rPr>
          <w:rFonts w:asciiTheme="majorBidi" w:hAnsiTheme="majorBidi" w:cstheme="majorBidi"/>
        </w:rPr>
      </w:pPr>
      <w:r w:rsidRPr="005418DB">
        <w:rPr>
          <w:rFonts w:asciiTheme="majorBidi" w:hAnsiTheme="majorBidi" w:cstheme="majorBidi"/>
        </w:rPr>
        <w:t xml:space="preserve">Penelitian ini menggunakan teknik analisis komparatif dengan cara membandingkan konsep </w:t>
      </w:r>
      <w:r w:rsidRPr="005418DB">
        <w:rPr>
          <w:rFonts w:asciiTheme="majorBidi" w:hAnsiTheme="majorBidi" w:cstheme="majorBidi"/>
          <w:i/>
          <w:iCs/>
        </w:rPr>
        <w:t>testimonium de auditu</w:t>
      </w:r>
      <w:r w:rsidRPr="005418DB">
        <w:rPr>
          <w:rFonts w:asciiTheme="majorBidi" w:hAnsiTheme="majorBidi" w:cstheme="majorBidi"/>
        </w:rPr>
        <w:t xml:space="preserve"> dilihat dari kedua sistem hukum yaitu dari per</w:t>
      </w:r>
      <w:r w:rsidR="003B0E85" w:rsidRPr="005418DB">
        <w:rPr>
          <w:rFonts w:asciiTheme="majorBidi" w:hAnsiTheme="majorBidi" w:cstheme="majorBidi"/>
        </w:rPr>
        <w:t>s</w:t>
      </w:r>
      <w:r w:rsidRPr="005418DB">
        <w:rPr>
          <w:rFonts w:asciiTheme="majorBidi" w:hAnsiTheme="majorBidi" w:cstheme="majorBidi"/>
        </w:rPr>
        <w:t xml:space="preserve">pektif </w:t>
      </w:r>
      <w:r w:rsidR="003B0E85" w:rsidRPr="005418DB">
        <w:rPr>
          <w:rFonts w:asciiTheme="majorBidi" w:hAnsiTheme="majorBidi" w:cstheme="majorBidi"/>
        </w:rPr>
        <w:t xml:space="preserve">Kitab Undang-Undang Hukum Acara Pidana (KUHAP) </w:t>
      </w:r>
      <w:r w:rsidRPr="005418DB">
        <w:rPr>
          <w:rFonts w:asciiTheme="majorBidi" w:hAnsiTheme="majorBidi" w:cstheme="majorBidi"/>
        </w:rPr>
        <w:t>dan</w:t>
      </w:r>
      <w:r w:rsidR="003B0E85" w:rsidRPr="005418DB">
        <w:rPr>
          <w:rFonts w:asciiTheme="majorBidi" w:hAnsiTheme="majorBidi" w:cstheme="majorBidi"/>
        </w:rPr>
        <w:t xml:space="preserve"> Qanun</w:t>
      </w:r>
      <w:r w:rsidRPr="005418DB">
        <w:rPr>
          <w:rFonts w:asciiTheme="majorBidi" w:hAnsiTheme="majorBidi" w:cstheme="majorBidi"/>
        </w:rPr>
        <w:t xml:space="preserve"> </w:t>
      </w:r>
      <w:r w:rsidR="003B0E85" w:rsidRPr="005418DB">
        <w:rPr>
          <w:rFonts w:asciiTheme="majorBidi" w:hAnsiTheme="majorBidi" w:cstheme="majorBidi"/>
        </w:rPr>
        <w:t xml:space="preserve">Hukum Acara </w:t>
      </w:r>
      <w:r w:rsidR="003B0E85" w:rsidRPr="005418DB">
        <w:rPr>
          <w:rFonts w:asciiTheme="majorBidi" w:hAnsiTheme="majorBidi" w:cstheme="majorBidi"/>
          <w:i/>
          <w:iCs/>
        </w:rPr>
        <w:t>Jinayat.</w:t>
      </w:r>
      <w:r>
        <w:rPr>
          <w:rStyle w:val="FootnoteReference"/>
          <w:rFonts w:asciiTheme="majorBidi" w:hAnsiTheme="majorBidi" w:cstheme="majorBidi"/>
        </w:rPr>
        <w:footnoteReference w:id="28"/>
      </w:r>
      <w:r w:rsidRPr="005418DB">
        <w:rPr>
          <w:rFonts w:asciiTheme="majorBidi" w:hAnsiTheme="majorBidi" w:cstheme="majorBidi"/>
        </w:rPr>
        <w:t xml:space="preserve"> Penulis juga mengungkap bagaimana perbedaan konsep kesaktian </w:t>
      </w:r>
      <w:r w:rsidRPr="005418DB">
        <w:rPr>
          <w:rFonts w:asciiTheme="majorBidi" w:hAnsiTheme="majorBidi" w:cstheme="majorBidi"/>
          <w:i/>
          <w:iCs/>
        </w:rPr>
        <w:t>testimonium de auditu</w:t>
      </w:r>
      <w:r w:rsidRPr="005418DB">
        <w:rPr>
          <w:rFonts w:asciiTheme="majorBidi" w:hAnsiTheme="majorBidi" w:cstheme="majorBidi"/>
        </w:rPr>
        <w:t xml:space="preserve"> </w:t>
      </w:r>
      <w:r w:rsidRPr="005418DB">
        <w:rPr>
          <w:rFonts w:asciiTheme="majorBidi" w:hAnsiTheme="majorBidi" w:cstheme="majorBidi"/>
        </w:rPr>
        <w:lastRenderedPageBreak/>
        <w:t>dalam per</w:t>
      </w:r>
      <w:r w:rsidR="003B0E85" w:rsidRPr="005418DB">
        <w:rPr>
          <w:rFonts w:asciiTheme="majorBidi" w:hAnsiTheme="majorBidi" w:cstheme="majorBidi"/>
        </w:rPr>
        <w:t>s</w:t>
      </w:r>
      <w:r w:rsidRPr="005418DB">
        <w:rPr>
          <w:rFonts w:asciiTheme="majorBidi" w:hAnsiTheme="majorBidi" w:cstheme="majorBidi"/>
        </w:rPr>
        <w:t xml:space="preserve">pektif </w:t>
      </w:r>
      <w:r w:rsidR="003B0E85" w:rsidRPr="005418DB">
        <w:rPr>
          <w:rFonts w:asciiTheme="majorBidi" w:hAnsiTheme="majorBidi" w:cstheme="majorBidi"/>
        </w:rPr>
        <w:t xml:space="preserve">Kitab Undang-Undang Hukum Acara Pidana (KUHAP) dan Qanun Hukum Acara </w:t>
      </w:r>
      <w:r w:rsidR="003B0E85" w:rsidRPr="005418DB">
        <w:rPr>
          <w:rFonts w:asciiTheme="majorBidi" w:hAnsiTheme="majorBidi" w:cstheme="majorBidi"/>
          <w:i/>
          <w:iCs/>
        </w:rPr>
        <w:t>Jinayat</w:t>
      </w:r>
      <w:r w:rsidR="003B0E85" w:rsidRPr="005418DB">
        <w:rPr>
          <w:rFonts w:asciiTheme="majorBidi" w:hAnsiTheme="majorBidi" w:cstheme="majorBidi"/>
        </w:rPr>
        <w:t xml:space="preserve">. </w:t>
      </w:r>
      <w:r w:rsidRPr="005418DB">
        <w:rPr>
          <w:rFonts w:asciiTheme="majorBidi" w:hAnsiTheme="majorBidi" w:cstheme="majorBidi"/>
        </w:rPr>
        <w:t>Selain itu, pada penelitian ini pe</w:t>
      </w:r>
      <w:r w:rsidR="0006189A" w:rsidRPr="005418DB">
        <w:rPr>
          <w:rFonts w:asciiTheme="majorBidi" w:hAnsiTheme="majorBidi" w:cstheme="majorBidi"/>
        </w:rPr>
        <w:t>nulis</w:t>
      </w:r>
      <w:r w:rsidRPr="005418DB">
        <w:rPr>
          <w:rFonts w:asciiTheme="majorBidi" w:hAnsiTheme="majorBidi" w:cstheme="majorBidi"/>
        </w:rPr>
        <w:t xml:space="preserve"> menggunakan analisis deskriptif karena pen</w:t>
      </w:r>
      <w:r w:rsidR="001F6C1A" w:rsidRPr="005418DB">
        <w:rPr>
          <w:rFonts w:asciiTheme="majorBidi" w:hAnsiTheme="majorBidi" w:cstheme="majorBidi"/>
        </w:rPr>
        <w:t>ulis</w:t>
      </w:r>
      <w:r w:rsidRPr="005418DB">
        <w:rPr>
          <w:rFonts w:asciiTheme="majorBidi" w:hAnsiTheme="majorBidi" w:cstheme="majorBidi"/>
        </w:rPr>
        <w:t xml:space="preserve"> ingin menggambarkan dan melukiskan fakta fakta atau keadaan keadaan serta gejala gejala yang tampak dari perbedaan konsep </w:t>
      </w:r>
      <w:r w:rsidR="003B0E85" w:rsidRPr="005418DB">
        <w:rPr>
          <w:rFonts w:asciiTheme="majorBidi" w:hAnsiTheme="majorBidi" w:cstheme="majorBidi"/>
        </w:rPr>
        <w:t xml:space="preserve">Kitab Undang-Undang Hukum Acara Pidana (KUHAP) dan Qanun Hukum Acara </w:t>
      </w:r>
      <w:r w:rsidR="003B0E85" w:rsidRPr="005418DB">
        <w:rPr>
          <w:rFonts w:asciiTheme="majorBidi" w:hAnsiTheme="majorBidi" w:cstheme="majorBidi"/>
          <w:i/>
          <w:iCs/>
        </w:rPr>
        <w:t>Jinayat</w:t>
      </w:r>
      <w:r w:rsidR="003B0E85" w:rsidRPr="005418DB">
        <w:rPr>
          <w:rFonts w:asciiTheme="majorBidi" w:hAnsiTheme="majorBidi" w:cstheme="majorBidi"/>
        </w:rPr>
        <w:t xml:space="preserve"> </w:t>
      </w:r>
      <w:r w:rsidRPr="005418DB">
        <w:rPr>
          <w:rFonts w:asciiTheme="majorBidi" w:hAnsiTheme="majorBidi" w:cstheme="majorBidi"/>
        </w:rPr>
        <w:t xml:space="preserve">dalam kesaksian </w:t>
      </w:r>
      <w:r w:rsidRPr="005418DB">
        <w:rPr>
          <w:rFonts w:asciiTheme="majorBidi" w:hAnsiTheme="majorBidi" w:cstheme="majorBidi"/>
          <w:i/>
          <w:iCs/>
        </w:rPr>
        <w:t>testimonium de auditu</w:t>
      </w:r>
      <w:r w:rsidRPr="005418DB">
        <w:rPr>
          <w:rFonts w:asciiTheme="majorBidi" w:hAnsiTheme="majorBidi" w:cstheme="majorBidi"/>
        </w:rPr>
        <w:t xml:space="preserve"> te</w:t>
      </w:r>
      <w:r w:rsidR="003B0E85" w:rsidRPr="005418DB">
        <w:rPr>
          <w:rFonts w:asciiTheme="majorBidi" w:hAnsiTheme="majorBidi" w:cstheme="majorBidi"/>
        </w:rPr>
        <w:t>rhadap</w:t>
      </w:r>
      <w:r w:rsidRPr="005418DB">
        <w:rPr>
          <w:rFonts w:asciiTheme="majorBidi" w:hAnsiTheme="majorBidi" w:cstheme="majorBidi"/>
        </w:rPr>
        <w:t xml:space="preserve"> tindak pidana pelecehan seksual kepada anak.</w:t>
      </w:r>
      <w:r>
        <w:rPr>
          <w:rStyle w:val="FootnoteReference"/>
          <w:rFonts w:asciiTheme="majorBidi" w:hAnsiTheme="majorBidi" w:cstheme="majorBidi"/>
        </w:rPr>
        <w:footnoteReference w:id="29"/>
      </w:r>
      <w:r w:rsidRPr="005418DB">
        <w:rPr>
          <w:rFonts w:asciiTheme="majorBidi" w:hAnsiTheme="majorBidi" w:cstheme="majorBidi"/>
        </w:rPr>
        <w:t xml:space="preserve"> Dari data data yang didapatkan, maka akan mendapatkan rumusan yang nantinya menjadi suatu kesimpulan sehingga tercipta suatu pemahaman pemahaman baru</w:t>
      </w:r>
      <w:r w:rsidR="001F6C1A" w:rsidRPr="005418DB">
        <w:rPr>
          <w:rFonts w:asciiTheme="majorBidi" w:hAnsiTheme="majorBidi" w:cstheme="majorBidi"/>
        </w:rPr>
        <w:t xml:space="preserve">, </w:t>
      </w:r>
      <w:r w:rsidRPr="005418DB">
        <w:rPr>
          <w:rFonts w:asciiTheme="majorBidi" w:hAnsiTheme="majorBidi" w:cstheme="majorBidi"/>
        </w:rPr>
        <w:t xml:space="preserve">namun tetap terjamin akan kebenarannya. </w:t>
      </w:r>
    </w:p>
    <w:p w14:paraId="0CF5D3E8" w14:textId="77777777" w:rsidR="008D372B" w:rsidRPr="00476137" w:rsidRDefault="008D372B" w:rsidP="005418DB">
      <w:pPr>
        <w:pStyle w:val="Heading2"/>
        <w:spacing w:line="360" w:lineRule="auto"/>
        <w:ind w:left="284" w:hanging="284"/>
      </w:pPr>
      <w:bookmarkStart w:id="21" w:name="_Toc185961339"/>
      <w:r w:rsidRPr="00476137">
        <w:t>Sistematika Pen</w:t>
      </w:r>
      <w:r>
        <w:t>ulisan</w:t>
      </w:r>
      <w:bookmarkEnd w:id="21"/>
    </w:p>
    <w:p w14:paraId="4DCF29D9" w14:textId="77777777" w:rsidR="008D372B" w:rsidRPr="005418DB" w:rsidRDefault="008D372B" w:rsidP="005418DB">
      <w:pPr>
        <w:spacing w:line="276" w:lineRule="auto"/>
        <w:ind w:left="284" w:firstLine="567"/>
        <w:jc w:val="both"/>
        <w:rPr>
          <w:rFonts w:asciiTheme="majorBidi" w:hAnsiTheme="majorBidi" w:cstheme="majorBidi"/>
        </w:rPr>
      </w:pPr>
      <w:r w:rsidRPr="005418DB">
        <w:rPr>
          <w:rFonts w:asciiTheme="majorBidi" w:hAnsiTheme="majorBidi" w:cstheme="majorBidi"/>
        </w:rPr>
        <w:t xml:space="preserve">Dalam sistematika pembahasan skripsi ini meliputi lima bab, antara lain secara globalnya sebagai berikut: </w:t>
      </w:r>
    </w:p>
    <w:tbl>
      <w:tblPr>
        <w:tblStyle w:val="TableGrid"/>
        <w:tblW w:w="567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4678"/>
      </w:tblGrid>
      <w:tr w:rsidR="008D372B" w:rsidRPr="008A572E" w14:paraId="0544C367" w14:textId="77777777" w:rsidTr="005418DB">
        <w:tc>
          <w:tcPr>
            <w:tcW w:w="992" w:type="dxa"/>
          </w:tcPr>
          <w:p w14:paraId="1F853703" w14:textId="77777777" w:rsidR="008D372B" w:rsidRPr="0006189A" w:rsidRDefault="008D372B" w:rsidP="00706BBC">
            <w:pPr>
              <w:pStyle w:val="ListParagraph"/>
              <w:spacing w:line="276" w:lineRule="auto"/>
              <w:ind w:left="0"/>
              <w:jc w:val="both"/>
              <w:rPr>
                <w:rFonts w:asciiTheme="majorBidi" w:hAnsiTheme="majorBidi" w:cstheme="majorBidi"/>
                <w:b/>
                <w:bCs/>
              </w:rPr>
            </w:pPr>
            <w:r w:rsidRPr="0006189A">
              <w:rPr>
                <w:rFonts w:asciiTheme="majorBidi" w:hAnsiTheme="majorBidi" w:cstheme="majorBidi"/>
                <w:b/>
                <w:bCs/>
              </w:rPr>
              <w:t>BAB I</w:t>
            </w:r>
          </w:p>
        </w:tc>
        <w:tc>
          <w:tcPr>
            <w:tcW w:w="4678" w:type="dxa"/>
          </w:tcPr>
          <w:p w14:paraId="549C2503" w14:textId="77777777" w:rsidR="008D372B" w:rsidRPr="008A572E" w:rsidRDefault="008D372B" w:rsidP="008A572E">
            <w:pPr>
              <w:spacing w:line="276" w:lineRule="auto"/>
              <w:jc w:val="both"/>
              <w:rPr>
                <w:rFonts w:asciiTheme="majorBidi" w:hAnsiTheme="majorBidi" w:cstheme="majorBidi"/>
              </w:rPr>
            </w:pPr>
            <w:r w:rsidRPr="008A572E">
              <w:rPr>
                <w:rFonts w:asciiTheme="majorBidi" w:hAnsiTheme="majorBidi" w:cstheme="majorBidi"/>
              </w:rPr>
              <w:t xml:space="preserve">Pendahuluan. Bab ini berisi latar belakang, rumusan masalah, tujuan penulisan, manfaat penulisan, telaah pustaka, metode penelitian, dan sistematika penulisan. </w:t>
            </w:r>
          </w:p>
        </w:tc>
      </w:tr>
      <w:tr w:rsidR="008D372B" w:rsidRPr="008A572E" w14:paraId="48D3C00D" w14:textId="77777777" w:rsidTr="005418DB">
        <w:tc>
          <w:tcPr>
            <w:tcW w:w="992" w:type="dxa"/>
          </w:tcPr>
          <w:p w14:paraId="3A08FBB1" w14:textId="77777777" w:rsidR="008D372B" w:rsidRPr="0006189A" w:rsidRDefault="008D372B" w:rsidP="00706BBC">
            <w:pPr>
              <w:pStyle w:val="ListParagraph"/>
              <w:spacing w:line="276" w:lineRule="auto"/>
              <w:ind w:left="0"/>
              <w:jc w:val="both"/>
              <w:rPr>
                <w:rFonts w:asciiTheme="majorBidi" w:hAnsiTheme="majorBidi" w:cstheme="majorBidi"/>
                <w:b/>
                <w:bCs/>
              </w:rPr>
            </w:pPr>
            <w:r w:rsidRPr="0006189A">
              <w:rPr>
                <w:rFonts w:asciiTheme="majorBidi" w:hAnsiTheme="majorBidi" w:cstheme="majorBidi"/>
                <w:b/>
                <w:bCs/>
              </w:rPr>
              <w:t>BAB II</w:t>
            </w:r>
          </w:p>
        </w:tc>
        <w:tc>
          <w:tcPr>
            <w:tcW w:w="4678" w:type="dxa"/>
          </w:tcPr>
          <w:p w14:paraId="05AC94C3" w14:textId="56970199" w:rsidR="008D372B" w:rsidRPr="008A572E" w:rsidRDefault="008D372B" w:rsidP="008A572E">
            <w:pPr>
              <w:spacing w:line="276" w:lineRule="auto"/>
              <w:jc w:val="both"/>
              <w:rPr>
                <w:rFonts w:asciiTheme="majorBidi" w:hAnsiTheme="majorBidi" w:cstheme="majorBidi"/>
              </w:rPr>
            </w:pPr>
            <w:r w:rsidRPr="008A572E">
              <w:rPr>
                <w:rFonts w:asciiTheme="majorBidi" w:hAnsiTheme="majorBidi" w:cstheme="majorBidi"/>
              </w:rPr>
              <w:t>Tinjauan pustaka</w:t>
            </w:r>
            <w:r>
              <w:rPr>
                <w:rFonts w:asciiTheme="majorBidi" w:hAnsiTheme="majorBidi" w:cstheme="majorBidi"/>
              </w:rPr>
              <w:t>. Bab ini berisi</w:t>
            </w:r>
            <w:r w:rsidRPr="008A572E">
              <w:rPr>
                <w:rFonts w:asciiTheme="majorBidi" w:hAnsiTheme="majorBidi" w:cstheme="majorBidi"/>
              </w:rPr>
              <w:t xml:space="preserve"> mengenai</w:t>
            </w:r>
            <w:r>
              <w:rPr>
                <w:rFonts w:asciiTheme="majorBidi" w:hAnsiTheme="majorBidi" w:cstheme="majorBidi"/>
              </w:rPr>
              <w:t xml:space="preserve"> tindak pidana pelecehan seksual </w:t>
            </w:r>
            <w:r w:rsidRPr="008A572E">
              <w:rPr>
                <w:rFonts w:asciiTheme="majorBidi" w:hAnsiTheme="majorBidi" w:cstheme="majorBidi"/>
              </w:rPr>
              <w:t>menurut</w:t>
            </w:r>
            <w:r w:rsidR="000112D6">
              <w:rPr>
                <w:rFonts w:asciiTheme="majorBidi" w:hAnsiTheme="majorBidi" w:cstheme="majorBidi"/>
              </w:rPr>
              <w:t xml:space="preserve"> Undang-Undang Nomor 12 Tahun 2022 tentang Tindak Pidana Kekerasan Seksual </w:t>
            </w:r>
            <w:r w:rsidRPr="008A572E">
              <w:rPr>
                <w:rFonts w:asciiTheme="majorBidi" w:hAnsiTheme="majorBidi" w:cstheme="majorBidi"/>
              </w:rPr>
              <w:t>dan hukum pidana Islam (</w:t>
            </w:r>
            <w:r w:rsidR="00136A2C" w:rsidRPr="00136A2C">
              <w:rPr>
                <w:rFonts w:asciiTheme="majorBidi" w:hAnsiTheme="majorBidi" w:cstheme="majorBidi"/>
                <w:i/>
                <w:iCs/>
              </w:rPr>
              <w:t>jinaya</w:t>
            </w:r>
            <w:r w:rsidR="00136A2C">
              <w:rPr>
                <w:rFonts w:asciiTheme="majorBidi" w:hAnsiTheme="majorBidi" w:cstheme="majorBidi"/>
                <w:i/>
                <w:iCs/>
              </w:rPr>
              <w:t>t</w:t>
            </w:r>
            <w:r w:rsidR="00136A2C" w:rsidRPr="00136A2C">
              <w:rPr>
                <w:rFonts w:asciiTheme="majorBidi" w:hAnsiTheme="majorBidi" w:cstheme="majorBidi"/>
                <w:i/>
                <w:iCs/>
              </w:rPr>
              <w:t>)</w:t>
            </w:r>
            <w:r w:rsidRPr="008A572E">
              <w:rPr>
                <w:rFonts w:asciiTheme="majorBidi" w:hAnsiTheme="majorBidi" w:cstheme="majorBidi"/>
              </w:rPr>
              <w:t xml:space="preserve"> serta sistem pembuktiannya. Bab ini terdiri atas</w:t>
            </w:r>
            <w:r w:rsidR="000112D6">
              <w:rPr>
                <w:rFonts w:asciiTheme="majorBidi" w:hAnsiTheme="majorBidi" w:cstheme="majorBidi"/>
              </w:rPr>
              <w:t xml:space="preserve"> tiga </w:t>
            </w:r>
            <w:r w:rsidRPr="008A572E">
              <w:rPr>
                <w:rFonts w:asciiTheme="majorBidi" w:hAnsiTheme="majorBidi" w:cstheme="majorBidi"/>
              </w:rPr>
              <w:t xml:space="preserve">sub-bab. Pertama, dibahas pengertian tindak pidana pelecehan seksual. </w:t>
            </w:r>
            <w:r w:rsidRPr="008A572E">
              <w:rPr>
                <w:rFonts w:asciiTheme="majorBidi" w:hAnsiTheme="majorBidi" w:cstheme="majorBidi"/>
              </w:rPr>
              <w:lastRenderedPageBreak/>
              <w:t>Kedua, dijelaskan sistem pembuktian dala</w:t>
            </w:r>
            <w:r w:rsidR="000112D6">
              <w:rPr>
                <w:rFonts w:asciiTheme="majorBidi" w:hAnsiTheme="majorBidi" w:cstheme="majorBidi"/>
              </w:rPr>
              <w:t>m KUHAP</w:t>
            </w:r>
            <w:r w:rsidRPr="008A572E">
              <w:rPr>
                <w:rFonts w:asciiTheme="majorBidi" w:hAnsiTheme="majorBidi" w:cstheme="majorBidi"/>
              </w:rPr>
              <w:t xml:space="preserve">, alat bukti dalam KUHAP, macam-macam alat bukti, dan kesaksian. Ketiga, pengertian pembuktian menurut hukum </w:t>
            </w:r>
            <w:r w:rsidR="000112D6">
              <w:rPr>
                <w:rFonts w:asciiTheme="majorBidi" w:hAnsiTheme="majorBidi" w:cstheme="majorBidi"/>
              </w:rPr>
              <w:t xml:space="preserve">acara </w:t>
            </w:r>
            <w:r w:rsidRPr="008A572E">
              <w:rPr>
                <w:rFonts w:asciiTheme="majorBidi" w:hAnsiTheme="majorBidi" w:cstheme="majorBidi"/>
              </w:rPr>
              <w:t>pidan</w:t>
            </w:r>
            <w:r w:rsidR="000112D6">
              <w:rPr>
                <w:rFonts w:asciiTheme="majorBidi" w:hAnsiTheme="majorBidi" w:cstheme="majorBidi"/>
              </w:rPr>
              <w:t xml:space="preserve">a </w:t>
            </w:r>
            <w:r w:rsidRPr="008A572E">
              <w:rPr>
                <w:rFonts w:asciiTheme="majorBidi" w:hAnsiTheme="majorBidi" w:cstheme="majorBidi"/>
              </w:rPr>
              <w:t xml:space="preserve">Islam, macam-macam alat bukti dalam peradilan Islam, kesaksian menurut peradilan Islam, serta syarat-syarat yang harus dipenuhi oleh seorang saksi </w:t>
            </w:r>
            <w:r w:rsidR="000112D6">
              <w:rPr>
                <w:rFonts w:asciiTheme="majorBidi" w:hAnsiTheme="majorBidi" w:cstheme="majorBidi"/>
              </w:rPr>
              <w:t xml:space="preserve">dalam Qanun Hukum Acara </w:t>
            </w:r>
            <w:r w:rsidR="000112D6" w:rsidRPr="000112D6">
              <w:rPr>
                <w:rFonts w:asciiTheme="majorBidi" w:hAnsiTheme="majorBidi" w:cstheme="majorBidi"/>
                <w:i/>
                <w:iCs/>
              </w:rPr>
              <w:t>Jinayat</w:t>
            </w:r>
            <w:r w:rsidRPr="008A572E">
              <w:rPr>
                <w:rFonts w:asciiTheme="majorBidi" w:hAnsiTheme="majorBidi" w:cstheme="majorBidi"/>
              </w:rPr>
              <w:t xml:space="preserve">. </w:t>
            </w:r>
          </w:p>
        </w:tc>
      </w:tr>
      <w:tr w:rsidR="008D372B" w:rsidRPr="008A572E" w14:paraId="776BBFD6" w14:textId="77777777" w:rsidTr="005418DB">
        <w:tc>
          <w:tcPr>
            <w:tcW w:w="992" w:type="dxa"/>
          </w:tcPr>
          <w:p w14:paraId="7E7B89F0" w14:textId="77777777" w:rsidR="008D372B" w:rsidRPr="0006189A" w:rsidRDefault="008D372B" w:rsidP="00706BBC">
            <w:pPr>
              <w:pStyle w:val="ListParagraph"/>
              <w:spacing w:line="276" w:lineRule="auto"/>
              <w:ind w:left="0"/>
              <w:jc w:val="both"/>
              <w:rPr>
                <w:rFonts w:asciiTheme="majorBidi" w:hAnsiTheme="majorBidi" w:cstheme="majorBidi"/>
                <w:b/>
                <w:bCs/>
              </w:rPr>
            </w:pPr>
            <w:r w:rsidRPr="0006189A">
              <w:rPr>
                <w:rFonts w:asciiTheme="majorBidi" w:hAnsiTheme="majorBidi" w:cstheme="majorBidi"/>
                <w:b/>
                <w:bCs/>
              </w:rPr>
              <w:t>BAB III</w:t>
            </w:r>
          </w:p>
        </w:tc>
        <w:tc>
          <w:tcPr>
            <w:tcW w:w="4678" w:type="dxa"/>
          </w:tcPr>
          <w:p w14:paraId="6467A682" w14:textId="57450B67" w:rsidR="008D372B" w:rsidRPr="008A572E" w:rsidRDefault="008D372B" w:rsidP="00706BBC">
            <w:pPr>
              <w:pStyle w:val="ListParagraph"/>
              <w:spacing w:line="276" w:lineRule="auto"/>
              <w:ind w:left="0"/>
              <w:jc w:val="both"/>
              <w:rPr>
                <w:rFonts w:asciiTheme="majorBidi" w:hAnsiTheme="majorBidi" w:cstheme="majorBidi"/>
              </w:rPr>
            </w:pPr>
            <w:r>
              <w:rPr>
                <w:rFonts w:asciiTheme="majorBidi" w:hAnsiTheme="majorBidi" w:cstheme="majorBidi"/>
              </w:rPr>
              <w:t>Bab ini berisi g</w:t>
            </w:r>
            <w:r w:rsidRPr="008A572E">
              <w:rPr>
                <w:rFonts w:asciiTheme="majorBidi" w:hAnsiTheme="majorBidi" w:cstheme="majorBidi"/>
              </w:rPr>
              <w:t xml:space="preserve">ambaran umum </w:t>
            </w:r>
            <w:r w:rsidR="00E07EB5">
              <w:rPr>
                <w:rFonts w:asciiTheme="majorBidi" w:hAnsiTheme="majorBidi" w:cstheme="majorBidi"/>
              </w:rPr>
              <w:t xml:space="preserve">tentang konsep penerimaan </w:t>
            </w:r>
            <w:r w:rsidR="00E07EB5" w:rsidRPr="008A572E">
              <w:rPr>
                <w:rFonts w:asciiTheme="majorBidi" w:hAnsiTheme="majorBidi" w:cstheme="majorBidi"/>
              </w:rPr>
              <w:t xml:space="preserve">kesaksian </w:t>
            </w:r>
            <w:r w:rsidR="00E07EB5" w:rsidRPr="008A572E">
              <w:rPr>
                <w:rFonts w:asciiTheme="majorBidi" w:hAnsiTheme="majorBidi" w:cstheme="majorBidi"/>
                <w:i/>
                <w:iCs/>
              </w:rPr>
              <w:t>testimonium de auditu</w:t>
            </w:r>
            <w:r w:rsidR="00E07EB5" w:rsidRPr="008A572E">
              <w:rPr>
                <w:rFonts w:asciiTheme="majorBidi" w:hAnsiTheme="majorBidi" w:cstheme="majorBidi"/>
              </w:rPr>
              <w:t xml:space="preserve"> dan syarat-syarat diterimanya kesaksian</w:t>
            </w:r>
            <w:r w:rsidR="00E07EB5">
              <w:rPr>
                <w:rFonts w:asciiTheme="majorBidi" w:hAnsiTheme="majorBidi" w:cstheme="majorBidi"/>
              </w:rPr>
              <w:t xml:space="preserve"> serta </w:t>
            </w:r>
            <w:r w:rsidRPr="008A572E">
              <w:rPr>
                <w:rFonts w:asciiTheme="majorBidi" w:hAnsiTheme="majorBidi" w:cstheme="majorBidi"/>
              </w:rPr>
              <w:t xml:space="preserve"> bentuk kesaksian </w:t>
            </w:r>
            <w:r w:rsidRPr="008A572E">
              <w:rPr>
                <w:rFonts w:asciiTheme="majorBidi" w:hAnsiTheme="majorBidi" w:cstheme="majorBidi"/>
                <w:i/>
                <w:iCs/>
              </w:rPr>
              <w:t>testimonium de auditu</w:t>
            </w:r>
            <w:r w:rsidRPr="008A572E">
              <w:rPr>
                <w:rFonts w:asciiTheme="majorBidi" w:hAnsiTheme="majorBidi" w:cstheme="majorBidi"/>
              </w:rPr>
              <w:t xml:space="preserve"> terhadap tindak pidana pelecehan seksual terhadap anak dibawah umur dalam putusan Mahkamah Syariah Takengon Nomor </w:t>
            </w:r>
            <w:r w:rsidRPr="008A572E">
              <w:rPr>
                <w:rFonts w:asciiTheme="majorBidi" w:hAnsiTheme="majorBidi" w:cstheme="majorBidi"/>
                <w:lang w:val="en-US"/>
              </w:rPr>
              <w:t>Nomor 9/JN/2023/MS.Tkn</w:t>
            </w:r>
            <w:r w:rsidRPr="008A572E">
              <w:rPr>
                <w:rFonts w:asciiTheme="majorBidi" w:hAnsiTheme="majorBidi" w:cstheme="majorBidi"/>
              </w:rPr>
              <w:t xml:space="preserve">.  </w:t>
            </w:r>
          </w:p>
        </w:tc>
      </w:tr>
      <w:tr w:rsidR="008D372B" w:rsidRPr="008A572E" w14:paraId="682DC09C" w14:textId="77777777" w:rsidTr="005418DB">
        <w:tc>
          <w:tcPr>
            <w:tcW w:w="992" w:type="dxa"/>
          </w:tcPr>
          <w:p w14:paraId="7BAB632F" w14:textId="77777777" w:rsidR="008D372B" w:rsidRPr="00FB32D1" w:rsidRDefault="008D372B" w:rsidP="00706BBC">
            <w:pPr>
              <w:pStyle w:val="ListParagraph"/>
              <w:spacing w:line="276" w:lineRule="auto"/>
              <w:ind w:left="0"/>
              <w:jc w:val="both"/>
              <w:rPr>
                <w:rFonts w:asciiTheme="majorBidi" w:hAnsiTheme="majorBidi" w:cstheme="majorBidi"/>
                <w:b/>
                <w:bCs/>
              </w:rPr>
            </w:pPr>
            <w:r w:rsidRPr="00FB32D1">
              <w:rPr>
                <w:rFonts w:asciiTheme="majorBidi" w:hAnsiTheme="majorBidi" w:cstheme="majorBidi"/>
                <w:b/>
                <w:bCs/>
              </w:rPr>
              <w:t>BAB IV</w:t>
            </w:r>
          </w:p>
        </w:tc>
        <w:tc>
          <w:tcPr>
            <w:tcW w:w="4678" w:type="dxa"/>
          </w:tcPr>
          <w:p w14:paraId="7908F862" w14:textId="2E2768AB" w:rsidR="008D372B" w:rsidRPr="008A572E" w:rsidRDefault="008D372B" w:rsidP="00706BBC">
            <w:pPr>
              <w:pStyle w:val="ListParagraph"/>
              <w:spacing w:line="276" w:lineRule="auto"/>
              <w:ind w:left="0"/>
              <w:jc w:val="both"/>
              <w:rPr>
                <w:rFonts w:asciiTheme="majorBidi" w:hAnsiTheme="majorBidi" w:cstheme="majorBidi"/>
              </w:rPr>
            </w:pPr>
            <w:r w:rsidRPr="008A572E">
              <w:rPr>
                <w:rFonts w:asciiTheme="majorBidi" w:hAnsiTheme="majorBidi" w:cstheme="majorBidi"/>
              </w:rPr>
              <w:t>Analisis. Bab ini berisi</w:t>
            </w:r>
            <w:r>
              <w:rPr>
                <w:rFonts w:asciiTheme="majorBidi" w:hAnsiTheme="majorBidi" w:cstheme="majorBidi"/>
              </w:rPr>
              <w:t xml:space="preserve"> dua sub-bab </w:t>
            </w:r>
            <w:r w:rsidRPr="008A572E">
              <w:rPr>
                <w:rFonts w:asciiTheme="majorBidi" w:hAnsiTheme="majorBidi" w:cstheme="majorBidi"/>
              </w:rPr>
              <w:t xml:space="preserve"> analisis terhadap konsep kesaksian </w:t>
            </w:r>
            <w:r w:rsidRPr="008A572E">
              <w:rPr>
                <w:rFonts w:asciiTheme="majorBidi" w:hAnsiTheme="majorBidi" w:cstheme="majorBidi"/>
                <w:i/>
                <w:iCs/>
              </w:rPr>
              <w:t>testimonium de auditu</w:t>
            </w:r>
            <w:r w:rsidRPr="008A572E">
              <w:rPr>
                <w:rFonts w:asciiTheme="majorBidi" w:hAnsiTheme="majorBidi" w:cstheme="majorBidi"/>
              </w:rPr>
              <w:t xml:space="preserve"> terhadap tindak pidana pelecehan seksual terhadap anak dalam putusan Mahkamah Syariah Takengon Nomor </w:t>
            </w:r>
            <w:r w:rsidRPr="008A572E">
              <w:rPr>
                <w:rFonts w:asciiTheme="majorBidi" w:hAnsiTheme="majorBidi" w:cstheme="majorBidi"/>
                <w:lang w:val="en-US"/>
              </w:rPr>
              <w:t>Nomor 9/JN/2023/MS.Tkn</w:t>
            </w:r>
            <w:r w:rsidR="00577B45">
              <w:rPr>
                <w:rFonts w:asciiTheme="majorBidi" w:hAnsiTheme="majorBidi" w:cstheme="majorBidi"/>
                <w:lang w:val="en-US"/>
              </w:rPr>
              <w:t xml:space="preserve"> dalam </w:t>
            </w:r>
            <w:r w:rsidRPr="008A572E">
              <w:rPr>
                <w:rFonts w:asciiTheme="majorBidi" w:hAnsiTheme="majorBidi" w:cstheme="majorBidi"/>
              </w:rPr>
              <w:t>per</w:t>
            </w:r>
            <w:r w:rsidR="003B0E85">
              <w:rPr>
                <w:rFonts w:asciiTheme="majorBidi" w:hAnsiTheme="majorBidi" w:cstheme="majorBidi"/>
              </w:rPr>
              <w:t>s</w:t>
            </w:r>
            <w:r w:rsidRPr="008A572E">
              <w:rPr>
                <w:rFonts w:asciiTheme="majorBidi" w:hAnsiTheme="majorBidi" w:cstheme="majorBidi"/>
              </w:rPr>
              <w:t xml:space="preserve">pektif </w:t>
            </w:r>
            <w:r w:rsidR="00577B45">
              <w:rPr>
                <w:rFonts w:asciiTheme="majorBidi" w:hAnsiTheme="majorBidi" w:cstheme="majorBidi"/>
              </w:rPr>
              <w:t xml:space="preserve">Kitab Undang-Undang Hukum Acara Pidana (KUHAP) </w:t>
            </w:r>
            <w:r w:rsidRPr="008A572E">
              <w:rPr>
                <w:rFonts w:asciiTheme="majorBidi" w:hAnsiTheme="majorBidi" w:cstheme="majorBidi"/>
              </w:rPr>
              <w:t xml:space="preserve">dan </w:t>
            </w:r>
            <w:r w:rsidR="00577B45">
              <w:rPr>
                <w:rFonts w:asciiTheme="majorBidi" w:hAnsiTheme="majorBidi" w:cstheme="majorBidi"/>
              </w:rPr>
              <w:t xml:space="preserve">Qanun </w:t>
            </w:r>
            <w:r w:rsidR="00577B45" w:rsidRPr="008A572E">
              <w:rPr>
                <w:rFonts w:asciiTheme="majorBidi" w:hAnsiTheme="majorBidi" w:cstheme="majorBidi"/>
              </w:rPr>
              <w:t>Hukum Acara Jinayat</w:t>
            </w:r>
            <w:r w:rsidR="00577B45">
              <w:rPr>
                <w:rFonts w:asciiTheme="majorBidi" w:hAnsiTheme="majorBidi" w:cstheme="majorBidi"/>
              </w:rPr>
              <w:t xml:space="preserve"> (QHAJ) </w:t>
            </w:r>
            <w:r w:rsidRPr="008A572E">
              <w:rPr>
                <w:rFonts w:asciiTheme="majorBidi" w:hAnsiTheme="majorBidi" w:cstheme="majorBidi"/>
              </w:rPr>
              <w:t xml:space="preserve">serta didalamnya memuat interpretasi kesaksian </w:t>
            </w:r>
            <w:r w:rsidRPr="008A572E">
              <w:rPr>
                <w:rFonts w:asciiTheme="majorBidi" w:hAnsiTheme="majorBidi" w:cstheme="majorBidi"/>
                <w:i/>
                <w:iCs/>
              </w:rPr>
              <w:t>testimonium de auditu</w:t>
            </w:r>
            <w:r w:rsidRPr="008A572E">
              <w:rPr>
                <w:rFonts w:asciiTheme="majorBidi" w:hAnsiTheme="majorBidi" w:cstheme="majorBidi"/>
              </w:rPr>
              <w:t xml:space="preserve"> dalam tindak pidana pelecehan seksual terhadap anak dalam p</w:t>
            </w:r>
            <w:r w:rsidRPr="008A572E">
              <w:rPr>
                <w:rFonts w:asciiTheme="majorBidi" w:hAnsiTheme="majorBidi" w:cstheme="majorBidi"/>
                <w:lang w:val="en-US"/>
              </w:rPr>
              <w:t>utusan Nomor 9/JN/2023/MS.Tkn</w:t>
            </w:r>
          </w:p>
        </w:tc>
      </w:tr>
      <w:tr w:rsidR="008D372B" w:rsidRPr="008A572E" w14:paraId="2B9D690D" w14:textId="77777777" w:rsidTr="005418DB">
        <w:tc>
          <w:tcPr>
            <w:tcW w:w="992" w:type="dxa"/>
          </w:tcPr>
          <w:p w14:paraId="3E430800" w14:textId="77777777" w:rsidR="008D372B" w:rsidRPr="00FB32D1" w:rsidRDefault="008D372B" w:rsidP="00706BBC">
            <w:pPr>
              <w:pStyle w:val="ListParagraph"/>
              <w:spacing w:line="276" w:lineRule="auto"/>
              <w:ind w:left="0"/>
              <w:jc w:val="both"/>
              <w:rPr>
                <w:rFonts w:asciiTheme="majorBidi" w:hAnsiTheme="majorBidi" w:cstheme="majorBidi"/>
                <w:b/>
                <w:bCs/>
              </w:rPr>
            </w:pPr>
            <w:r w:rsidRPr="00FB32D1">
              <w:rPr>
                <w:rFonts w:asciiTheme="majorBidi" w:hAnsiTheme="majorBidi" w:cstheme="majorBidi"/>
                <w:b/>
                <w:bCs/>
              </w:rPr>
              <w:t>BAB V</w:t>
            </w:r>
          </w:p>
        </w:tc>
        <w:tc>
          <w:tcPr>
            <w:tcW w:w="4678" w:type="dxa"/>
          </w:tcPr>
          <w:p w14:paraId="2C96ADFC" w14:textId="77777777" w:rsidR="008D372B" w:rsidRPr="008A572E" w:rsidRDefault="008D372B" w:rsidP="00706BBC">
            <w:pPr>
              <w:pStyle w:val="ListParagraph"/>
              <w:spacing w:line="276" w:lineRule="auto"/>
              <w:ind w:left="0"/>
              <w:jc w:val="both"/>
              <w:rPr>
                <w:rFonts w:asciiTheme="majorBidi" w:hAnsiTheme="majorBidi" w:cstheme="majorBidi"/>
              </w:rPr>
            </w:pPr>
            <w:r w:rsidRPr="008A572E">
              <w:rPr>
                <w:rFonts w:asciiTheme="majorBidi" w:hAnsiTheme="majorBidi" w:cstheme="majorBidi"/>
              </w:rPr>
              <w:t>Penutup. Bab ini berisi simpulan yang merupakan hasil pemahaman, penelitian dan pengkajian terhadap pokok masalah, saran-saran dan penutup.</w:t>
            </w:r>
          </w:p>
        </w:tc>
      </w:tr>
    </w:tbl>
    <w:p w14:paraId="6AC4F710" w14:textId="77777777" w:rsidR="008D372B" w:rsidRPr="00164EA5" w:rsidRDefault="008D372B" w:rsidP="00164EA5">
      <w:pPr>
        <w:spacing w:line="276" w:lineRule="auto"/>
        <w:jc w:val="both"/>
        <w:rPr>
          <w:rFonts w:asciiTheme="majorBidi" w:hAnsiTheme="majorBidi" w:cstheme="majorBidi"/>
          <w:sz w:val="24"/>
          <w:szCs w:val="24"/>
        </w:rPr>
      </w:pPr>
    </w:p>
    <w:p w14:paraId="408E0AFE" w14:textId="77777777" w:rsidR="008D372B" w:rsidRPr="008A572E" w:rsidRDefault="008D372B" w:rsidP="0022706D">
      <w:pPr>
        <w:pStyle w:val="Heading1"/>
        <w:spacing w:before="240" w:line="360" w:lineRule="auto"/>
        <w:rPr>
          <w:b w:val="0"/>
          <w:bCs w:val="0"/>
        </w:rPr>
        <w:sectPr w:rsidR="008D372B" w:rsidRPr="008A572E" w:rsidSect="006134B5">
          <w:footnotePr>
            <w:numRestart w:val="eachSect"/>
          </w:footnotePr>
          <w:pgSz w:w="8391" w:h="11906" w:code="11"/>
          <w:pgMar w:top="1418" w:right="1134" w:bottom="1134" w:left="1418" w:header="709" w:footer="709" w:gutter="0"/>
          <w:pgNumType w:start="1"/>
          <w:cols w:space="708"/>
          <w:titlePg/>
          <w:docGrid w:linePitch="360"/>
        </w:sectPr>
      </w:pPr>
    </w:p>
    <w:p w14:paraId="3BD80034" w14:textId="77777777" w:rsidR="00A74FFF" w:rsidRDefault="00A74FFF" w:rsidP="00ED7DAC">
      <w:pPr>
        <w:pStyle w:val="Heading1"/>
        <w:spacing w:before="240" w:line="360" w:lineRule="auto"/>
        <w:jc w:val="left"/>
        <w:sectPr w:rsidR="00A74FFF" w:rsidSect="008D372B">
          <w:footnotePr>
            <w:numRestart w:val="eachSect"/>
          </w:footnotePr>
          <w:type w:val="continuous"/>
          <w:pgSz w:w="8391" w:h="11906" w:code="11"/>
          <w:pgMar w:top="1134" w:right="1134" w:bottom="1134" w:left="1418" w:header="709" w:footer="709" w:gutter="0"/>
          <w:cols w:space="708"/>
          <w:titlePg/>
          <w:docGrid w:linePitch="360"/>
        </w:sectPr>
      </w:pPr>
    </w:p>
    <w:p w14:paraId="261E8C7D" w14:textId="77777777" w:rsidR="00463691" w:rsidRDefault="00463691" w:rsidP="0022706D">
      <w:pPr>
        <w:pStyle w:val="Heading1"/>
        <w:spacing w:before="240" w:line="360" w:lineRule="auto"/>
        <w:sectPr w:rsidR="00463691" w:rsidSect="008D372B">
          <w:headerReference w:type="default" r:id="rId18"/>
          <w:footnotePr>
            <w:numRestart w:val="eachSect"/>
          </w:footnotePr>
          <w:type w:val="continuous"/>
          <w:pgSz w:w="8391" w:h="11906" w:code="11"/>
          <w:pgMar w:top="1134" w:right="1134" w:bottom="1134" w:left="1418" w:header="709" w:footer="709" w:gutter="0"/>
          <w:cols w:space="708"/>
          <w:titlePg/>
          <w:docGrid w:linePitch="360"/>
        </w:sectPr>
      </w:pPr>
    </w:p>
    <w:p w14:paraId="24487D0E" w14:textId="2521066B" w:rsidR="008D372B" w:rsidRPr="001E4A14" w:rsidRDefault="008D372B" w:rsidP="0022706D">
      <w:pPr>
        <w:pStyle w:val="Heading1"/>
        <w:spacing w:before="240" w:line="360" w:lineRule="auto"/>
      </w:pPr>
      <w:bookmarkStart w:id="22" w:name="_Toc185961340"/>
      <w:r w:rsidRPr="00267A02">
        <w:lastRenderedPageBreak/>
        <w:t>BAB II</w:t>
      </w:r>
      <w:r>
        <w:t xml:space="preserve">  </w:t>
      </w:r>
      <w:r>
        <w:br/>
      </w:r>
      <w:r w:rsidRPr="00267A02">
        <w:t>TINDAK PIDANA PELECEHAN SEKSUAL</w:t>
      </w:r>
      <w:r w:rsidR="00E66130">
        <w:t xml:space="preserve">, </w:t>
      </w:r>
      <w:r w:rsidRPr="00267A02">
        <w:t xml:space="preserve">SISTEM PEMBUKTIAN </w:t>
      </w:r>
      <w:r w:rsidR="00A74FFF">
        <w:t xml:space="preserve">DALAM HUKUM ACARA PIDANA </w:t>
      </w:r>
      <w:r w:rsidR="00E66130">
        <w:t xml:space="preserve">POSITIF DAN HUKUM ACARA </w:t>
      </w:r>
      <w:r w:rsidR="00E66130" w:rsidRPr="00E66130">
        <w:rPr>
          <w:i/>
          <w:iCs/>
        </w:rPr>
        <w:t>JINAYAT</w:t>
      </w:r>
      <w:bookmarkEnd w:id="22"/>
    </w:p>
    <w:p w14:paraId="0BF24034" w14:textId="1B065367" w:rsidR="008D372B" w:rsidRPr="00267A02" w:rsidRDefault="008D372B" w:rsidP="005418DB">
      <w:pPr>
        <w:pStyle w:val="Heading2"/>
        <w:numPr>
          <w:ilvl w:val="0"/>
          <w:numId w:val="112"/>
        </w:numPr>
        <w:spacing w:line="360" w:lineRule="auto"/>
        <w:ind w:left="284" w:hanging="284"/>
      </w:pPr>
      <w:bookmarkStart w:id="23" w:name="_Toc185961341"/>
      <w:r w:rsidRPr="00267A02">
        <w:t>Pengertian Tindak Pidana Pe</w:t>
      </w:r>
      <w:r w:rsidR="00EE1704">
        <w:t>le</w:t>
      </w:r>
      <w:r w:rsidRPr="00267A02">
        <w:t>cehan Seksual</w:t>
      </w:r>
      <w:bookmarkEnd w:id="23"/>
      <w:r w:rsidRPr="00267A02">
        <w:t xml:space="preserve"> </w:t>
      </w:r>
    </w:p>
    <w:p w14:paraId="6795D49E" w14:textId="77777777" w:rsidR="008D372B" w:rsidRPr="00614835" w:rsidRDefault="008D372B" w:rsidP="001B6706">
      <w:pPr>
        <w:spacing w:line="276" w:lineRule="auto"/>
        <w:ind w:left="284" w:firstLine="567"/>
        <w:jc w:val="both"/>
        <w:rPr>
          <w:rFonts w:asciiTheme="majorBidi" w:hAnsiTheme="majorBidi" w:cstheme="majorBidi"/>
        </w:rPr>
      </w:pPr>
      <w:r w:rsidRPr="00614835">
        <w:rPr>
          <w:rFonts w:asciiTheme="majorBidi" w:hAnsiTheme="majorBidi" w:cstheme="majorBidi"/>
        </w:rPr>
        <w:t xml:space="preserve">Dalam Kitab Undang-undang Hukum Pidana (KUHP), konsep “tindak pidana” memiliki beberapa istilah berbeda, yaitu </w:t>
      </w:r>
      <w:r w:rsidRPr="00614835">
        <w:rPr>
          <w:rFonts w:asciiTheme="majorBidi" w:hAnsiTheme="majorBidi" w:cstheme="majorBidi"/>
          <w:i/>
          <w:iCs/>
        </w:rPr>
        <w:t>Strafbaarfeit, delik, peristiwa pidana, perbuatan pidana, dan tindak pidana</w:t>
      </w:r>
      <w:r w:rsidRPr="00614835">
        <w:rPr>
          <w:rFonts w:asciiTheme="majorBidi" w:hAnsiTheme="majorBidi" w:cstheme="majorBidi"/>
        </w:rPr>
        <w:t>.</w:t>
      </w:r>
      <w:r>
        <w:rPr>
          <w:rStyle w:val="FootnoteReference"/>
          <w:rFonts w:asciiTheme="majorBidi" w:hAnsiTheme="majorBidi" w:cstheme="majorBidi"/>
        </w:rPr>
        <w:footnoteReference w:id="30"/>
      </w:r>
      <w:r w:rsidRPr="00614835">
        <w:rPr>
          <w:rFonts w:asciiTheme="majorBidi" w:hAnsiTheme="majorBidi" w:cstheme="majorBidi"/>
        </w:rPr>
        <w:t xml:space="preserve"> Istilah </w:t>
      </w:r>
      <w:r w:rsidRPr="00614835">
        <w:rPr>
          <w:rFonts w:asciiTheme="majorBidi" w:hAnsiTheme="majorBidi" w:cstheme="majorBidi"/>
          <w:i/>
          <w:iCs/>
        </w:rPr>
        <w:t>strafbaarfeit</w:t>
      </w:r>
      <w:r w:rsidRPr="00614835">
        <w:rPr>
          <w:rFonts w:asciiTheme="majorBidi" w:hAnsiTheme="majorBidi" w:cstheme="majorBidi"/>
        </w:rPr>
        <w:t xml:space="preserve">, yang berasal dari bahasa Belanda, secara harfiah berarti perbuatan yang dapat dipidana. Konsep ini mengacu pada tindakan atau kelalaian yang melanggar norma hukum pidana dan karenanya berpotensi dikenai sanksi pidana. </w:t>
      </w:r>
    </w:p>
    <w:p w14:paraId="7A0AA768" w14:textId="380D68B1" w:rsidR="008D372B" w:rsidRPr="00614835" w:rsidRDefault="008D372B" w:rsidP="001B6706">
      <w:pPr>
        <w:spacing w:line="276" w:lineRule="auto"/>
        <w:ind w:left="284" w:firstLine="567"/>
        <w:jc w:val="both"/>
        <w:rPr>
          <w:rFonts w:asciiTheme="majorBidi" w:hAnsiTheme="majorBidi" w:cstheme="majorBidi"/>
        </w:rPr>
      </w:pPr>
      <w:r w:rsidRPr="00614835">
        <w:rPr>
          <w:rFonts w:asciiTheme="majorBidi" w:hAnsiTheme="majorBidi" w:cstheme="majorBidi"/>
        </w:rPr>
        <w:t xml:space="preserve">Istilah </w:t>
      </w:r>
      <w:r w:rsidRPr="00614835">
        <w:rPr>
          <w:rFonts w:asciiTheme="majorBidi" w:hAnsiTheme="majorBidi" w:cstheme="majorBidi"/>
          <w:i/>
          <w:iCs/>
        </w:rPr>
        <w:t>delik</w:t>
      </w:r>
      <w:r w:rsidRPr="00614835">
        <w:rPr>
          <w:rFonts w:asciiTheme="majorBidi" w:hAnsiTheme="majorBidi" w:cstheme="majorBidi"/>
        </w:rPr>
        <w:t xml:space="preserve"> memiliki makna yang serupa, yakni suatu perbuatan yang dapat dijerat dengan hukuman berdasarkan ketentuan hukum pidana.</w:t>
      </w:r>
      <w:r w:rsidRPr="00CB082F">
        <w:rPr>
          <w:rStyle w:val="FootnoteReference"/>
          <w:rFonts w:asciiTheme="majorBidi" w:hAnsiTheme="majorBidi" w:cstheme="majorBidi"/>
        </w:rPr>
        <w:footnoteReference w:id="31"/>
      </w:r>
      <w:r w:rsidRPr="00614835">
        <w:rPr>
          <w:rFonts w:asciiTheme="majorBidi" w:hAnsiTheme="majorBidi" w:cstheme="majorBidi"/>
        </w:rPr>
        <w:t xml:space="preserve"> Istilah </w:t>
      </w:r>
      <w:r w:rsidRPr="00614835">
        <w:rPr>
          <w:rFonts w:asciiTheme="majorBidi" w:hAnsiTheme="majorBidi" w:cstheme="majorBidi"/>
          <w:i/>
          <w:iCs/>
        </w:rPr>
        <w:t>delik</w:t>
      </w:r>
      <w:r w:rsidRPr="00614835">
        <w:rPr>
          <w:rFonts w:asciiTheme="majorBidi" w:hAnsiTheme="majorBidi" w:cstheme="majorBidi"/>
        </w:rPr>
        <w:t xml:space="preserve"> dalam bahasa Belanda adalah </w:t>
      </w:r>
      <w:r w:rsidRPr="00614835">
        <w:rPr>
          <w:rFonts w:asciiTheme="majorBidi" w:hAnsiTheme="majorBidi" w:cstheme="majorBidi"/>
          <w:i/>
          <w:iCs/>
        </w:rPr>
        <w:t>strafbaarfeit</w:t>
      </w:r>
      <w:r w:rsidRPr="00614835">
        <w:rPr>
          <w:rFonts w:asciiTheme="majorBidi" w:hAnsiTheme="majorBidi" w:cstheme="majorBidi"/>
        </w:rPr>
        <w:t xml:space="preserve">. Ada beberapa definisi mengenai </w:t>
      </w:r>
      <w:r w:rsidRPr="00614835">
        <w:rPr>
          <w:rFonts w:asciiTheme="majorBidi" w:hAnsiTheme="majorBidi" w:cstheme="majorBidi"/>
          <w:i/>
          <w:iCs/>
        </w:rPr>
        <w:t>strafbaarfeit</w:t>
      </w:r>
      <w:r w:rsidRPr="00614835">
        <w:rPr>
          <w:rFonts w:asciiTheme="majorBidi" w:hAnsiTheme="majorBidi" w:cstheme="majorBidi"/>
        </w:rPr>
        <w:t xml:space="preserve"> maupun </w:t>
      </w:r>
      <w:r w:rsidRPr="00614835">
        <w:rPr>
          <w:rFonts w:asciiTheme="majorBidi" w:hAnsiTheme="majorBidi" w:cstheme="majorBidi"/>
          <w:i/>
          <w:iCs/>
        </w:rPr>
        <w:t>delik</w:t>
      </w:r>
      <w:r w:rsidRPr="00614835">
        <w:rPr>
          <w:rFonts w:asciiTheme="majorBidi" w:hAnsiTheme="majorBidi" w:cstheme="majorBidi"/>
        </w:rPr>
        <w:t xml:space="preserve"> yang dikemu</w:t>
      </w:r>
      <w:r w:rsidR="003B0E85" w:rsidRPr="00614835">
        <w:rPr>
          <w:rFonts w:asciiTheme="majorBidi" w:hAnsiTheme="majorBidi" w:cstheme="majorBidi"/>
        </w:rPr>
        <w:t>ka</w:t>
      </w:r>
      <w:r w:rsidRPr="00614835">
        <w:rPr>
          <w:rFonts w:asciiTheme="majorBidi" w:hAnsiTheme="majorBidi" w:cstheme="majorBidi"/>
        </w:rPr>
        <w:t>kan para ahli diantaranya adalah:</w:t>
      </w:r>
    </w:p>
    <w:p w14:paraId="05C54436" w14:textId="03B31E4C" w:rsidR="008D372B" w:rsidRPr="00614835" w:rsidRDefault="008D372B" w:rsidP="001B6706">
      <w:pPr>
        <w:spacing w:line="276" w:lineRule="auto"/>
        <w:ind w:left="284" w:firstLine="567"/>
        <w:jc w:val="both"/>
        <w:rPr>
          <w:rFonts w:asciiTheme="majorBidi" w:hAnsiTheme="majorBidi" w:cstheme="majorBidi"/>
          <w:lang w:val="en-US"/>
        </w:rPr>
      </w:pPr>
      <w:r w:rsidRPr="00614835">
        <w:rPr>
          <w:rFonts w:asciiTheme="majorBidi" w:hAnsiTheme="majorBidi" w:cstheme="majorBidi"/>
          <w:lang w:val="en-US"/>
        </w:rPr>
        <w:t>Menurut M</w:t>
      </w:r>
      <w:r w:rsidR="003B0E85" w:rsidRPr="00614835">
        <w:rPr>
          <w:rFonts w:asciiTheme="majorBidi" w:hAnsiTheme="majorBidi" w:cstheme="majorBidi"/>
          <w:lang w:val="en-US"/>
        </w:rPr>
        <w:t>oe</w:t>
      </w:r>
      <w:r w:rsidRPr="00614835">
        <w:rPr>
          <w:rFonts w:asciiTheme="majorBidi" w:hAnsiTheme="majorBidi" w:cstheme="majorBidi"/>
          <w:lang w:val="en-US"/>
        </w:rPr>
        <w:t>ljatno</w:t>
      </w:r>
      <w:r w:rsidRPr="00614835">
        <w:rPr>
          <w:rFonts w:asciiTheme="majorBidi" w:hAnsiTheme="majorBidi" w:cstheme="majorBidi"/>
          <w:i/>
          <w:iCs/>
          <w:lang w:val="en-US"/>
        </w:rPr>
        <w:t>,</w:t>
      </w:r>
      <w:r w:rsidRPr="00614835">
        <w:rPr>
          <w:rFonts w:asciiTheme="majorBidi" w:hAnsiTheme="majorBidi" w:cstheme="majorBidi"/>
          <w:lang w:val="en-US"/>
        </w:rPr>
        <w:t xml:space="preserve"> tindak pidana dapat diartikan sebagai suatu perbuatan yang dilarang oleh aturan hukum. </w:t>
      </w:r>
      <w:r w:rsidRPr="00614835">
        <w:rPr>
          <w:rFonts w:asciiTheme="majorBidi" w:hAnsiTheme="majorBidi" w:cstheme="majorBidi"/>
          <w:lang w:val="en-US"/>
        </w:rPr>
        <w:lastRenderedPageBreak/>
        <w:t>Aturan hukum ini melarang perbuatan tersebut dan mengancam pelanggarnya dengan sanksi pidana tertentu.</w:t>
      </w:r>
      <w:r w:rsidRPr="00CB082F">
        <w:rPr>
          <w:rStyle w:val="FootnoteReference"/>
          <w:rFonts w:asciiTheme="majorBidi" w:hAnsiTheme="majorBidi" w:cstheme="majorBidi"/>
          <w:lang w:val="en-US"/>
        </w:rPr>
        <w:footnoteReference w:id="32"/>
      </w:r>
    </w:p>
    <w:p w14:paraId="7BD66FCE" w14:textId="77777777" w:rsidR="008D372B" w:rsidRPr="00614835" w:rsidRDefault="008D372B" w:rsidP="001B6706">
      <w:pPr>
        <w:spacing w:line="276" w:lineRule="auto"/>
        <w:ind w:left="284" w:firstLine="567"/>
        <w:jc w:val="both"/>
        <w:rPr>
          <w:rFonts w:asciiTheme="majorBidi" w:hAnsiTheme="majorBidi" w:cstheme="majorBidi"/>
          <w:lang w:val="en-US"/>
        </w:rPr>
      </w:pPr>
      <w:r w:rsidRPr="00614835">
        <w:rPr>
          <w:rFonts w:asciiTheme="majorBidi" w:hAnsiTheme="majorBidi" w:cstheme="majorBidi"/>
          <w:lang w:val="en-US"/>
        </w:rPr>
        <w:t>Menurut Van Hamel, tindak pidana (</w:t>
      </w:r>
      <w:r w:rsidRPr="00614835">
        <w:rPr>
          <w:rFonts w:asciiTheme="majorBidi" w:hAnsiTheme="majorBidi" w:cstheme="majorBidi"/>
          <w:i/>
          <w:iCs/>
          <w:lang w:val="en-US"/>
        </w:rPr>
        <w:t>strafbaarfeit</w:t>
      </w:r>
      <w:r w:rsidRPr="00614835">
        <w:rPr>
          <w:rFonts w:asciiTheme="majorBidi" w:hAnsiTheme="majorBidi" w:cstheme="majorBidi"/>
          <w:lang w:val="en-US"/>
        </w:rPr>
        <w:t>) adalah perbuatan manusia (</w:t>
      </w:r>
      <w:r w:rsidRPr="00614835">
        <w:rPr>
          <w:rFonts w:asciiTheme="majorBidi" w:hAnsiTheme="majorBidi" w:cstheme="majorBidi"/>
          <w:i/>
          <w:iCs/>
          <w:lang w:val="en-US"/>
        </w:rPr>
        <w:t>menselijke gedraging</w:t>
      </w:r>
      <w:r w:rsidRPr="00614835">
        <w:rPr>
          <w:rFonts w:asciiTheme="majorBidi" w:hAnsiTheme="majorBidi" w:cstheme="majorBidi"/>
          <w:lang w:val="en-US"/>
        </w:rPr>
        <w:t>) yang ditetapkan dalam undang-undang (</w:t>
      </w:r>
      <w:r w:rsidRPr="00614835">
        <w:rPr>
          <w:rFonts w:asciiTheme="majorBidi" w:hAnsiTheme="majorBidi" w:cstheme="majorBidi"/>
          <w:i/>
          <w:iCs/>
          <w:lang w:val="en-US"/>
        </w:rPr>
        <w:t>wet</w:t>
      </w:r>
      <w:r w:rsidRPr="00614835">
        <w:rPr>
          <w:rFonts w:asciiTheme="majorBidi" w:hAnsiTheme="majorBidi" w:cstheme="majorBidi"/>
          <w:lang w:val="en-US"/>
        </w:rPr>
        <w:t>) dan bertentangan dengan hukum. Tindak pidana ini layak dikenakan sanksi pidana (</w:t>
      </w:r>
      <w:r w:rsidRPr="00614835">
        <w:rPr>
          <w:rFonts w:asciiTheme="majorBidi" w:hAnsiTheme="majorBidi" w:cstheme="majorBidi"/>
          <w:i/>
          <w:iCs/>
          <w:lang w:val="en-US"/>
        </w:rPr>
        <w:t>strafwaardig</w:t>
      </w:r>
      <w:r w:rsidRPr="00614835">
        <w:rPr>
          <w:rFonts w:asciiTheme="majorBidi" w:hAnsiTheme="majorBidi" w:cstheme="majorBidi"/>
          <w:lang w:val="en-US"/>
        </w:rPr>
        <w:t>) dan dilakukan dengan kesengajaan atau kelalaian.</w:t>
      </w:r>
      <w:r w:rsidRPr="00CB082F">
        <w:rPr>
          <w:rStyle w:val="FootnoteReference"/>
          <w:rFonts w:asciiTheme="majorBidi" w:hAnsiTheme="majorBidi" w:cstheme="majorBidi"/>
          <w:lang w:val="en-US"/>
        </w:rPr>
        <w:footnoteReference w:id="33"/>
      </w:r>
    </w:p>
    <w:p w14:paraId="1F170AA7" w14:textId="4306A132" w:rsidR="00577B45" w:rsidRPr="00614835" w:rsidRDefault="008D372B" w:rsidP="001B6706">
      <w:pPr>
        <w:spacing w:line="276" w:lineRule="auto"/>
        <w:ind w:left="284" w:firstLine="567"/>
        <w:jc w:val="both"/>
        <w:rPr>
          <w:rFonts w:asciiTheme="majorBidi" w:hAnsiTheme="majorBidi" w:cstheme="majorBidi"/>
          <w:lang w:val="en-US"/>
        </w:rPr>
      </w:pPr>
      <w:r w:rsidRPr="00614835">
        <w:rPr>
          <w:rFonts w:asciiTheme="majorBidi" w:hAnsiTheme="majorBidi" w:cstheme="majorBidi"/>
        </w:rPr>
        <w:t>Dalam sistem hukum pidana Indonesia, tindak pidana pelecehan seksual dikategorikan sebagai perbuatan “cabul” sebagaimana diatur dalam Pasal 289 hingga Pasal 296 Kitab Undang-Undang Hukum Pidana (KUHP)</w:t>
      </w:r>
      <w:r w:rsidRPr="00614835">
        <w:rPr>
          <w:rFonts w:asciiTheme="majorBidi" w:hAnsiTheme="majorBidi" w:cstheme="majorBidi"/>
          <w:lang w:val="en-US"/>
        </w:rPr>
        <w:t>.</w:t>
      </w:r>
      <w:r>
        <w:rPr>
          <w:rStyle w:val="FootnoteReference"/>
          <w:rFonts w:asciiTheme="majorBidi" w:hAnsiTheme="majorBidi" w:cstheme="majorBidi"/>
          <w:lang w:val="en-US"/>
        </w:rPr>
        <w:footnoteReference w:id="34"/>
      </w:r>
      <w:r w:rsidRPr="00614835">
        <w:rPr>
          <w:rFonts w:asciiTheme="majorBidi" w:hAnsiTheme="majorBidi" w:cstheme="majorBidi"/>
          <w:lang w:val="en-US"/>
        </w:rPr>
        <w:t xml:space="preserve"> </w:t>
      </w:r>
      <w:r w:rsidRPr="00614835">
        <w:rPr>
          <w:rFonts w:asciiTheme="majorBidi" w:hAnsiTheme="majorBidi" w:cstheme="majorBidi"/>
        </w:rPr>
        <w:t>Perbuatan cabul dapat didefinisikan sebagai segala tindakan yang melanggar norma kesusilaan dan kesopanan, khususnya yang berkaitan dengan dorongan seksual, seperti pencabulan, pelecehan seksual, atau tindakan tidak senonoh lainnya.</w:t>
      </w:r>
      <w:r>
        <w:rPr>
          <w:rStyle w:val="FootnoteReference"/>
          <w:rFonts w:asciiTheme="majorBidi" w:hAnsiTheme="majorBidi" w:cstheme="majorBidi"/>
        </w:rPr>
        <w:footnoteReference w:id="35"/>
      </w:r>
      <w:r w:rsidRPr="00614835">
        <w:rPr>
          <w:rFonts w:asciiTheme="majorBidi" w:hAnsiTheme="majorBidi" w:cstheme="majorBidi"/>
        </w:rPr>
        <w:t xml:space="preserve"> </w:t>
      </w:r>
      <w:r w:rsidRPr="00614835">
        <w:rPr>
          <w:rFonts w:asciiTheme="majorBidi" w:hAnsiTheme="majorBidi" w:cstheme="majorBidi"/>
          <w:lang w:val="en-US"/>
        </w:rPr>
        <w:t xml:space="preserve">Pelecehan seksual, atau yang dalam bahasa Inggris disebut </w:t>
      </w:r>
      <w:r w:rsidRPr="00614835">
        <w:rPr>
          <w:rFonts w:asciiTheme="majorBidi" w:hAnsiTheme="majorBidi" w:cstheme="majorBidi"/>
          <w:i/>
          <w:iCs/>
          <w:lang w:val="en-US"/>
        </w:rPr>
        <w:t>sexual harassment</w:t>
      </w:r>
      <w:r w:rsidRPr="00614835">
        <w:rPr>
          <w:rFonts w:asciiTheme="majorBidi" w:hAnsiTheme="majorBidi" w:cstheme="majorBidi"/>
          <w:lang w:val="en-US"/>
        </w:rPr>
        <w:t xml:space="preserve">, didefinisikan sebagai perilaku yang melibatkan undangan atau permintaan seksual yang tidak dikehendaki, atau menciptakan suasana yang secara seksual menyinggung. Oleh karena itu, ketidakberhasilan atau penolakan terhadap tindakan </w:t>
      </w:r>
      <w:r w:rsidRPr="00614835">
        <w:rPr>
          <w:rFonts w:asciiTheme="majorBidi" w:hAnsiTheme="majorBidi" w:cstheme="majorBidi"/>
          <w:lang w:val="en-US"/>
        </w:rPr>
        <w:lastRenderedPageBreak/>
        <w:t>seksual merupakan elemen kunci dalam insiden pelecehan seksual.</w:t>
      </w:r>
      <w:r w:rsidRPr="00CB082F">
        <w:rPr>
          <w:rStyle w:val="FootnoteReference"/>
          <w:rFonts w:asciiTheme="majorBidi" w:hAnsiTheme="majorBidi" w:cstheme="majorBidi"/>
          <w:lang w:val="en-US"/>
        </w:rPr>
        <w:footnoteReference w:id="36"/>
      </w:r>
    </w:p>
    <w:p w14:paraId="1AD755EF" w14:textId="7FD49CDF" w:rsidR="00577B45" w:rsidRPr="00614835" w:rsidRDefault="00577B45" w:rsidP="001B6706">
      <w:pPr>
        <w:spacing w:line="276" w:lineRule="auto"/>
        <w:ind w:left="284" w:firstLine="567"/>
        <w:jc w:val="both"/>
        <w:rPr>
          <w:rFonts w:asciiTheme="majorBidi" w:hAnsiTheme="majorBidi" w:cstheme="majorBidi"/>
        </w:rPr>
      </w:pPr>
      <w:r w:rsidRPr="00614835">
        <w:rPr>
          <w:rFonts w:asciiTheme="majorBidi" w:hAnsiTheme="majorBidi" w:cstheme="majorBidi"/>
        </w:rPr>
        <w:t>Undang-Undang Nomor 12 Tahun 2022 tentang Tindak Pidana Kekerasan Seksual (UU TPKS) memberikan definisi yang sangat luas mengenai tindak pidana kekerasan seksual.</w:t>
      </w:r>
      <w:r w:rsidR="00ED57CC" w:rsidRPr="00614835">
        <w:rPr>
          <w:b/>
          <w:bCs/>
        </w:rPr>
        <w:t xml:space="preserve"> </w:t>
      </w:r>
      <w:r w:rsidR="00ED57CC" w:rsidRPr="00614835">
        <w:rPr>
          <w:rFonts w:asciiTheme="majorBidi" w:hAnsiTheme="majorBidi" w:cstheme="majorBidi"/>
        </w:rPr>
        <w:t>Pasal 4 UU TPKS secara tegas menyatakan bahwa tindak pidana kekerasan seksual mencakup segala perbuatan yang memenuhi unsur tindak pidana seperti: pelecehan seksual nonfisik, pelecehan seksual fisik, pemaksaan kontrasepsi, pemaksaan sterilisasi, pemaksaan perkawinan, penyiksaan seksual, eksploitasi seksual, perbudakan seksual dan kekerasan seksual berbasis elektronik.</w:t>
      </w:r>
      <w:r w:rsidR="00ED57CC">
        <w:rPr>
          <w:rStyle w:val="FootnoteReference"/>
          <w:rFonts w:asciiTheme="majorBidi" w:hAnsiTheme="majorBidi" w:cstheme="majorBidi"/>
        </w:rPr>
        <w:footnoteReference w:id="37"/>
      </w:r>
    </w:p>
    <w:p w14:paraId="39612F22" w14:textId="2CDC8441" w:rsidR="004E5132" w:rsidRPr="00614835" w:rsidRDefault="008D372B" w:rsidP="001B6706">
      <w:pPr>
        <w:spacing w:line="276" w:lineRule="auto"/>
        <w:ind w:left="284" w:firstLine="567"/>
        <w:jc w:val="both"/>
        <w:rPr>
          <w:rFonts w:asciiTheme="majorBidi" w:hAnsiTheme="majorBidi" w:cstheme="majorBidi"/>
          <w:lang w:val="en-US"/>
        </w:rPr>
      </w:pPr>
      <w:r w:rsidRPr="00614835">
        <w:rPr>
          <w:rFonts w:asciiTheme="majorBidi" w:hAnsiTheme="majorBidi" w:cstheme="majorBidi"/>
        </w:rPr>
        <w:t>Qanun Hukum Jinayat Aceh (QHJ) mendefinisikan Pelecehan Seksual sebagai segala bentuk perbuatan asusila atau cabul yang dilakukan secara sengaja, baik di ruang publik maupun terhadap individu tertentu, tanpa adanya persetujuan dari pihak yang menjadi sasaran. Perbuatan tersebut dapat berupa tindakan verbal, non-verbal (misalnya, bahasa isyarat), maupun fisik, termasuk kontak fisik. Berdasarkan definisi ini, berbagai bentuk pelecehan seksual, mulai dari yang bersifat verbal hingga fisik, dikategorikan sebagai jarimah dalam QHJ</w:t>
      </w:r>
      <w:r w:rsidRPr="00614835">
        <w:rPr>
          <w:rFonts w:asciiTheme="majorBidi" w:hAnsiTheme="majorBidi" w:cstheme="majorBidi"/>
          <w:lang w:val="en-US"/>
        </w:rPr>
        <w:t>.</w:t>
      </w:r>
      <w:r w:rsidRPr="00CB082F">
        <w:rPr>
          <w:rStyle w:val="FootnoteReference"/>
          <w:rFonts w:asciiTheme="majorBidi" w:hAnsiTheme="majorBidi" w:cstheme="majorBidi"/>
          <w:lang w:val="en-US"/>
        </w:rPr>
        <w:footnoteReference w:id="38"/>
      </w:r>
      <w:r w:rsidRPr="00614835">
        <w:rPr>
          <w:rFonts w:asciiTheme="majorBidi" w:hAnsiTheme="majorBidi" w:cstheme="majorBidi"/>
          <w:lang w:val="en-US"/>
        </w:rPr>
        <w:t xml:space="preserve"> Pelecehan verbal dapat dilakukan melalui ucapan atau gestur yang bersifat seksual dan tidak dikehendaki oleh korban. Contohnya, melakukan gerakan atau ucapan yang menyinggung atau eksplisit kepada seseorang yang tidak </w:t>
      </w:r>
      <w:r w:rsidRPr="00614835">
        <w:rPr>
          <w:rFonts w:asciiTheme="majorBidi" w:hAnsiTheme="majorBidi" w:cstheme="majorBidi"/>
          <w:lang w:val="en-US"/>
        </w:rPr>
        <w:lastRenderedPageBreak/>
        <w:t>menyetujuinya, termasuk menyentuh, mencium, atau melakukan kontak fisik lainnya tanpa persetujuan.</w:t>
      </w:r>
      <w:r w:rsidRPr="00CB082F">
        <w:rPr>
          <w:rStyle w:val="FootnoteReference"/>
          <w:rFonts w:asciiTheme="majorBidi" w:hAnsiTheme="majorBidi" w:cstheme="majorBidi"/>
          <w:lang w:val="en-US"/>
        </w:rPr>
        <w:footnoteReference w:id="39"/>
      </w:r>
    </w:p>
    <w:p w14:paraId="14A64D86" w14:textId="77777777" w:rsidR="008D372B" w:rsidRPr="00614835" w:rsidRDefault="008D372B" w:rsidP="001B6706">
      <w:pPr>
        <w:spacing w:line="276" w:lineRule="auto"/>
        <w:ind w:left="284" w:firstLine="567"/>
        <w:jc w:val="both"/>
        <w:rPr>
          <w:rFonts w:asciiTheme="majorBidi" w:hAnsiTheme="majorBidi" w:cstheme="majorBidi"/>
        </w:rPr>
      </w:pPr>
      <w:r w:rsidRPr="00614835">
        <w:rPr>
          <w:rFonts w:asciiTheme="majorBidi" w:hAnsiTheme="majorBidi" w:cstheme="majorBidi"/>
        </w:rPr>
        <w:t xml:space="preserve">Nina Tursinah mengklasifikasikan pelecehan seksual menjadi lima bentuk utama. </w:t>
      </w:r>
      <w:r w:rsidRPr="00614835">
        <w:rPr>
          <w:rFonts w:asciiTheme="majorBidi" w:hAnsiTheme="majorBidi" w:cstheme="majorBidi"/>
          <w:i/>
          <w:iCs/>
        </w:rPr>
        <w:t>Pertama</w:t>
      </w:r>
      <w:r w:rsidRPr="00614835">
        <w:rPr>
          <w:rFonts w:asciiTheme="majorBidi" w:hAnsiTheme="majorBidi" w:cstheme="majorBidi"/>
        </w:rPr>
        <w:t xml:space="preserve">, pelecehan fisik yang ditandai dengan kontak fisik yang tidak diinginkan, seperti sentuhan, cubitan, ciuman, atau tatapan yang mengandung unsur seksual. </w:t>
      </w:r>
      <w:r w:rsidRPr="00614835">
        <w:rPr>
          <w:rFonts w:asciiTheme="majorBidi" w:hAnsiTheme="majorBidi" w:cstheme="majorBidi"/>
          <w:i/>
          <w:iCs/>
        </w:rPr>
        <w:t>Kedua</w:t>
      </w:r>
      <w:r w:rsidRPr="00614835">
        <w:rPr>
          <w:rFonts w:asciiTheme="majorBidi" w:hAnsiTheme="majorBidi" w:cstheme="majorBidi"/>
        </w:rPr>
        <w:t xml:space="preserve">, pelecehan verbal yang berupa komentar atau perkataan bernada seksual yang tidak diinginkan, seringkali menyangkut aspek pribadi korban. </w:t>
      </w:r>
      <w:r w:rsidRPr="00614835">
        <w:rPr>
          <w:rFonts w:asciiTheme="majorBidi" w:hAnsiTheme="majorBidi" w:cstheme="majorBidi"/>
          <w:i/>
          <w:iCs/>
        </w:rPr>
        <w:t>Ketiga,</w:t>
      </w:r>
      <w:r w:rsidRPr="00614835">
        <w:rPr>
          <w:rFonts w:asciiTheme="majorBidi" w:hAnsiTheme="majorBidi" w:cstheme="majorBidi"/>
        </w:rPr>
        <w:t xml:space="preserve"> pelecehan non-verbal yang melibatkan gestur tubuh atau bahasa tubuh dengan konotasi seksual. </w:t>
      </w:r>
      <w:r w:rsidRPr="00614835">
        <w:rPr>
          <w:rFonts w:asciiTheme="majorBidi" w:hAnsiTheme="majorBidi" w:cstheme="majorBidi"/>
          <w:i/>
          <w:iCs/>
        </w:rPr>
        <w:t>Keempat,</w:t>
      </w:r>
      <w:r w:rsidRPr="00614835">
        <w:rPr>
          <w:rFonts w:asciiTheme="majorBidi" w:hAnsiTheme="majorBidi" w:cstheme="majorBidi"/>
        </w:rPr>
        <w:t xml:space="preserve"> pelecehan tertulis yang meliputi pengiriman konten pornografi atau pesan bermuatan seksual melalui berbagai media elektronik. </w:t>
      </w:r>
      <w:r w:rsidRPr="00614835">
        <w:rPr>
          <w:rFonts w:asciiTheme="majorBidi" w:hAnsiTheme="majorBidi" w:cstheme="majorBidi"/>
          <w:i/>
          <w:iCs/>
        </w:rPr>
        <w:t>Kelima,</w:t>
      </w:r>
      <w:r w:rsidRPr="00614835">
        <w:rPr>
          <w:rFonts w:asciiTheme="majorBidi" w:hAnsiTheme="majorBidi" w:cstheme="majorBidi"/>
        </w:rPr>
        <w:t xml:space="preserve"> pelecehan psikologis yang mencakup tindakan atau perilaku yang bertujuan untuk menimbulkan rasa takut, malu, atau terintimidasi pada korban, seperti ajakan kencan yang terus-menerus, penghinaan, atau ancaman.</w:t>
      </w:r>
      <w:r w:rsidRPr="00CB082F">
        <w:rPr>
          <w:rStyle w:val="FootnoteReference"/>
          <w:rFonts w:asciiTheme="majorBidi" w:hAnsiTheme="majorBidi" w:cstheme="majorBidi"/>
          <w:lang w:val="en-US"/>
        </w:rPr>
        <w:footnoteReference w:id="40"/>
      </w:r>
    </w:p>
    <w:p w14:paraId="4CE7CEBF" w14:textId="0E0C4B9A" w:rsidR="004E5132" w:rsidRPr="00614835" w:rsidRDefault="004E5132" w:rsidP="001B6706">
      <w:pPr>
        <w:spacing w:line="276" w:lineRule="auto"/>
        <w:ind w:left="284" w:firstLine="567"/>
        <w:jc w:val="both"/>
        <w:rPr>
          <w:rFonts w:asciiTheme="majorBidi" w:hAnsiTheme="majorBidi" w:cstheme="majorBidi"/>
        </w:rPr>
      </w:pPr>
      <w:r w:rsidRPr="00614835">
        <w:rPr>
          <w:rFonts w:asciiTheme="majorBidi" w:hAnsiTheme="majorBidi" w:cstheme="majorBidi"/>
          <w:i/>
          <w:iCs/>
        </w:rPr>
        <w:t>Zina</w:t>
      </w:r>
      <w:r w:rsidRPr="00614835">
        <w:rPr>
          <w:rFonts w:asciiTheme="majorBidi" w:hAnsiTheme="majorBidi" w:cstheme="majorBidi"/>
        </w:rPr>
        <w:t xml:space="preserve"> dan pelecehan seksual merupakan dua tindakan yang berbeda secara esensial, meskipun keduanya terkait dengan ranah seksual. Zina, sebagaimana terdefinisi dalam</w:t>
      </w:r>
      <w:r w:rsidR="00614835">
        <w:rPr>
          <w:rFonts w:asciiTheme="majorBidi" w:hAnsiTheme="majorBidi" w:cstheme="majorBidi"/>
        </w:rPr>
        <w:t xml:space="preserve"> Qanun Hukum </w:t>
      </w:r>
      <w:r w:rsidR="00614835" w:rsidRPr="00614835">
        <w:rPr>
          <w:rFonts w:asciiTheme="majorBidi" w:hAnsiTheme="majorBidi" w:cstheme="majorBidi"/>
          <w:i/>
          <w:iCs/>
        </w:rPr>
        <w:t xml:space="preserve">Jinayat </w:t>
      </w:r>
      <w:r w:rsidR="00614835">
        <w:rPr>
          <w:rFonts w:asciiTheme="majorBidi" w:hAnsiTheme="majorBidi" w:cstheme="majorBidi"/>
        </w:rPr>
        <w:t>(QHJ) Aceh</w:t>
      </w:r>
      <w:r w:rsidRPr="00614835">
        <w:rPr>
          <w:rFonts w:asciiTheme="majorBidi" w:hAnsiTheme="majorBidi" w:cstheme="majorBidi"/>
        </w:rPr>
        <w:t xml:space="preserve">, merujuk pada tindakan persetubuhan antara seorang laki-laki dan perempuan yang tidak terikat dalam perkawinan, namun dilakukan dengan </w:t>
      </w:r>
      <w:r w:rsidRPr="00614835">
        <w:rPr>
          <w:rFonts w:asciiTheme="majorBidi" w:hAnsiTheme="majorBidi" w:cstheme="majorBidi"/>
        </w:rPr>
        <w:lastRenderedPageBreak/>
        <w:t>adanya unsur kerelaan dari kedua belah pihak. Unsur kerelaan ini menjadi pembeda utama antara zina dengan tindak pidana lainnya.</w:t>
      </w:r>
      <w:r w:rsidR="00614835">
        <w:rPr>
          <w:rFonts w:asciiTheme="majorBidi" w:hAnsiTheme="majorBidi" w:cstheme="majorBidi"/>
        </w:rPr>
        <w:t xml:space="preserve"> </w:t>
      </w:r>
      <w:r w:rsidRPr="00614835">
        <w:rPr>
          <w:rFonts w:asciiTheme="majorBidi" w:hAnsiTheme="majorBidi" w:cstheme="majorBidi"/>
        </w:rPr>
        <w:t xml:space="preserve">Di sisi lain, pelecehan seksual adalah </w:t>
      </w:r>
      <w:r w:rsidR="00614835">
        <w:rPr>
          <w:rFonts w:asciiTheme="majorBidi" w:hAnsiTheme="majorBidi" w:cstheme="majorBidi"/>
        </w:rPr>
        <w:t>t</w:t>
      </w:r>
      <w:r w:rsidRPr="00614835">
        <w:rPr>
          <w:rFonts w:asciiTheme="majorBidi" w:hAnsiTheme="majorBidi" w:cstheme="majorBidi"/>
        </w:rPr>
        <w:t>indakan</w:t>
      </w:r>
      <w:r w:rsidR="007B65C0">
        <w:rPr>
          <w:rFonts w:asciiTheme="majorBidi" w:hAnsiTheme="majorBidi" w:cstheme="majorBidi"/>
        </w:rPr>
        <w:t xml:space="preserve"> yang</w:t>
      </w:r>
      <w:r w:rsidRPr="00614835">
        <w:rPr>
          <w:rFonts w:asciiTheme="majorBidi" w:hAnsiTheme="majorBidi" w:cstheme="majorBidi"/>
        </w:rPr>
        <w:t xml:space="preserve"> melibatkan unsur paksaan, ancaman, atau penyalahgunaan kekuasaan untuk memaksa seseorang melakukan atau menerima tindakan seksual yang tidak diinginkan.</w:t>
      </w:r>
      <w:r>
        <w:rPr>
          <w:rStyle w:val="FootnoteReference"/>
          <w:rFonts w:asciiTheme="majorBidi" w:hAnsiTheme="majorBidi" w:cstheme="majorBidi"/>
        </w:rPr>
        <w:footnoteReference w:id="41"/>
      </w:r>
    </w:p>
    <w:p w14:paraId="4AF8CDAB" w14:textId="491C14C0" w:rsidR="008D372B" w:rsidRPr="00476137" w:rsidRDefault="008D372B" w:rsidP="001B6706">
      <w:pPr>
        <w:pStyle w:val="Heading2"/>
        <w:numPr>
          <w:ilvl w:val="0"/>
          <w:numId w:val="112"/>
        </w:numPr>
        <w:spacing w:line="276" w:lineRule="auto"/>
        <w:ind w:left="284" w:hanging="284"/>
      </w:pPr>
      <w:bookmarkStart w:id="24" w:name="_Toc185961342"/>
      <w:r>
        <w:t xml:space="preserve">Sistem </w:t>
      </w:r>
      <w:r w:rsidRPr="00476137">
        <w:t>Pembuktian Tindak Pidana dalam</w:t>
      </w:r>
      <w:r>
        <w:t xml:space="preserve"> KUHAP</w:t>
      </w:r>
      <w:bookmarkEnd w:id="24"/>
    </w:p>
    <w:p w14:paraId="25C3E6FC" w14:textId="77777777" w:rsidR="001B6706" w:rsidRDefault="008D372B" w:rsidP="001B6706">
      <w:pPr>
        <w:pStyle w:val="ListParagraph"/>
        <w:numPr>
          <w:ilvl w:val="0"/>
          <w:numId w:val="14"/>
        </w:numPr>
        <w:spacing w:line="276" w:lineRule="auto"/>
        <w:ind w:left="567" w:hanging="283"/>
        <w:jc w:val="both"/>
        <w:rPr>
          <w:rFonts w:asciiTheme="majorBidi" w:hAnsiTheme="majorBidi" w:cstheme="majorBidi"/>
          <w:lang w:val="en-US"/>
        </w:rPr>
      </w:pPr>
      <w:r w:rsidRPr="00CB082F">
        <w:rPr>
          <w:rFonts w:asciiTheme="majorBidi" w:hAnsiTheme="majorBidi" w:cstheme="majorBidi"/>
          <w:lang w:val="en-US"/>
        </w:rPr>
        <w:t xml:space="preserve">Pengertian Pembuktian </w:t>
      </w:r>
    </w:p>
    <w:p w14:paraId="691AB9ED" w14:textId="73552D9D" w:rsidR="007B65C0" w:rsidRPr="001B6706" w:rsidRDefault="008D372B" w:rsidP="001B6706">
      <w:pPr>
        <w:pStyle w:val="ListParagraph"/>
        <w:spacing w:line="276" w:lineRule="auto"/>
        <w:ind w:left="567" w:firstLine="284"/>
        <w:jc w:val="both"/>
        <w:rPr>
          <w:rFonts w:asciiTheme="majorBidi" w:hAnsiTheme="majorBidi" w:cstheme="majorBidi"/>
          <w:lang w:val="en-US"/>
        </w:rPr>
      </w:pPr>
      <w:r w:rsidRPr="001B6706">
        <w:rPr>
          <w:rFonts w:asciiTheme="majorBidi" w:hAnsiTheme="majorBidi" w:cstheme="majorBidi"/>
        </w:rPr>
        <w:t>Pembuktian dalam hukum merupakan suatu rangkaian kaidah yang mengatur tentang jenis-jenis bukti yang dapat diajukan, syarat-syarat penerimaan bukti, serta tata cara penggunaan bukti dalam membuktikan suatu fakta hukum</w:t>
      </w:r>
      <w:r w:rsidRPr="001B6706">
        <w:rPr>
          <w:rFonts w:asciiTheme="majorBidi" w:hAnsiTheme="majorBidi" w:cstheme="majorBidi"/>
          <w:lang w:val="en-US"/>
        </w:rPr>
        <w:t>. Selain itu, dalam sistem pembuktian juga mengatur bagaimana hakim harus membentuk keyakinannya di depan sidang pengadilan dalam rangka mengambil keputusan.</w:t>
      </w:r>
      <w:r w:rsidRPr="00CB082F">
        <w:rPr>
          <w:rStyle w:val="FootnoteReference"/>
          <w:rFonts w:asciiTheme="majorBidi" w:hAnsiTheme="majorBidi" w:cstheme="majorBidi"/>
          <w:lang w:val="en-US"/>
        </w:rPr>
        <w:footnoteReference w:id="42"/>
      </w:r>
      <w:r w:rsidRPr="001B6706">
        <w:rPr>
          <w:rFonts w:asciiTheme="majorBidi" w:hAnsiTheme="majorBidi" w:cstheme="majorBidi"/>
          <w:lang w:val="en-US"/>
        </w:rPr>
        <w:t xml:space="preserve"> Pembuktian mencakup aturan-aturan yang memberikan panduan mengenai cara-cara yang diizinkan oleh undang-undang untuk membuktikan kesalahan yang dituduhkan kepada terdakwa. Selain itu, pembuktian juga mengatur alat-alat bukti yang diakui oleh undang-undang yang boleh digunakan oleh hakim untuk membuktikan kesalahan tersebut. Pengadilan tidak boleh secara sewenang-wenang atau tanpa dasar yang kuat membuktikan kesalahan terdakwa.</w:t>
      </w:r>
      <w:r w:rsidRPr="00CB082F">
        <w:rPr>
          <w:rStyle w:val="FootnoteReference"/>
          <w:rFonts w:asciiTheme="majorBidi" w:hAnsiTheme="majorBidi" w:cstheme="majorBidi"/>
          <w:lang w:val="en-US"/>
        </w:rPr>
        <w:footnoteReference w:id="43"/>
      </w:r>
      <w:r w:rsidRPr="001B6706">
        <w:rPr>
          <w:rFonts w:asciiTheme="majorBidi" w:hAnsiTheme="majorBidi" w:cstheme="majorBidi"/>
          <w:lang w:val="en-US"/>
        </w:rPr>
        <w:t xml:space="preserve"> </w:t>
      </w:r>
    </w:p>
    <w:p w14:paraId="473BB3E0" w14:textId="77777777" w:rsidR="007B65C0" w:rsidRDefault="008D372B" w:rsidP="001B6706">
      <w:pPr>
        <w:pStyle w:val="ListParagraph"/>
        <w:spacing w:line="276" w:lineRule="auto"/>
        <w:ind w:left="567" w:firstLine="284"/>
        <w:jc w:val="both"/>
        <w:rPr>
          <w:rFonts w:asciiTheme="majorBidi" w:hAnsiTheme="majorBidi" w:cstheme="majorBidi"/>
          <w:lang w:val="en-US"/>
        </w:rPr>
      </w:pPr>
      <w:r w:rsidRPr="007B65C0">
        <w:rPr>
          <w:rFonts w:asciiTheme="majorBidi" w:hAnsiTheme="majorBidi" w:cstheme="majorBidi"/>
        </w:rPr>
        <w:lastRenderedPageBreak/>
        <w:t>Pembuktian sebagaimana dikemukakan oleh R. Soebekti memiliki tujuan yang berbeda dalam perkara pidana dan perdata. Dalam perkara pidana, pembuktian diarahkan pada penemuan kebenaran materiil atas suatu tindak pidana, sedangkan dalam perkara perdata, pembuktian lebih menekankan pada pembuktian kebenaran formil atas suatu hak atau kewajiban.</w:t>
      </w:r>
      <w:r w:rsidRPr="00CB082F">
        <w:rPr>
          <w:rStyle w:val="FootnoteReference"/>
          <w:rFonts w:asciiTheme="majorBidi" w:hAnsiTheme="majorBidi" w:cstheme="majorBidi"/>
          <w:lang w:val="en-US"/>
        </w:rPr>
        <w:footnoteReference w:id="44"/>
      </w:r>
      <w:r w:rsidRPr="007B65C0">
        <w:rPr>
          <w:rFonts w:asciiTheme="majorBidi" w:hAnsiTheme="majorBidi" w:cstheme="majorBidi"/>
          <w:lang w:val="en-US"/>
        </w:rPr>
        <w:t xml:space="preserve"> </w:t>
      </w:r>
    </w:p>
    <w:p w14:paraId="346A0C80" w14:textId="77777777" w:rsidR="007B65C0" w:rsidRDefault="008D372B" w:rsidP="001B6706">
      <w:pPr>
        <w:pStyle w:val="ListParagraph"/>
        <w:spacing w:line="276" w:lineRule="auto"/>
        <w:ind w:left="567" w:firstLine="284"/>
        <w:jc w:val="both"/>
        <w:rPr>
          <w:rFonts w:asciiTheme="majorBidi" w:hAnsiTheme="majorBidi" w:cstheme="majorBidi"/>
          <w:lang w:val="en-US"/>
        </w:rPr>
      </w:pPr>
      <w:r w:rsidRPr="007B65C0">
        <w:rPr>
          <w:rFonts w:asciiTheme="majorBidi" w:hAnsiTheme="majorBidi" w:cstheme="majorBidi"/>
        </w:rPr>
        <w:t>Eddy O.S. Hiariej dengan tegas menyatakan bahwa pembuktian merupakan komponen esensial dalam proses peradilan. Dalam persidangan, hakim senantiasa berpedoman pada fakta-fakta yang telah teruji kebenarannya melalui mekanisme pembuktian. Hukum pembuktian, sebagai cabang ilmu hukum yang mengatur tata cara pembuktian, mencakup ketentuan-ketentuan mengenai jenis-jenis bukti, cara memperoleh dan mengajukan bukti, serta standar penilaian terhadap kekuatan pembuktian. Aspek penting dalam hukum pembuktian meliputi alat bukti, barang bukti, beban pembuktian, dan cara pengumpulan bukti</w:t>
      </w:r>
      <w:r w:rsidRPr="007B65C0">
        <w:rPr>
          <w:rFonts w:asciiTheme="majorBidi" w:hAnsiTheme="majorBidi" w:cstheme="majorBidi"/>
          <w:lang w:val="en-US"/>
        </w:rPr>
        <w:t>.</w:t>
      </w:r>
      <w:r w:rsidRPr="00CB082F">
        <w:rPr>
          <w:rStyle w:val="FootnoteReference"/>
          <w:rFonts w:asciiTheme="majorBidi" w:hAnsiTheme="majorBidi" w:cstheme="majorBidi"/>
          <w:lang w:val="en-US"/>
        </w:rPr>
        <w:footnoteReference w:id="45"/>
      </w:r>
    </w:p>
    <w:p w14:paraId="4A917728" w14:textId="77777777" w:rsidR="007B65C0" w:rsidRDefault="008D372B" w:rsidP="001B6706">
      <w:pPr>
        <w:pStyle w:val="ListParagraph"/>
        <w:spacing w:line="276" w:lineRule="auto"/>
        <w:ind w:left="567" w:firstLine="284"/>
        <w:jc w:val="both"/>
        <w:rPr>
          <w:rFonts w:asciiTheme="majorBidi" w:hAnsiTheme="majorBidi" w:cstheme="majorBidi"/>
          <w:lang w:val="en-US"/>
        </w:rPr>
      </w:pPr>
      <w:r w:rsidRPr="007B65C0">
        <w:rPr>
          <w:rFonts w:asciiTheme="majorBidi" w:hAnsiTheme="majorBidi" w:cstheme="majorBidi"/>
        </w:rPr>
        <w:t>Proses pembuktian dalam persidangan merupakan upaya menghadirkan, memaparkan, atau menunjukkan segala fakta yang relevan dengan perkara yang sedang diperiksa. Bukti-bukti yang diajukan bertujuan untuk meyakinkan hakim mengenai kebenaran atau ketidakbenaran suatu peristiwa hukum. Melalui proses pembuktian, hakim dapat memperoleh landasan yang kuat dalam mengambil keputusan yang adil dan objektif</w:t>
      </w:r>
      <w:r w:rsidRPr="007B65C0">
        <w:rPr>
          <w:rFonts w:asciiTheme="majorBidi" w:hAnsiTheme="majorBidi" w:cstheme="majorBidi"/>
          <w:lang w:val="en-US"/>
        </w:rPr>
        <w:t>.</w:t>
      </w:r>
      <w:r w:rsidRPr="00CB082F">
        <w:rPr>
          <w:rStyle w:val="FootnoteReference"/>
          <w:rFonts w:asciiTheme="majorBidi" w:hAnsiTheme="majorBidi" w:cstheme="majorBidi"/>
          <w:lang w:val="en-US"/>
        </w:rPr>
        <w:footnoteReference w:id="46"/>
      </w:r>
    </w:p>
    <w:p w14:paraId="1F5FBEF3" w14:textId="287C7B43" w:rsidR="008D372B" w:rsidRPr="007B65C0" w:rsidRDefault="008D372B" w:rsidP="001B6706">
      <w:pPr>
        <w:pStyle w:val="ListParagraph"/>
        <w:spacing w:line="276" w:lineRule="auto"/>
        <w:ind w:left="567" w:firstLine="284"/>
        <w:jc w:val="both"/>
        <w:rPr>
          <w:rFonts w:asciiTheme="majorBidi" w:hAnsiTheme="majorBidi" w:cstheme="majorBidi"/>
          <w:lang w:val="en-US"/>
        </w:rPr>
      </w:pPr>
      <w:r w:rsidRPr="007B65C0">
        <w:rPr>
          <w:rFonts w:asciiTheme="majorBidi" w:hAnsiTheme="majorBidi" w:cstheme="majorBidi"/>
          <w:lang w:val="en-US"/>
        </w:rPr>
        <w:lastRenderedPageBreak/>
        <w:t>Secara yuridis, pembuktian adalah proses untuk menetapkan substansi dari fakta-fakta yang diperoleh melalui ukuran yang wajar dan pemikiran logis terhadap fakta-fakta masa lalu yang tidak jelas, sehingga menjadi fakta yang jelas terkait dengan perkara pidana. Adapun alat ukur pembuktian menurut Rusli Muhammad adalah sebagai berikut:</w:t>
      </w:r>
      <w:r w:rsidRPr="00CB082F">
        <w:rPr>
          <w:rStyle w:val="FootnoteReference"/>
          <w:rFonts w:asciiTheme="majorBidi" w:hAnsiTheme="majorBidi" w:cstheme="majorBidi"/>
          <w:lang w:val="en-US"/>
        </w:rPr>
        <w:footnoteReference w:id="47"/>
      </w:r>
    </w:p>
    <w:p w14:paraId="372D2BD9" w14:textId="0B343B7D" w:rsidR="008D372B" w:rsidRPr="00CB082F" w:rsidRDefault="008D372B" w:rsidP="001B6706">
      <w:pPr>
        <w:pStyle w:val="ListParagraph"/>
        <w:numPr>
          <w:ilvl w:val="0"/>
          <w:numId w:val="21"/>
        </w:numPr>
        <w:spacing w:line="276" w:lineRule="auto"/>
        <w:ind w:left="851" w:hanging="284"/>
        <w:jc w:val="both"/>
        <w:rPr>
          <w:rFonts w:asciiTheme="majorBidi" w:hAnsiTheme="majorBidi" w:cstheme="majorBidi"/>
          <w:lang w:val="en-US"/>
        </w:rPr>
      </w:pPr>
      <w:r w:rsidRPr="007F158A">
        <w:rPr>
          <w:rFonts w:asciiTheme="majorBidi" w:hAnsiTheme="majorBidi" w:cstheme="majorBidi"/>
          <w:i/>
          <w:iCs/>
          <w:lang w:val="en-US"/>
        </w:rPr>
        <w:t>Bewijsgronden</w:t>
      </w:r>
      <w:r w:rsidRPr="00CB082F">
        <w:rPr>
          <w:rFonts w:asciiTheme="majorBidi" w:hAnsiTheme="majorBidi" w:cstheme="majorBidi"/>
          <w:lang w:val="en-US"/>
        </w:rPr>
        <w:t xml:space="preserve"> adalah dasar atau prinsip pembuktian yang tercermin dalam pertimbangan putusan pengadilan.</w:t>
      </w:r>
    </w:p>
    <w:p w14:paraId="5AF7E6D1" w14:textId="77777777" w:rsidR="008D372B" w:rsidRPr="00CB082F" w:rsidRDefault="008D372B" w:rsidP="001B6706">
      <w:pPr>
        <w:pStyle w:val="ListParagraph"/>
        <w:numPr>
          <w:ilvl w:val="0"/>
          <w:numId w:val="21"/>
        </w:numPr>
        <w:spacing w:line="276" w:lineRule="auto"/>
        <w:ind w:left="851" w:hanging="284"/>
        <w:jc w:val="both"/>
        <w:rPr>
          <w:rFonts w:asciiTheme="majorBidi" w:hAnsiTheme="majorBidi" w:cstheme="majorBidi"/>
          <w:lang w:val="en-US"/>
        </w:rPr>
      </w:pPr>
      <w:r w:rsidRPr="007F158A">
        <w:rPr>
          <w:rFonts w:asciiTheme="majorBidi" w:hAnsiTheme="majorBidi" w:cstheme="majorBidi"/>
          <w:i/>
          <w:iCs/>
          <w:lang w:val="en-US"/>
        </w:rPr>
        <w:t>Bewijsmiddelen</w:t>
      </w:r>
      <w:r w:rsidRPr="00CB082F">
        <w:rPr>
          <w:rFonts w:asciiTheme="majorBidi" w:hAnsiTheme="majorBidi" w:cstheme="majorBidi"/>
          <w:lang w:val="en-US"/>
        </w:rPr>
        <w:t xml:space="preserve"> adalah alat bukti yang dapat digunakan oleh hakim untuk mendapatkan gambaran mengenai terjadinya tindak pidana di masa lalu.</w:t>
      </w:r>
    </w:p>
    <w:p w14:paraId="735EC899" w14:textId="77777777" w:rsidR="008D372B" w:rsidRPr="00CB082F" w:rsidRDefault="008D372B" w:rsidP="001B6706">
      <w:pPr>
        <w:pStyle w:val="ListParagraph"/>
        <w:numPr>
          <w:ilvl w:val="0"/>
          <w:numId w:val="21"/>
        </w:numPr>
        <w:spacing w:line="276" w:lineRule="auto"/>
        <w:ind w:left="851" w:hanging="284"/>
        <w:jc w:val="both"/>
        <w:rPr>
          <w:rFonts w:asciiTheme="majorBidi" w:hAnsiTheme="majorBidi" w:cstheme="majorBidi"/>
          <w:lang w:val="en-US"/>
        </w:rPr>
      </w:pPr>
      <w:r w:rsidRPr="007F158A">
        <w:rPr>
          <w:rFonts w:asciiTheme="majorBidi" w:hAnsiTheme="majorBidi" w:cstheme="majorBidi"/>
          <w:i/>
          <w:iCs/>
          <w:lang w:val="en-US"/>
        </w:rPr>
        <w:t>Bewijsvoring</w:t>
      </w:r>
      <w:r w:rsidRPr="00CB082F">
        <w:rPr>
          <w:rFonts w:asciiTheme="majorBidi" w:hAnsiTheme="majorBidi" w:cstheme="majorBidi"/>
          <w:lang w:val="en-US"/>
        </w:rPr>
        <w:t xml:space="preserve"> adalah cara penyampaian alat bukti kepada hakim di persidangan.</w:t>
      </w:r>
    </w:p>
    <w:p w14:paraId="16428C45" w14:textId="77777777" w:rsidR="008D372B" w:rsidRPr="00CB082F" w:rsidRDefault="008D372B" w:rsidP="001B6706">
      <w:pPr>
        <w:pStyle w:val="ListParagraph"/>
        <w:numPr>
          <w:ilvl w:val="0"/>
          <w:numId w:val="21"/>
        </w:numPr>
        <w:spacing w:line="276" w:lineRule="auto"/>
        <w:ind w:left="851" w:hanging="284"/>
        <w:jc w:val="both"/>
        <w:rPr>
          <w:rFonts w:asciiTheme="majorBidi" w:hAnsiTheme="majorBidi" w:cstheme="majorBidi"/>
          <w:lang w:val="en-US"/>
        </w:rPr>
      </w:pPr>
      <w:r w:rsidRPr="007F158A">
        <w:rPr>
          <w:rFonts w:asciiTheme="majorBidi" w:hAnsiTheme="majorBidi" w:cstheme="majorBidi"/>
          <w:i/>
          <w:iCs/>
          <w:lang w:val="en-US"/>
        </w:rPr>
        <w:t>Bewijskracht</w:t>
      </w:r>
      <w:r w:rsidRPr="00CB082F">
        <w:rPr>
          <w:rFonts w:asciiTheme="majorBidi" w:hAnsiTheme="majorBidi" w:cstheme="majorBidi"/>
          <w:lang w:val="en-US"/>
        </w:rPr>
        <w:t xml:space="preserve"> adalah kekuatan pembuktian dari alat bukti dalam rangka penilaian terbuktinya suatu dakwaan.</w:t>
      </w:r>
    </w:p>
    <w:p w14:paraId="120C021E" w14:textId="77777777" w:rsidR="008D372B" w:rsidRPr="00CB082F" w:rsidRDefault="008D372B" w:rsidP="001B6706">
      <w:pPr>
        <w:pStyle w:val="ListParagraph"/>
        <w:numPr>
          <w:ilvl w:val="0"/>
          <w:numId w:val="21"/>
        </w:numPr>
        <w:spacing w:line="276" w:lineRule="auto"/>
        <w:ind w:left="851" w:hanging="284"/>
        <w:jc w:val="both"/>
        <w:rPr>
          <w:rFonts w:asciiTheme="majorBidi" w:hAnsiTheme="majorBidi" w:cstheme="majorBidi"/>
          <w:lang w:val="en-US"/>
        </w:rPr>
      </w:pPr>
      <w:r w:rsidRPr="007F158A">
        <w:rPr>
          <w:rFonts w:asciiTheme="majorBidi" w:hAnsiTheme="majorBidi" w:cstheme="majorBidi"/>
          <w:i/>
          <w:iCs/>
          <w:lang w:val="en-US"/>
        </w:rPr>
        <w:t>Bewijslast</w:t>
      </w:r>
      <w:r w:rsidRPr="00CB082F">
        <w:rPr>
          <w:rFonts w:asciiTheme="majorBidi" w:hAnsiTheme="majorBidi" w:cstheme="majorBidi"/>
          <w:lang w:val="en-US"/>
        </w:rPr>
        <w:t xml:space="preserve"> adalah kewajiban pembuktian yang diatur oleh undang-undang untuk membuktikan dakwaan dalam sidang pengadilan.</w:t>
      </w:r>
      <w:r w:rsidRPr="00CB082F">
        <w:rPr>
          <w:rStyle w:val="FootnoteReference"/>
          <w:rFonts w:asciiTheme="majorBidi" w:hAnsiTheme="majorBidi" w:cstheme="majorBidi"/>
          <w:lang w:val="en-US"/>
        </w:rPr>
        <w:footnoteReference w:id="48"/>
      </w:r>
    </w:p>
    <w:p w14:paraId="71BA0493" w14:textId="77777777" w:rsidR="008D372B" w:rsidRPr="007B65C0" w:rsidRDefault="008D372B" w:rsidP="001B6706">
      <w:pPr>
        <w:pStyle w:val="ListParagraph"/>
        <w:spacing w:line="276" w:lineRule="auto"/>
        <w:ind w:left="567" w:firstLine="284"/>
        <w:jc w:val="both"/>
        <w:rPr>
          <w:rFonts w:asciiTheme="majorBidi" w:hAnsiTheme="majorBidi" w:cstheme="majorBidi"/>
          <w:lang w:val="en-US"/>
        </w:rPr>
      </w:pPr>
      <w:r w:rsidRPr="007B65C0">
        <w:rPr>
          <w:rFonts w:asciiTheme="majorBidi" w:hAnsiTheme="majorBidi" w:cstheme="majorBidi"/>
        </w:rPr>
        <w:t>Kitab Undang-Undang Hukum Acara Pidana (KUHAP) tidak memberikan definisi mengenai konsep pembuktian. Meskipun demikian, KUHAP telah merumuskan jenis-jenis alat bukti yang sah secara hukum, sebagaimana tercantum dalam Pasal 184 ayat (1) KUHAP, yaitu keterangan saksi, keterangan ahli, surat, dan keterangan terdakwa</w:t>
      </w:r>
      <w:r w:rsidRPr="007B65C0">
        <w:rPr>
          <w:rFonts w:asciiTheme="majorBidi" w:hAnsiTheme="majorBidi" w:cstheme="majorBidi"/>
          <w:lang w:val="en-US"/>
        </w:rPr>
        <w:t>.</w:t>
      </w:r>
      <w:r w:rsidRPr="00CB082F">
        <w:rPr>
          <w:rStyle w:val="FootnoteReference"/>
          <w:rFonts w:asciiTheme="majorBidi" w:hAnsiTheme="majorBidi" w:cstheme="majorBidi"/>
          <w:lang w:val="en-US"/>
        </w:rPr>
        <w:footnoteReference w:id="49"/>
      </w:r>
      <w:r w:rsidRPr="00C92F6C">
        <w:t xml:space="preserve"> </w:t>
      </w:r>
      <w:r w:rsidRPr="007B65C0">
        <w:rPr>
          <w:rFonts w:asciiTheme="majorBidi" w:hAnsiTheme="majorBidi" w:cstheme="majorBidi"/>
        </w:rPr>
        <w:t xml:space="preserve">Proses pembuktian dalam perkara pidana telah dimulai sejak tahap penyelidikan. Pada tahapan penyelidikan bertujuan untuk </w:t>
      </w:r>
      <w:r w:rsidRPr="007B65C0">
        <w:rPr>
          <w:rFonts w:asciiTheme="majorBidi" w:hAnsiTheme="majorBidi" w:cstheme="majorBidi"/>
        </w:rPr>
        <w:lastRenderedPageBreak/>
        <w:t>mengidentifikasi dan mengumpulkan bukti-bukti awal yang mengindikasikan adanya dugaan tindak pidana. Melalui kegiatan penyelidikan, penyidik berusaha untuk memperjelas peristiwa pidana yang terjadi serta mengidentifikasi pelaku tindak pidana. Dengan demikian, dapat dikatakan bahwa tahap penyelidikan merupakan tahap awal dari proses pembuktian dalam perkara pidana</w:t>
      </w:r>
      <w:r w:rsidRPr="007B65C0">
        <w:rPr>
          <w:rFonts w:asciiTheme="majorBidi" w:hAnsiTheme="majorBidi" w:cstheme="majorBidi"/>
          <w:lang w:val="en-US"/>
        </w:rPr>
        <w:t>.</w:t>
      </w:r>
      <w:r w:rsidRPr="00CB082F">
        <w:rPr>
          <w:rStyle w:val="FootnoteReference"/>
          <w:rFonts w:asciiTheme="majorBidi" w:hAnsiTheme="majorBidi" w:cstheme="majorBidi"/>
          <w:lang w:val="en-US"/>
        </w:rPr>
        <w:footnoteReference w:id="50"/>
      </w:r>
    </w:p>
    <w:p w14:paraId="084E66C7" w14:textId="77777777" w:rsidR="008D372B" w:rsidRPr="00CB082F" w:rsidRDefault="008D372B" w:rsidP="001B6706">
      <w:pPr>
        <w:pStyle w:val="ListParagraph"/>
        <w:numPr>
          <w:ilvl w:val="0"/>
          <w:numId w:val="14"/>
        </w:numPr>
        <w:spacing w:line="276" w:lineRule="auto"/>
        <w:ind w:left="567" w:hanging="283"/>
        <w:jc w:val="both"/>
        <w:rPr>
          <w:rFonts w:asciiTheme="majorBidi" w:hAnsiTheme="majorBidi" w:cstheme="majorBidi"/>
          <w:lang w:val="en-US"/>
        </w:rPr>
      </w:pPr>
      <w:r w:rsidRPr="00CB082F">
        <w:rPr>
          <w:rFonts w:asciiTheme="majorBidi" w:hAnsiTheme="majorBidi" w:cstheme="majorBidi"/>
          <w:lang w:val="en-US"/>
        </w:rPr>
        <w:t xml:space="preserve">Teori Pembuktian dalam Peradilan Pidana </w:t>
      </w:r>
    </w:p>
    <w:p w14:paraId="42C99F02" w14:textId="77777777" w:rsidR="008D372B" w:rsidRPr="00CB082F" w:rsidRDefault="008D372B" w:rsidP="001B6706">
      <w:pPr>
        <w:pStyle w:val="ListParagraph"/>
        <w:spacing w:line="276" w:lineRule="auto"/>
        <w:ind w:left="567" w:firstLine="284"/>
        <w:jc w:val="both"/>
        <w:rPr>
          <w:rFonts w:asciiTheme="majorBidi" w:hAnsiTheme="majorBidi" w:cstheme="majorBidi"/>
          <w:lang w:val="en-US"/>
        </w:rPr>
      </w:pPr>
      <w:r w:rsidRPr="00753049">
        <w:rPr>
          <w:rFonts w:asciiTheme="majorBidi" w:hAnsiTheme="majorBidi" w:cstheme="majorBidi"/>
        </w:rPr>
        <w:t>Kitab Undang-Undang Hukum Acara Pidana (KUHAP) mengadopsi sistem inquisitorial sebagai landasan utama dalam proses peradilan pidana. Dalam sistem ini, terdapat beberapa pendekatan atau teori pembuktian yang dapat diterapkan untuk mengungkap kebenaran materiil suatu perkara pidana</w:t>
      </w:r>
      <w:r w:rsidRPr="00CB082F">
        <w:rPr>
          <w:rFonts w:asciiTheme="majorBidi" w:hAnsiTheme="majorBidi" w:cstheme="majorBidi"/>
          <w:lang w:val="en-US"/>
        </w:rPr>
        <w:t>:</w:t>
      </w:r>
      <w:r w:rsidRPr="00CB082F">
        <w:rPr>
          <w:rStyle w:val="FootnoteReference"/>
          <w:rFonts w:asciiTheme="majorBidi" w:hAnsiTheme="majorBidi" w:cstheme="majorBidi"/>
          <w:lang w:val="en-US"/>
        </w:rPr>
        <w:footnoteReference w:id="51"/>
      </w:r>
    </w:p>
    <w:p w14:paraId="7209FEAB" w14:textId="77777777" w:rsidR="001B6706" w:rsidRDefault="008D372B" w:rsidP="001B6706">
      <w:pPr>
        <w:pStyle w:val="ListParagraph"/>
        <w:numPr>
          <w:ilvl w:val="0"/>
          <w:numId w:val="40"/>
        </w:numPr>
        <w:spacing w:line="276" w:lineRule="auto"/>
        <w:ind w:left="851" w:hanging="284"/>
        <w:jc w:val="both"/>
        <w:rPr>
          <w:rFonts w:asciiTheme="majorBidi" w:hAnsiTheme="majorBidi" w:cstheme="majorBidi"/>
          <w:lang w:val="en-US"/>
        </w:rPr>
      </w:pPr>
      <w:r w:rsidRPr="00CB082F">
        <w:rPr>
          <w:rFonts w:asciiTheme="majorBidi" w:hAnsiTheme="majorBidi" w:cstheme="majorBidi"/>
          <w:i/>
          <w:iCs/>
          <w:lang w:val="en-US"/>
        </w:rPr>
        <w:t>Conviction In Time</w:t>
      </w:r>
      <w:r w:rsidRPr="00CB082F">
        <w:rPr>
          <w:rFonts w:asciiTheme="majorBidi" w:hAnsiTheme="majorBidi" w:cstheme="majorBidi"/>
          <w:lang w:val="en-US"/>
        </w:rPr>
        <w:t xml:space="preserve"> atau Sistem Pembuktian Berdasarkan Keyakinan Hakim Semata.</w:t>
      </w:r>
    </w:p>
    <w:p w14:paraId="4E6F0F26" w14:textId="182C2EBE" w:rsidR="008D372B" w:rsidRPr="001B6706" w:rsidRDefault="008D372B" w:rsidP="001B6706">
      <w:pPr>
        <w:pStyle w:val="ListParagraph"/>
        <w:spacing w:line="276" w:lineRule="auto"/>
        <w:ind w:left="851" w:firstLine="283"/>
        <w:jc w:val="both"/>
        <w:rPr>
          <w:rFonts w:asciiTheme="majorBidi" w:hAnsiTheme="majorBidi" w:cstheme="majorBidi"/>
          <w:lang w:val="en-US"/>
        </w:rPr>
      </w:pPr>
      <w:r w:rsidRPr="001B6706">
        <w:rPr>
          <w:rFonts w:asciiTheme="majorBidi" w:hAnsiTheme="majorBidi" w:cstheme="majorBidi"/>
          <w:lang w:val="en-US"/>
        </w:rPr>
        <w:t xml:space="preserve">Sistem ini menganut ajaran bahwa bersalah atau tidaknya seseorang terhadap perbuatan yang didakwakan sepenuhnya tergantung pada penilaian “keyakinan” hakim semata-mata. Jadi, bersalah atau tidaknya terdakwa atau dipidana atau tidaknya terdakwa sepenuhnya tergantung pada keyakinan hakim. Keyakinan hakim tidak harus timbul atau didasarkan pada alat bukti yang ada. Sekalipun alat bukti sudah cukup, jika hakim tidak yakin, hakim tidak boleh menjatuhkan pidana. Sebaliknya, meskipun alat bukti </w:t>
      </w:r>
      <w:r w:rsidRPr="001B6706">
        <w:rPr>
          <w:rFonts w:asciiTheme="majorBidi" w:hAnsiTheme="majorBidi" w:cstheme="majorBidi"/>
          <w:lang w:val="en-US"/>
        </w:rPr>
        <w:lastRenderedPageBreak/>
        <w:t>tidak ada, tetapi jika hakim sudah yakin, maka terdakwa dapat dinyatakan bersalah.</w:t>
      </w:r>
      <w:r w:rsidRPr="00CB082F">
        <w:rPr>
          <w:rStyle w:val="FootnoteReference"/>
          <w:rFonts w:asciiTheme="majorBidi" w:hAnsiTheme="majorBidi" w:cstheme="majorBidi"/>
          <w:lang w:val="en-US"/>
        </w:rPr>
        <w:footnoteReference w:id="52"/>
      </w:r>
    </w:p>
    <w:p w14:paraId="15A504DE" w14:textId="77777777" w:rsidR="008D372B" w:rsidRPr="00CB082F" w:rsidRDefault="008D372B" w:rsidP="001B6706">
      <w:pPr>
        <w:pStyle w:val="ListParagraph"/>
        <w:numPr>
          <w:ilvl w:val="0"/>
          <w:numId w:val="40"/>
        </w:numPr>
        <w:spacing w:line="276" w:lineRule="auto"/>
        <w:ind w:left="851" w:hanging="284"/>
        <w:jc w:val="both"/>
        <w:rPr>
          <w:rFonts w:asciiTheme="majorBidi" w:hAnsiTheme="majorBidi" w:cstheme="majorBidi"/>
          <w:lang w:val="en-US"/>
        </w:rPr>
      </w:pPr>
      <w:r w:rsidRPr="00CB082F">
        <w:rPr>
          <w:rFonts w:asciiTheme="majorBidi" w:hAnsiTheme="majorBidi" w:cstheme="majorBidi"/>
          <w:i/>
          <w:iCs/>
          <w:lang w:val="en-US"/>
        </w:rPr>
        <w:t>Conviction In Raisone</w:t>
      </w:r>
      <w:r w:rsidRPr="00CB082F">
        <w:rPr>
          <w:rFonts w:asciiTheme="majorBidi" w:hAnsiTheme="majorBidi" w:cstheme="majorBidi"/>
          <w:lang w:val="en-US"/>
        </w:rPr>
        <w:t xml:space="preserve"> atau Sistem Pembuktian Berdasarkan Keyakinan Hakim Atas Alasan yang Rasional.</w:t>
      </w:r>
    </w:p>
    <w:p w14:paraId="76B866E0" w14:textId="6DDAE8BF" w:rsidR="008D372B" w:rsidRPr="00CB082F" w:rsidRDefault="008D372B" w:rsidP="001B6706">
      <w:pPr>
        <w:pStyle w:val="ListParagraph"/>
        <w:spacing w:line="276" w:lineRule="auto"/>
        <w:ind w:left="851" w:firstLine="283"/>
        <w:jc w:val="both"/>
        <w:rPr>
          <w:rFonts w:asciiTheme="majorBidi" w:hAnsiTheme="majorBidi" w:cstheme="majorBidi"/>
          <w:lang w:val="en-US"/>
        </w:rPr>
      </w:pPr>
      <w:r w:rsidRPr="00CB082F">
        <w:rPr>
          <w:rFonts w:asciiTheme="majorBidi" w:hAnsiTheme="majorBidi" w:cstheme="majorBidi"/>
          <w:lang w:val="en-US"/>
        </w:rPr>
        <w:t xml:space="preserve">Sistem pembuktian </w:t>
      </w:r>
      <w:r w:rsidRPr="00CB082F">
        <w:rPr>
          <w:rFonts w:asciiTheme="majorBidi" w:hAnsiTheme="majorBidi" w:cstheme="majorBidi"/>
          <w:i/>
          <w:iCs/>
          <w:lang w:val="en-US"/>
        </w:rPr>
        <w:t>Conviction In Raisone</w:t>
      </w:r>
      <w:r w:rsidRPr="00CB082F">
        <w:rPr>
          <w:rFonts w:asciiTheme="majorBidi" w:hAnsiTheme="majorBidi" w:cstheme="majorBidi"/>
          <w:lang w:val="en-US"/>
        </w:rPr>
        <w:t xml:space="preserve"> juga mengutamakan penilaian keyakinan hakim sebagai dasar utama untuk menghukum terdakwa. Namun, dalam sistem ini, keyakinan hakim harus disertai dengan pertimbangan yang nyata dan logis serta dapat diterima oleh akal sehat. Keyakinan hakim tidak perlu didukung oleh alat bukti yang sah karena memang tidak disyaratkan. Meskipun alat-alat bukti telah ditetapkan oleh undang-undang, hakim dapat menggunakan alat-alat bukti di luar ketentuan undang-undang. Yang perlu ditekankan adalah bahwa keyakinan hakim tersebut harus dapat dijelaskan dengan alasan yang logis. Keyakinan hakim dalam sistem pembuktian </w:t>
      </w:r>
      <w:r w:rsidRPr="005632F1">
        <w:rPr>
          <w:rFonts w:asciiTheme="majorBidi" w:hAnsiTheme="majorBidi" w:cstheme="majorBidi"/>
          <w:i/>
          <w:iCs/>
          <w:lang w:val="en-US"/>
        </w:rPr>
        <w:t>conviction in raisone</w:t>
      </w:r>
      <w:r w:rsidRPr="00CB082F">
        <w:rPr>
          <w:rFonts w:asciiTheme="majorBidi" w:hAnsiTheme="majorBidi" w:cstheme="majorBidi"/>
          <w:lang w:val="en-US"/>
        </w:rPr>
        <w:t xml:space="preserve"> harus didasari oleh </w:t>
      </w:r>
      <w:r>
        <w:rPr>
          <w:rFonts w:asciiTheme="majorBidi" w:hAnsiTheme="majorBidi" w:cstheme="majorBidi"/>
          <w:lang w:val="en-US"/>
        </w:rPr>
        <w:t>“</w:t>
      </w:r>
      <w:r w:rsidRPr="00CB082F">
        <w:rPr>
          <w:rFonts w:asciiTheme="majorBidi" w:hAnsiTheme="majorBidi" w:cstheme="majorBidi"/>
          <w:lang w:val="en-US"/>
        </w:rPr>
        <w:t>reasoning</w:t>
      </w:r>
      <w:r>
        <w:rPr>
          <w:rFonts w:asciiTheme="majorBidi" w:hAnsiTheme="majorBidi" w:cstheme="majorBidi"/>
          <w:lang w:val="en-US"/>
        </w:rPr>
        <w:t>”</w:t>
      </w:r>
      <w:r w:rsidRPr="00CB082F">
        <w:rPr>
          <w:rFonts w:asciiTheme="majorBidi" w:hAnsiTheme="majorBidi" w:cstheme="majorBidi"/>
          <w:lang w:val="en-US"/>
        </w:rPr>
        <w:t xml:space="preserve"> atau alasan-alasan yang logis dan masuk akal, bukan semata-mata berdasarkan keyakinan yang tanpa batas. Sistem pembuktian ini sering disebut sebagai sistem pembuktian bebas.</w:t>
      </w:r>
      <w:r w:rsidRPr="00CB082F">
        <w:rPr>
          <w:rStyle w:val="FootnoteReference"/>
          <w:rFonts w:asciiTheme="majorBidi" w:hAnsiTheme="majorBidi" w:cstheme="majorBidi"/>
          <w:lang w:val="en-US"/>
        </w:rPr>
        <w:footnoteReference w:id="53"/>
      </w:r>
    </w:p>
    <w:p w14:paraId="1B4FA25A" w14:textId="77777777" w:rsidR="008D372B" w:rsidRPr="00CB082F" w:rsidRDefault="008D372B" w:rsidP="001B6706">
      <w:pPr>
        <w:pStyle w:val="ListParagraph"/>
        <w:numPr>
          <w:ilvl w:val="0"/>
          <w:numId w:val="40"/>
        </w:numPr>
        <w:spacing w:line="276" w:lineRule="auto"/>
        <w:ind w:left="851" w:hanging="284"/>
        <w:jc w:val="both"/>
        <w:rPr>
          <w:rFonts w:asciiTheme="majorBidi" w:hAnsiTheme="majorBidi" w:cstheme="majorBidi"/>
          <w:lang w:val="en-US"/>
        </w:rPr>
      </w:pPr>
      <w:r w:rsidRPr="00CB082F">
        <w:rPr>
          <w:rFonts w:asciiTheme="majorBidi" w:hAnsiTheme="majorBidi" w:cstheme="majorBidi"/>
          <w:i/>
          <w:iCs/>
          <w:lang w:val="en-US"/>
        </w:rPr>
        <w:t>Positief Wettelijk Bewijstheorie</w:t>
      </w:r>
      <w:r w:rsidRPr="00CB082F">
        <w:rPr>
          <w:rFonts w:asciiTheme="majorBidi" w:hAnsiTheme="majorBidi" w:cstheme="majorBidi"/>
          <w:lang w:val="en-US"/>
        </w:rPr>
        <w:t xml:space="preserve"> atau Sistem Pembuktian Berdasarkan Undang-Undang Positif.</w:t>
      </w:r>
    </w:p>
    <w:p w14:paraId="59141DA7" w14:textId="77777777" w:rsidR="008D372B" w:rsidRPr="00CB082F" w:rsidRDefault="008D372B" w:rsidP="001B6706">
      <w:pPr>
        <w:pStyle w:val="ListParagraph"/>
        <w:spacing w:line="276" w:lineRule="auto"/>
        <w:ind w:left="851" w:firstLine="283"/>
        <w:jc w:val="both"/>
        <w:rPr>
          <w:rFonts w:asciiTheme="majorBidi" w:hAnsiTheme="majorBidi" w:cstheme="majorBidi"/>
          <w:lang w:val="en-US"/>
        </w:rPr>
      </w:pPr>
      <w:r w:rsidRPr="00CB082F">
        <w:rPr>
          <w:rFonts w:asciiTheme="majorBidi" w:hAnsiTheme="majorBidi" w:cstheme="majorBidi"/>
          <w:lang w:val="en-US"/>
        </w:rPr>
        <w:t xml:space="preserve">Sistem ini ditempatkan berlawanan dengan sistem pembuktian </w:t>
      </w:r>
      <w:r w:rsidRPr="00753049">
        <w:rPr>
          <w:rFonts w:asciiTheme="majorBidi" w:hAnsiTheme="majorBidi" w:cstheme="majorBidi"/>
          <w:i/>
          <w:iCs/>
          <w:lang w:val="en-US"/>
        </w:rPr>
        <w:t>conviction in time</w:t>
      </w:r>
      <w:r w:rsidRPr="00CB082F">
        <w:rPr>
          <w:rFonts w:asciiTheme="majorBidi" w:hAnsiTheme="majorBidi" w:cstheme="majorBidi"/>
          <w:lang w:val="en-US"/>
        </w:rPr>
        <w:t xml:space="preserve">, karena sistem ini menganut ajaran bahwa bersalah atau tidaknya terdakwa didasarkan pada ada atau tidaknya alat bukti yang sah </w:t>
      </w:r>
      <w:r w:rsidRPr="00CB082F">
        <w:rPr>
          <w:rFonts w:asciiTheme="majorBidi" w:hAnsiTheme="majorBidi" w:cstheme="majorBidi"/>
          <w:lang w:val="en-US"/>
        </w:rPr>
        <w:lastRenderedPageBreak/>
        <w:t xml:space="preserve">menurut undang-undang yang dapat digunakan untuk membuktikan kesalahan terdakwa. Sistem </w:t>
      </w:r>
      <w:r w:rsidRPr="00753049">
        <w:rPr>
          <w:rFonts w:asciiTheme="majorBidi" w:hAnsiTheme="majorBidi" w:cstheme="majorBidi"/>
          <w:i/>
          <w:iCs/>
          <w:lang w:val="en-US"/>
        </w:rPr>
        <w:t>positif wettelijk</w:t>
      </w:r>
      <w:r>
        <w:rPr>
          <w:rFonts w:asciiTheme="majorBidi" w:hAnsiTheme="majorBidi" w:cstheme="majorBidi"/>
          <w:lang w:val="en-US"/>
        </w:rPr>
        <w:t xml:space="preserve"> </w:t>
      </w:r>
      <w:r w:rsidRPr="00CB082F">
        <w:rPr>
          <w:rFonts w:asciiTheme="majorBidi" w:hAnsiTheme="majorBidi" w:cstheme="majorBidi"/>
          <w:lang w:val="en-US"/>
        </w:rPr>
        <w:t xml:space="preserve">sangat mengabaikan dan sama sekali tidak mempertimbangkan keyakinan hakim. Jadi, sekalipun hakim yakin akan kesalahan yang dilakukan terdakwa, tetapi dalam pemeriksaan di persidangan pengadilan perbuatan terdakwa tidak didukung alat bukti yang sah menurut undang-undang, maka terdakwa harus dibebaskan. </w:t>
      </w:r>
      <w:r>
        <w:rPr>
          <w:rFonts w:asciiTheme="majorBidi" w:hAnsiTheme="majorBidi" w:cstheme="majorBidi"/>
          <w:lang w:val="en-US"/>
        </w:rPr>
        <w:t>Pada u</w:t>
      </w:r>
      <w:r w:rsidRPr="00CB082F">
        <w:rPr>
          <w:rFonts w:asciiTheme="majorBidi" w:hAnsiTheme="majorBidi" w:cstheme="majorBidi"/>
          <w:lang w:val="en-US"/>
        </w:rPr>
        <w:t xml:space="preserve">mumnya, jika seorang terdakwa sudah memenuhi </w:t>
      </w:r>
      <w:r>
        <w:rPr>
          <w:rFonts w:asciiTheme="majorBidi" w:hAnsiTheme="majorBidi" w:cstheme="majorBidi"/>
          <w:lang w:val="en-US"/>
        </w:rPr>
        <w:t xml:space="preserve">syarat syarat </w:t>
      </w:r>
      <w:r w:rsidRPr="00CB082F">
        <w:rPr>
          <w:rFonts w:asciiTheme="majorBidi" w:hAnsiTheme="majorBidi" w:cstheme="majorBidi"/>
          <w:lang w:val="en-US"/>
        </w:rPr>
        <w:t>pembuktian dan alat bukti yang sah menurut undang-undang, maka terdakwa tersebut bisa dinyatakan bersalah dan harus dipidana.</w:t>
      </w:r>
      <w:r w:rsidRPr="00CB082F">
        <w:rPr>
          <w:rStyle w:val="FootnoteReference"/>
          <w:rFonts w:asciiTheme="majorBidi" w:hAnsiTheme="majorBidi" w:cstheme="majorBidi"/>
          <w:lang w:val="en-US"/>
        </w:rPr>
        <w:footnoteReference w:id="54"/>
      </w:r>
    </w:p>
    <w:p w14:paraId="73C26A07" w14:textId="77777777" w:rsidR="008D372B" w:rsidRPr="00CB082F" w:rsidRDefault="008D372B" w:rsidP="001B6706">
      <w:pPr>
        <w:pStyle w:val="ListParagraph"/>
        <w:numPr>
          <w:ilvl w:val="0"/>
          <w:numId w:val="40"/>
        </w:numPr>
        <w:spacing w:line="276" w:lineRule="auto"/>
        <w:ind w:left="851" w:hanging="284"/>
        <w:jc w:val="both"/>
        <w:rPr>
          <w:rFonts w:asciiTheme="majorBidi" w:hAnsiTheme="majorBidi" w:cstheme="majorBidi"/>
          <w:lang w:val="en-US"/>
        </w:rPr>
      </w:pPr>
      <w:r w:rsidRPr="00CB082F">
        <w:rPr>
          <w:rFonts w:asciiTheme="majorBidi" w:hAnsiTheme="majorBidi" w:cstheme="majorBidi"/>
          <w:i/>
          <w:iCs/>
          <w:lang w:val="en-US"/>
        </w:rPr>
        <w:t xml:space="preserve">Negative Wettelijk </w:t>
      </w:r>
      <w:r w:rsidRPr="00CB082F">
        <w:rPr>
          <w:rFonts w:asciiTheme="majorBidi" w:hAnsiTheme="majorBidi" w:cstheme="majorBidi"/>
          <w:lang w:val="en-US"/>
        </w:rPr>
        <w:t>atau Sistem Pembuktian Berdasarkan Undang-Undang Secara Negatif.</w:t>
      </w:r>
    </w:p>
    <w:p w14:paraId="046A90FF" w14:textId="77777777" w:rsidR="008D372B" w:rsidRPr="00CB082F" w:rsidRDefault="008D372B" w:rsidP="001B6706">
      <w:pPr>
        <w:pStyle w:val="ListParagraph"/>
        <w:spacing w:line="276" w:lineRule="auto"/>
        <w:ind w:left="851" w:firstLine="283"/>
        <w:jc w:val="both"/>
        <w:rPr>
          <w:rFonts w:asciiTheme="majorBidi" w:hAnsiTheme="majorBidi" w:cstheme="majorBidi"/>
          <w:lang w:val="en-US"/>
        </w:rPr>
      </w:pPr>
      <w:r w:rsidRPr="00CB082F">
        <w:rPr>
          <w:rFonts w:asciiTheme="majorBidi" w:hAnsiTheme="majorBidi" w:cstheme="majorBidi"/>
          <w:lang w:val="en-US"/>
        </w:rPr>
        <w:t>Dalam sistem pembuktian berdasarkan undang-undang secara negatif, hakim hanya dapat menjatuhkan pidana jika terdapat sekurang-kurangnya dua alat bukti yang sah, serta memperoleh keyakinan bahwa suatu tindak pidana benar-benar terjadi dan terdakwalah yang bersalah melakukannya. Dalam</w:t>
      </w:r>
      <w:r>
        <w:rPr>
          <w:rFonts w:asciiTheme="majorBidi" w:hAnsiTheme="majorBidi" w:cstheme="majorBidi"/>
          <w:lang w:val="en-US"/>
        </w:rPr>
        <w:t xml:space="preserve"> hal ini </w:t>
      </w:r>
      <w:r w:rsidRPr="00CB082F">
        <w:rPr>
          <w:rFonts w:asciiTheme="majorBidi" w:hAnsiTheme="majorBidi" w:cstheme="majorBidi"/>
          <w:lang w:val="en-US"/>
        </w:rPr>
        <w:t xml:space="preserve">hakim tidak boleh menjatuhkan pidana kepada seseorang kecuali apabila dengan sekurang-kurangnya dua alat bukti yang sah ia memperoleh keyakinan bahwa suatu tindak pidana benar-benar terjadi dan bahwa terdakwalah yang bersalah melakukannya. Dengan demikian, sistem ini memerlukan adanya keyakinan hakim yang didapat dari </w:t>
      </w:r>
      <w:r w:rsidRPr="00CB082F">
        <w:rPr>
          <w:rFonts w:asciiTheme="majorBidi" w:hAnsiTheme="majorBidi" w:cstheme="majorBidi"/>
          <w:lang w:val="en-US"/>
        </w:rPr>
        <w:lastRenderedPageBreak/>
        <w:t>alat-alat bukti yang sah, serta memenuhi syarat-syarat yang ditetapkan dalam undang-undang.</w:t>
      </w:r>
      <w:r w:rsidRPr="00CB082F">
        <w:rPr>
          <w:rStyle w:val="FootnoteReference"/>
          <w:rFonts w:asciiTheme="majorBidi" w:hAnsiTheme="majorBidi" w:cstheme="majorBidi"/>
          <w:lang w:val="en-US"/>
        </w:rPr>
        <w:footnoteReference w:id="55"/>
      </w:r>
    </w:p>
    <w:p w14:paraId="07494342" w14:textId="77777777" w:rsidR="008D372B" w:rsidRPr="00CB082F" w:rsidRDefault="008D372B" w:rsidP="001B6706">
      <w:pPr>
        <w:pStyle w:val="ListParagraph"/>
        <w:numPr>
          <w:ilvl w:val="0"/>
          <w:numId w:val="14"/>
        </w:numPr>
        <w:spacing w:line="276" w:lineRule="auto"/>
        <w:ind w:left="567" w:hanging="283"/>
        <w:jc w:val="both"/>
        <w:rPr>
          <w:rFonts w:asciiTheme="majorBidi" w:hAnsiTheme="majorBidi" w:cstheme="majorBidi"/>
          <w:lang w:val="en-US"/>
        </w:rPr>
      </w:pPr>
      <w:r w:rsidRPr="00CB082F">
        <w:rPr>
          <w:rFonts w:asciiTheme="majorBidi" w:hAnsiTheme="majorBidi" w:cstheme="majorBidi"/>
          <w:lang w:val="en-US"/>
        </w:rPr>
        <w:t>Alat Bukti dalam Pembuktian Tindak Pidana menurut KUHAP</w:t>
      </w:r>
    </w:p>
    <w:p w14:paraId="20A5EC6E" w14:textId="77777777" w:rsidR="008D372B" w:rsidRPr="00CB082F" w:rsidRDefault="008D372B" w:rsidP="001B6706">
      <w:pPr>
        <w:pStyle w:val="ListParagraph"/>
        <w:spacing w:line="276" w:lineRule="auto"/>
        <w:ind w:left="567" w:firstLine="284"/>
        <w:jc w:val="both"/>
        <w:rPr>
          <w:rFonts w:asciiTheme="majorBidi" w:hAnsiTheme="majorBidi" w:cstheme="majorBidi"/>
          <w:lang w:val="en-US"/>
        </w:rPr>
      </w:pPr>
      <w:r w:rsidRPr="00CB082F">
        <w:rPr>
          <w:rFonts w:asciiTheme="majorBidi" w:hAnsiTheme="majorBidi" w:cstheme="majorBidi"/>
          <w:lang w:val="en-US"/>
        </w:rPr>
        <w:t>Alat Bukti merupakan segala hal yang terkait dengan peristiwa tertentu, yang mana bukti-bukti tersebut digunakan sebagai dasar untuk membentuk keyakinan hakim mengenai kebenaran dari peristiwa pidana yang dituduhkan kepada terdakwa.</w:t>
      </w:r>
      <w:r w:rsidRPr="00CB082F">
        <w:rPr>
          <w:rStyle w:val="FootnoteReference"/>
          <w:rFonts w:asciiTheme="majorBidi" w:hAnsiTheme="majorBidi" w:cstheme="majorBidi"/>
          <w:lang w:val="en-US"/>
        </w:rPr>
        <w:footnoteReference w:id="56"/>
      </w:r>
      <w:r w:rsidRPr="00CB082F">
        <w:rPr>
          <w:rFonts w:asciiTheme="majorBidi" w:hAnsiTheme="majorBidi" w:cstheme="majorBidi"/>
          <w:lang w:val="en-US"/>
        </w:rPr>
        <w:t xml:space="preserve"> </w:t>
      </w:r>
      <w:r w:rsidRPr="005632F1">
        <w:rPr>
          <w:rFonts w:asciiTheme="majorBidi" w:hAnsiTheme="majorBidi" w:cstheme="majorBidi"/>
        </w:rPr>
        <w:t>Pasal 184 ayat (1) KUHAP secara tegas membatasi jenis-jenis alat bukti yang dapat digunakan dalam proses peradilan pidana. Hanya alat bukti yang disebutkan dalam pasal tersebut yang memiliki kekuatan hukum untuk membuktikan suatu tindak pidana. Akibatnya, alat bukti di luar ketentuan pasal tersebut tidak dapat dijadikan dasar untuk menyatakan seseorang bersalah.</w:t>
      </w:r>
      <w:r>
        <w:rPr>
          <w:rFonts w:asciiTheme="majorBidi" w:hAnsiTheme="majorBidi" w:cstheme="majorBidi"/>
          <w:lang w:val="en-US"/>
        </w:rPr>
        <w:t xml:space="preserve"> </w:t>
      </w:r>
      <w:r w:rsidRPr="00CB082F">
        <w:rPr>
          <w:rFonts w:asciiTheme="majorBidi" w:hAnsiTheme="majorBidi" w:cstheme="majorBidi"/>
          <w:lang w:val="en-US"/>
        </w:rPr>
        <w:t xml:space="preserve">Penggunaan bukti yang tidak termasuk dalam kategori yang disebutkan dalam pasal 184 ayat (1) KUHAP dianggap tidak memiliki nilai dan tidak memiliki kekuatan pembuktian yang sah. Sesuai dengan pasal 184 ayat (1) KUHAP, </w:t>
      </w:r>
      <w:r>
        <w:rPr>
          <w:rFonts w:asciiTheme="majorBidi" w:hAnsiTheme="majorBidi" w:cstheme="majorBidi"/>
          <w:lang w:val="en-US"/>
        </w:rPr>
        <w:t>A</w:t>
      </w:r>
      <w:r w:rsidRPr="00CB082F">
        <w:rPr>
          <w:rFonts w:asciiTheme="majorBidi" w:hAnsiTheme="majorBidi" w:cstheme="majorBidi"/>
          <w:lang w:val="en-US"/>
        </w:rPr>
        <w:t>lat bukti yang diakui adalah:</w:t>
      </w:r>
      <w:r w:rsidRPr="00CB082F">
        <w:rPr>
          <w:rStyle w:val="FootnoteReference"/>
          <w:rFonts w:asciiTheme="majorBidi" w:hAnsiTheme="majorBidi" w:cstheme="majorBidi"/>
          <w:lang w:val="en-US"/>
        </w:rPr>
        <w:footnoteReference w:id="57"/>
      </w:r>
    </w:p>
    <w:p w14:paraId="186C0D4F" w14:textId="77777777" w:rsidR="008D372B" w:rsidRPr="00CB082F" w:rsidRDefault="008D372B" w:rsidP="001B6706">
      <w:pPr>
        <w:pStyle w:val="ListParagraph"/>
        <w:numPr>
          <w:ilvl w:val="0"/>
          <w:numId w:val="43"/>
        </w:numPr>
        <w:spacing w:line="276" w:lineRule="auto"/>
        <w:ind w:left="851" w:hanging="284"/>
        <w:jc w:val="both"/>
        <w:rPr>
          <w:rFonts w:asciiTheme="majorBidi" w:hAnsiTheme="majorBidi" w:cstheme="majorBidi"/>
          <w:lang w:val="en-US"/>
        </w:rPr>
      </w:pPr>
      <w:r w:rsidRPr="00CB082F">
        <w:rPr>
          <w:rFonts w:asciiTheme="majorBidi" w:hAnsiTheme="majorBidi" w:cstheme="majorBidi"/>
          <w:lang w:val="en-US"/>
        </w:rPr>
        <w:t>Keterangan saksi.</w:t>
      </w:r>
    </w:p>
    <w:p w14:paraId="04473EE8" w14:textId="77777777" w:rsidR="008D372B" w:rsidRPr="00CB082F" w:rsidRDefault="008D372B" w:rsidP="001B6706">
      <w:pPr>
        <w:pStyle w:val="ListParagraph"/>
        <w:numPr>
          <w:ilvl w:val="0"/>
          <w:numId w:val="43"/>
        </w:numPr>
        <w:spacing w:line="276" w:lineRule="auto"/>
        <w:ind w:left="851" w:hanging="284"/>
        <w:jc w:val="both"/>
        <w:rPr>
          <w:rFonts w:asciiTheme="majorBidi" w:hAnsiTheme="majorBidi" w:cstheme="majorBidi"/>
          <w:lang w:val="en-US"/>
        </w:rPr>
      </w:pPr>
      <w:r w:rsidRPr="00CB082F">
        <w:rPr>
          <w:rFonts w:asciiTheme="majorBidi" w:hAnsiTheme="majorBidi" w:cstheme="majorBidi"/>
          <w:lang w:val="en-US"/>
        </w:rPr>
        <w:t>Keterangan ahli.</w:t>
      </w:r>
    </w:p>
    <w:p w14:paraId="3C450E64" w14:textId="77777777" w:rsidR="008D372B" w:rsidRPr="00CB082F" w:rsidRDefault="008D372B" w:rsidP="001B6706">
      <w:pPr>
        <w:pStyle w:val="ListParagraph"/>
        <w:numPr>
          <w:ilvl w:val="0"/>
          <w:numId w:val="43"/>
        </w:numPr>
        <w:spacing w:line="276" w:lineRule="auto"/>
        <w:ind w:left="851" w:hanging="284"/>
        <w:jc w:val="both"/>
        <w:rPr>
          <w:rFonts w:asciiTheme="majorBidi" w:hAnsiTheme="majorBidi" w:cstheme="majorBidi"/>
          <w:lang w:val="en-US"/>
        </w:rPr>
      </w:pPr>
      <w:r w:rsidRPr="00CB082F">
        <w:rPr>
          <w:rFonts w:asciiTheme="majorBidi" w:hAnsiTheme="majorBidi" w:cstheme="majorBidi"/>
          <w:lang w:val="en-US"/>
        </w:rPr>
        <w:t>Surat.</w:t>
      </w:r>
    </w:p>
    <w:p w14:paraId="4045F070" w14:textId="77777777" w:rsidR="008D372B" w:rsidRPr="00CB082F" w:rsidRDefault="008D372B" w:rsidP="001B6706">
      <w:pPr>
        <w:pStyle w:val="ListParagraph"/>
        <w:numPr>
          <w:ilvl w:val="0"/>
          <w:numId w:val="43"/>
        </w:numPr>
        <w:spacing w:line="276" w:lineRule="auto"/>
        <w:ind w:left="851" w:hanging="284"/>
        <w:jc w:val="both"/>
        <w:rPr>
          <w:rFonts w:asciiTheme="majorBidi" w:hAnsiTheme="majorBidi" w:cstheme="majorBidi"/>
          <w:lang w:val="en-US"/>
        </w:rPr>
      </w:pPr>
      <w:r w:rsidRPr="00CB082F">
        <w:rPr>
          <w:rFonts w:asciiTheme="majorBidi" w:hAnsiTheme="majorBidi" w:cstheme="majorBidi"/>
          <w:lang w:val="en-US"/>
        </w:rPr>
        <w:t>Petunjuk.</w:t>
      </w:r>
    </w:p>
    <w:p w14:paraId="5625D7EC" w14:textId="77777777" w:rsidR="008D372B" w:rsidRPr="00CB082F" w:rsidRDefault="008D372B" w:rsidP="001B6706">
      <w:pPr>
        <w:pStyle w:val="ListParagraph"/>
        <w:numPr>
          <w:ilvl w:val="0"/>
          <w:numId w:val="43"/>
        </w:numPr>
        <w:spacing w:line="276" w:lineRule="auto"/>
        <w:ind w:left="851" w:hanging="284"/>
        <w:jc w:val="both"/>
        <w:rPr>
          <w:rFonts w:asciiTheme="majorBidi" w:hAnsiTheme="majorBidi" w:cstheme="majorBidi"/>
          <w:lang w:val="en-US"/>
        </w:rPr>
      </w:pPr>
      <w:r w:rsidRPr="00CB082F">
        <w:rPr>
          <w:rFonts w:asciiTheme="majorBidi" w:hAnsiTheme="majorBidi" w:cstheme="majorBidi"/>
          <w:lang w:val="en-US"/>
        </w:rPr>
        <w:t>Keterangan terdakwa.</w:t>
      </w:r>
    </w:p>
    <w:p w14:paraId="04D94D68" w14:textId="77777777" w:rsidR="008D372B" w:rsidRPr="00CB082F" w:rsidRDefault="008D372B" w:rsidP="001B6706">
      <w:pPr>
        <w:pStyle w:val="ListParagraph"/>
        <w:spacing w:line="276" w:lineRule="auto"/>
        <w:ind w:left="567" w:firstLine="284"/>
        <w:jc w:val="both"/>
        <w:rPr>
          <w:rFonts w:asciiTheme="majorBidi" w:hAnsiTheme="majorBidi" w:cstheme="majorBidi"/>
          <w:lang w:val="en-US"/>
        </w:rPr>
      </w:pPr>
      <w:r w:rsidRPr="00CB082F">
        <w:rPr>
          <w:rFonts w:asciiTheme="majorBidi" w:hAnsiTheme="majorBidi" w:cstheme="majorBidi"/>
          <w:lang w:val="en-US"/>
        </w:rPr>
        <w:lastRenderedPageBreak/>
        <w:t>Berdasarkan Pasal 184 ayat (1) KUHAP, uraian tentang alat-alat bukti adalah sebagai berikut:</w:t>
      </w:r>
      <w:r w:rsidRPr="00CB082F">
        <w:rPr>
          <w:rStyle w:val="FootnoteReference"/>
          <w:rFonts w:asciiTheme="majorBidi" w:hAnsiTheme="majorBidi" w:cstheme="majorBidi"/>
          <w:lang w:val="en-US"/>
        </w:rPr>
        <w:footnoteReference w:id="58"/>
      </w:r>
    </w:p>
    <w:p w14:paraId="55F55B4F" w14:textId="77777777" w:rsidR="001B6706" w:rsidRDefault="008D372B" w:rsidP="001B6706">
      <w:pPr>
        <w:pStyle w:val="ListParagraph"/>
        <w:numPr>
          <w:ilvl w:val="0"/>
          <w:numId w:val="44"/>
        </w:numPr>
        <w:spacing w:line="276" w:lineRule="auto"/>
        <w:ind w:left="1134" w:hanging="283"/>
        <w:jc w:val="both"/>
        <w:rPr>
          <w:rFonts w:asciiTheme="majorBidi" w:hAnsiTheme="majorBidi" w:cstheme="majorBidi"/>
          <w:lang w:val="en-US"/>
        </w:rPr>
      </w:pPr>
      <w:r w:rsidRPr="00CB082F">
        <w:rPr>
          <w:rFonts w:asciiTheme="majorBidi" w:hAnsiTheme="majorBidi" w:cstheme="majorBidi"/>
          <w:lang w:val="en-US"/>
        </w:rPr>
        <w:t xml:space="preserve">Keterangan Saksi </w:t>
      </w:r>
    </w:p>
    <w:p w14:paraId="581F5ED6" w14:textId="370BACEA" w:rsidR="008D372B" w:rsidRPr="001B6706" w:rsidRDefault="008D372B" w:rsidP="001B6706">
      <w:pPr>
        <w:pStyle w:val="ListParagraph"/>
        <w:spacing w:line="276" w:lineRule="auto"/>
        <w:ind w:left="1134" w:firstLine="284"/>
        <w:jc w:val="both"/>
        <w:rPr>
          <w:rFonts w:asciiTheme="majorBidi" w:hAnsiTheme="majorBidi" w:cstheme="majorBidi"/>
          <w:lang w:val="en-US"/>
        </w:rPr>
      </w:pPr>
      <w:r w:rsidRPr="001B6706">
        <w:rPr>
          <w:rFonts w:asciiTheme="majorBidi" w:hAnsiTheme="majorBidi" w:cstheme="majorBidi"/>
        </w:rPr>
        <w:t>Pasal 1 angka 27 KUHAP memberikan definisi umum mengenai keterangan saksi sebagai alat bukti dalam perkara pidana, yakni keterangan langsung dari seseorang yang menyaksikan suatu peristiwa pidana. Namun, Pasal 185 ayat (1) KUHAP memberikan batasan yang lebih spesifik, dengan menegaskan bahwa keterangan saksi yang memiliki kekuatan pembuktian adalah keterangan yang disampaikan langsung di persidangan</w:t>
      </w:r>
      <w:r w:rsidRPr="001B6706">
        <w:rPr>
          <w:rFonts w:asciiTheme="majorBidi" w:hAnsiTheme="majorBidi" w:cstheme="majorBidi"/>
          <w:lang w:val="en-US"/>
        </w:rPr>
        <w:t>.</w:t>
      </w:r>
      <w:r w:rsidRPr="00CB082F">
        <w:rPr>
          <w:rStyle w:val="FootnoteReference"/>
          <w:rFonts w:asciiTheme="majorBidi" w:hAnsiTheme="majorBidi" w:cstheme="majorBidi"/>
          <w:lang w:val="en-US"/>
        </w:rPr>
        <w:footnoteReference w:id="59"/>
      </w:r>
      <w:r w:rsidRPr="001B6706">
        <w:rPr>
          <w:rFonts w:asciiTheme="majorBidi" w:hAnsiTheme="majorBidi" w:cstheme="majorBidi"/>
          <w:lang w:val="en-US"/>
        </w:rPr>
        <w:t xml:space="preserve"> Oleh sebab itu,</w:t>
      </w:r>
      <w:r w:rsidRPr="00C45AD4">
        <w:t xml:space="preserve"> </w:t>
      </w:r>
      <w:r w:rsidR="003B0E85">
        <w:t>u</w:t>
      </w:r>
      <w:r w:rsidRPr="001B6706">
        <w:rPr>
          <w:rFonts w:asciiTheme="majorBidi" w:hAnsiTheme="majorBidi" w:cstheme="majorBidi"/>
        </w:rPr>
        <w:t>ntuk menjamin keabsahan keterangan saksi dalam proses peradilan pidana, terdapat sejumlah kriteria dan persyaratan yang harus dipenuhi, antara lain</w:t>
      </w:r>
      <w:r w:rsidRPr="001B6706">
        <w:rPr>
          <w:rFonts w:asciiTheme="majorBidi" w:hAnsiTheme="majorBidi" w:cstheme="majorBidi"/>
          <w:lang w:val="en-US"/>
        </w:rPr>
        <w:t>:</w:t>
      </w:r>
      <w:r w:rsidRPr="00CB082F">
        <w:rPr>
          <w:rStyle w:val="FootnoteReference"/>
          <w:rFonts w:asciiTheme="majorBidi" w:hAnsiTheme="majorBidi" w:cstheme="majorBidi"/>
          <w:lang w:val="en-US"/>
        </w:rPr>
        <w:footnoteReference w:id="60"/>
      </w:r>
      <w:r w:rsidRPr="001B6706">
        <w:rPr>
          <w:rFonts w:asciiTheme="majorBidi" w:hAnsiTheme="majorBidi" w:cstheme="majorBidi"/>
          <w:lang w:val="en-US"/>
        </w:rPr>
        <w:t xml:space="preserve"> </w:t>
      </w:r>
    </w:p>
    <w:p w14:paraId="4686127B" w14:textId="77777777" w:rsidR="008D372B" w:rsidRPr="00CB082F" w:rsidRDefault="008D372B" w:rsidP="001B6706">
      <w:pPr>
        <w:pStyle w:val="ListParagraph"/>
        <w:numPr>
          <w:ilvl w:val="0"/>
          <w:numId w:val="45"/>
        </w:numPr>
        <w:spacing w:line="276" w:lineRule="auto"/>
        <w:ind w:left="1418" w:hanging="283"/>
        <w:jc w:val="both"/>
        <w:rPr>
          <w:rFonts w:asciiTheme="majorBidi" w:hAnsiTheme="majorBidi" w:cstheme="majorBidi"/>
          <w:lang w:val="en-US"/>
        </w:rPr>
      </w:pPr>
      <w:r w:rsidRPr="00CB082F">
        <w:rPr>
          <w:rFonts w:asciiTheme="majorBidi" w:hAnsiTheme="majorBidi" w:cstheme="majorBidi"/>
          <w:lang w:val="en-US"/>
        </w:rPr>
        <w:t xml:space="preserve">Saksi diwajibkan untuk bersumpah sebelum memberikan keterangan; </w:t>
      </w:r>
    </w:p>
    <w:p w14:paraId="207FD140" w14:textId="77777777" w:rsidR="008D372B" w:rsidRPr="00CB082F" w:rsidRDefault="008D372B" w:rsidP="001B6706">
      <w:pPr>
        <w:pStyle w:val="ListParagraph"/>
        <w:numPr>
          <w:ilvl w:val="0"/>
          <w:numId w:val="45"/>
        </w:numPr>
        <w:spacing w:line="276" w:lineRule="auto"/>
        <w:ind w:left="1418" w:hanging="283"/>
        <w:jc w:val="both"/>
        <w:rPr>
          <w:rFonts w:asciiTheme="majorBidi" w:hAnsiTheme="majorBidi" w:cstheme="majorBidi"/>
          <w:lang w:val="en-US"/>
        </w:rPr>
      </w:pPr>
      <w:r w:rsidRPr="00CB082F">
        <w:rPr>
          <w:rFonts w:asciiTheme="majorBidi" w:hAnsiTheme="majorBidi" w:cstheme="majorBidi"/>
          <w:lang w:val="en-US"/>
        </w:rPr>
        <w:t xml:space="preserve">Keterangan yang diberikan harus berdasarkan pengalaman langsung saksi, termasuk apa yang mereka lihat, dengar, atau alami, serta harus dapat menjelaskan dasar pengetahuan mereka; </w:t>
      </w:r>
    </w:p>
    <w:p w14:paraId="628B528C" w14:textId="77777777" w:rsidR="008D372B" w:rsidRPr="00CB082F" w:rsidRDefault="008D372B" w:rsidP="001B6706">
      <w:pPr>
        <w:pStyle w:val="ListParagraph"/>
        <w:numPr>
          <w:ilvl w:val="0"/>
          <w:numId w:val="45"/>
        </w:numPr>
        <w:spacing w:line="276" w:lineRule="auto"/>
        <w:ind w:left="1418" w:hanging="283"/>
        <w:jc w:val="both"/>
        <w:rPr>
          <w:rFonts w:asciiTheme="majorBidi" w:hAnsiTheme="majorBidi" w:cstheme="majorBidi"/>
          <w:lang w:val="en-US"/>
        </w:rPr>
      </w:pPr>
      <w:r w:rsidRPr="00CB082F">
        <w:rPr>
          <w:rFonts w:asciiTheme="majorBidi" w:hAnsiTheme="majorBidi" w:cstheme="majorBidi"/>
          <w:lang w:val="en-US"/>
        </w:rPr>
        <w:t xml:space="preserve">Yang dianggap sebagai keterangan saksi yang sah adalah apa yang diungkapkan selama persidangan di pengadilan, sesuai dengan Pasal 185 ayat (1) KUHAP; </w:t>
      </w:r>
    </w:p>
    <w:p w14:paraId="15EABDF2" w14:textId="77777777" w:rsidR="008D372B" w:rsidRPr="00CB082F" w:rsidRDefault="008D372B" w:rsidP="001B6706">
      <w:pPr>
        <w:pStyle w:val="ListParagraph"/>
        <w:numPr>
          <w:ilvl w:val="0"/>
          <w:numId w:val="45"/>
        </w:numPr>
        <w:spacing w:line="276" w:lineRule="auto"/>
        <w:ind w:left="1418" w:hanging="283"/>
        <w:jc w:val="both"/>
        <w:rPr>
          <w:rFonts w:asciiTheme="majorBidi" w:hAnsiTheme="majorBidi" w:cstheme="majorBidi"/>
          <w:lang w:val="en-US"/>
        </w:rPr>
      </w:pPr>
      <w:r w:rsidRPr="00CB082F">
        <w:rPr>
          <w:rFonts w:asciiTheme="majorBidi" w:hAnsiTheme="majorBidi" w:cstheme="majorBidi"/>
          <w:lang w:val="en-US"/>
        </w:rPr>
        <w:lastRenderedPageBreak/>
        <w:t xml:space="preserve">Keterangan dari seorang saksi harus didukung oleh bukti lain yang diakui secara hukum, sebagaimana diatur dalam Pasal 185 ayat (2) dan (3) KUHAP; </w:t>
      </w:r>
    </w:p>
    <w:p w14:paraId="6985B4C5" w14:textId="77777777" w:rsidR="008D372B" w:rsidRPr="00CB082F" w:rsidRDefault="008D372B" w:rsidP="001B6706">
      <w:pPr>
        <w:pStyle w:val="ListParagraph"/>
        <w:numPr>
          <w:ilvl w:val="0"/>
          <w:numId w:val="45"/>
        </w:numPr>
        <w:spacing w:line="276" w:lineRule="auto"/>
        <w:ind w:left="1418" w:hanging="283"/>
        <w:jc w:val="both"/>
        <w:rPr>
          <w:rFonts w:asciiTheme="majorBidi" w:hAnsiTheme="majorBidi" w:cstheme="majorBidi"/>
          <w:lang w:val="en-US"/>
        </w:rPr>
      </w:pPr>
      <w:r w:rsidRPr="00CB082F">
        <w:rPr>
          <w:rFonts w:asciiTheme="majorBidi" w:hAnsiTheme="majorBidi" w:cstheme="majorBidi"/>
          <w:lang w:val="en-US"/>
        </w:rPr>
        <w:t xml:space="preserve">Kesaksian dari beberapa saksi yang masing-masing memberikan keterangan tentang suatu peristiwa atau kondisi dapat dianggap sebagai bukti yang sah jika kesaksian tersebut saling konsisten dan dapat membuktikan kejadian atau kondisi tertentu, seperti yang diatur dalam Pasal 185 ayat (4) dan (5) KUHAP. Pendapat umum atau asumsi yang hanya didasarkan pada pemikiran tidak dianggap sebagai keterangan saksi; </w:t>
      </w:r>
    </w:p>
    <w:p w14:paraId="4974CAD3" w14:textId="77777777" w:rsidR="008D372B" w:rsidRPr="00CB082F" w:rsidRDefault="008D372B" w:rsidP="001B6706">
      <w:pPr>
        <w:pStyle w:val="ListParagraph"/>
        <w:numPr>
          <w:ilvl w:val="0"/>
          <w:numId w:val="45"/>
        </w:numPr>
        <w:spacing w:line="276" w:lineRule="auto"/>
        <w:ind w:left="1418" w:hanging="283"/>
        <w:jc w:val="both"/>
        <w:rPr>
          <w:rFonts w:asciiTheme="majorBidi" w:hAnsiTheme="majorBidi" w:cstheme="majorBidi"/>
          <w:lang w:val="en-US"/>
        </w:rPr>
      </w:pPr>
      <w:r w:rsidRPr="00CB082F">
        <w:rPr>
          <w:rFonts w:asciiTheme="majorBidi" w:hAnsiTheme="majorBidi" w:cstheme="majorBidi"/>
        </w:rPr>
        <w:t xml:space="preserve">Kitab Undang-Undang Hukum Acara Pidana (KUHAP) tidak hanya mengatur sistem pembuktian, tetapi juga menyediakan panduan teknis untuk menilai keterangan saksi. Panduan ini tercantum dalam Pasal 185 ayat 6 berbunyi: </w:t>
      </w:r>
      <w:r w:rsidRPr="00CB082F">
        <w:rPr>
          <w:rStyle w:val="FootnoteReference"/>
          <w:rFonts w:asciiTheme="majorBidi" w:hAnsiTheme="majorBidi" w:cstheme="majorBidi"/>
        </w:rPr>
        <w:footnoteReference w:id="61"/>
      </w:r>
    </w:p>
    <w:p w14:paraId="2095D1A7" w14:textId="77777777" w:rsidR="008D372B" w:rsidRPr="00CB082F" w:rsidRDefault="008D372B" w:rsidP="005F5ED0">
      <w:pPr>
        <w:pStyle w:val="ListParagraph"/>
        <w:numPr>
          <w:ilvl w:val="0"/>
          <w:numId w:val="46"/>
        </w:numPr>
        <w:spacing w:line="276" w:lineRule="auto"/>
        <w:ind w:left="1701" w:hanging="283"/>
        <w:jc w:val="both"/>
        <w:rPr>
          <w:rFonts w:asciiTheme="majorBidi" w:hAnsiTheme="majorBidi" w:cstheme="majorBidi"/>
          <w:lang w:val="en-US"/>
        </w:rPr>
      </w:pPr>
      <w:r w:rsidRPr="00CB082F">
        <w:rPr>
          <w:rFonts w:asciiTheme="majorBidi" w:hAnsiTheme="majorBidi" w:cstheme="majorBidi"/>
          <w:lang w:val="en-US"/>
        </w:rPr>
        <w:t xml:space="preserve">Konsistensi antara keterangan satu saksi dengan saksi lainnya; </w:t>
      </w:r>
    </w:p>
    <w:p w14:paraId="2E98B4B5" w14:textId="77777777" w:rsidR="008D372B" w:rsidRPr="00CB082F" w:rsidRDefault="008D372B" w:rsidP="005F5ED0">
      <w:pPr>
        <w:pStyle w:val="ListParagraph"/>
        <w:numPr>
          <w:ilvl w:val="0"/>
          <w:numId w:val="46"/>
        </w:numPr>
        <w:spacing w:line="276" w:lineRule="auto"/>
        <w:ind w:left="1701" w:hanging="283"/>
        <w:jc w:val="both"/>
        <w:rPr>
          <w:rFonts w:asciiTheme="majorBidi" w:hAnsiTheme="majorBidi" w:cstheme="majorBidi"/>
          <w:lang w:val="en-US"/>
        </w:rPr>
      </w:pPr>
      <w:r w:rsidRPr="00CB082F">
        <w:rPr>
          <w:rFonts w:asciiTheme="majorBidi" w:hAnsiTheme="majorBidi" w:cstheme="majorBidi"/>
          <w:lang w:val="en-US"/>
        </w:rPr>
        <w:t xml:space="preserve">Konsistensi antara keterangan saksi dengan bukti lain; </w:t>
      </w:r>
    </w:p>
    <w:p w14:paraId="335950B5" w14:textId="77777777" w:rsidR="008D372B" w:rsidRPr="00CB082F" w:rsidRDefault="008D372B" w:rsidP="005F5ED0">
      <w:pPr>
        <w:pStyle w:val="ListParagraph"/>
        <w:numPr>
          <w:ilvl w:val="0"/>
          <w:numId w:val="46"/>
        </w:numPr>
        <w:spacing w:line="276" w:lineRule="auto"/>
        <w:ind w:left="1701" w:hanging="283"/>
        <w:jc w:val="both"/>
        <w:rPr>
          <w:rFonts w:asciiTheme="majorBidi" w:hAnsiTheme="majorBidi" w:cstheme="majorBidi"/>
          <w:lang w:val="en-US"/>
        </w:rPr>
      </w:pPr>
      <w:r w:rsidRPr="00CB082F">
        <w:rPr>
          <w:rFonts w:asciiTheme="majorBidi" w:hAnsiTheme="majorBidi" w:cstheme="majorBidi"/>
          <w:lang w:val="en-US"/>
        </w:rPr>
        <w:t xml:space="preserve">Alasan yang logis untuk saksi memberikan keterangan tertentu; </w:t>
      </w:r>
    </w:p>
    <w:p w14:paraId="0479F823" w14:textId="77777777" w:rsidR="008D372B" w:rsidRPr="00CB082F" w:rsidRDefault="008D372B" w:rsidP="005F5ED0">
      <w:pPr>
        <w:pStyle w:val="ListParagraph"/>
        <w:numPr>
          <w:ilvl w:val="0"/>
          <w:numId w:val="46"/>
        </w:numPr>
        <w:spacing w:line="276" w:lineRule="auto"/>
        <w:ind w:left="1701" w:hanging="283"/>
        <w:jc w:val="both"/>
        <w:rPr>
          <w:rFonts w:asciiTheme="majorBidi" w:hAnsiTheme="majorBidi" w:cstheme="majorBidi"/>
          <w:lang w:val="en-US"/>
        </w:rPr>
      </w:pPr>
      <w:r w:rsidRPr="00CB082F">
        <w:rPr>
          <w:rFonts w:asciiTheme="majorBidi" w:hAnsiTheme="majorBidi" w:cstheme="majorBidi"/>
          <w:lang w:val="en-US"/>
        </w:rPr>
        <w:t xml:space="preserve">Latar belakang dan moralitas saksi, serta faktor lain yang secara umum dapat mempengaruhi kepercayaan terhadap keterangan tersebut, sebagaimana diatur dalam Pasal 185 ayat (6) KUHAP. Oleh karena itu, menurut Pasal 185 ayat (7) KUHAP, keterangan dari saksi yang </w:t>
      </w:r>
      <w:r w:rsidRPr="00CB082F">
        <w:rPr>
          <w:rFonts w:asciiTheme="majorBidi" w:hAnsiTheme="majorBidi" w:cstheme="majorBidi"/>
          <w:lang w:val="en-US"/>
        </w:rPr>
        <w:lastRenderedPageBreak/>
        <w:t>tidak disumpah, meskipun konsisten, tidak dianggap sebagai bukti. Namun, jika keterangan tersebut konsisten dengan keterangan dari saksi yang disumpah, maka dapat digunakan sebagai tambahan bukti yang sah.</w:t>
      </w:r>
    </w:p>
    <w:p w14:paraId="56311C06" w14:textId="77777777" w:rsidR="008D372B" w:rsidRPr="00CB082F" w:rsidRDefault="008D372B" w:rsidP="005F5ED0">
      <w:pPr>
        <w:pStyle w:val="ListParagraph"/>
        <w:numPr>
          <w:ilvl w:val="0"/>
          <w:numId w:val="44"/>
        </w:numPr>
        <w:spacing w:line="276" w:lineRule="auto"/>
        <w:ind w:left="1134" w:hanging="283"/>
        <w:jc w:val="both"/>
        <w:rPr>
          <w:rFonts w:asciiTheme="majorBidi" w:hAnsiTheme="majorBidi" w:cstheme="majorBidi"/>
          <w:lang w:val="en-US"/>
        </w:rPr>
      </w:pPr>
      <w:r w:rsidRPr="00CB082F">
        <w:rPr>
          <w:rFonts w:asciiTheme="majorBidi" w:hAnsiTheme="majorBidi" w:cstheme="majorBidi"/>
          <w:lang w:val="en-US"/>
        </w:rPr>
        <w:t xml:space="preserve">Keterangan Ahli </w:t>
      </w:r>
    </w:p>
    <w:p w14:paraId="350CECB2" w14:textId="77777777" w:rsidR="008D372B" w:rsidRDefault="008D372B" w:rsidP="005F5ED0">
      <w:pPr>
        <w:pStyle w:val="ListParagraph"/>
        <w:spacing w:line="276" w:lineRule="auto"/>
        <w:ind w:left="1134" w:firstLine="284"/>
        <w:jc w:val="both"/>
        <w:rPr>
          <w:rFonts w:asciiTheme="majorBidi" w:hAnsiTheme="majorBidi" w:cstheme="majorBidi"/>
          <w:lang w:val="en-US"/>
        </w:rPr>
      </w:pPr>
      <w:r w:rsidRPr="00CB082F">
        <w:rPr>
          <w:rFonts w:asciiTheme="majorBidi" w:hAnsiTheme="majorBidi" w:cstheme="majorBidi"/>
          <w:lang w:val="en-US"/>
        </w:rPr>
        <w:t>Dalam proses peradilan pidana, keterangan yang diberikan oleh ahli dianggap sebagai bukti penting dan menempati posisi kedua dalam hierarki alat bukti menurut Pasal 183 Kitab Undang Undang Acara Pidana (KUHAP). Keterangan ahli ini sangat dibutuhkan untuk memberikan pandangan atau indikasi mengenai kebenaran suatu peristiwa pidana dari perspektif ilmiah.</w:t>
      </w:r>
      <w:r w:rsidRPr="00CB082F">
        <w:rPr>
          <w:rStyle w:val="FootnoteReference"/>
          <w:rFonts w:asciiTheme="majorBidi" w:hAnsiTheme="majorBidi" w:cstheme="majorBidi"/>
          <w:lang w:val="en-US"/>
        </w:rPr>
        <w:footnoteReference w:id="62"/>
      </w:r>
      <w:r w:rsidRPr="00E1177A">
        <w:t xml:space="preserve"> </w:t>
      </w:r>
      <w:r w:rsidRPr="00E1177A">
        <w:rPr>
          <w:rFonts w:asciiTheme="majorBidi" w:hAnsiTheme="majorBidi" w:cstheme="majorBidi"/>
        </w:rPr>
        <w:t>Definisi keterangan ahli sebagaimana tercantum dalam Pasal 1 angka 28 KUHAP adalah keterangan yang disampaikan oleh seorang ahli yang kompeten dalam bidang tertentu, dengan tujuan untuk memberikan penjelasan ilmiah atau teknis mengenai suatu peristiwa pidana yang sedang diperiksa</w:t>
      </w:r>
      <w:r w:rsidRPr="00CB082F">
        <w:rPr>
          <w:rFonts w:asciiTheme="majorBidi" w:hAnsiTheme="majorBidi" w:cstheme="majorBidi"/>
          <w:lang w:val="en-US"/>
        </w:rPr>
        <w:t>.</w:t>
      </w:r>
      <w:r w:rsidRPr="00CB082F">
        <w:rPr>
          <w:rStyle w:val="FootnoteReference"/>
          <w:rFonts w:asciiTheme="majorBidi" w:hAnsiTheme="majorBidi" w:cstheme="majorBidi"/>
          <w:lang w:val="en-US"/>
        </w:rPr>
        <w:footnoteReference w:id="63"/>
      </w:r>
    </w:p>
    <w:p w14:paraId="4BE12C53" w14:textId="77777777" w:rsidR="008D372B" w:rsidRPr="008B7DCF" w:rsidRDefault="008D372B" w:rsidP="005F5ED0">
      <w:pPr>
        <w:pStyle w:val="ListParagraph"/>
        <w:spacing w:line="276" w:lineRule="auto"/>
        <w:ind w:left="1134" w:firstLine="284"/>
        <w:jc w:val="both"/>
        <w:rPr>
          <w:rFonts w:asciiTheme="majorBidi" w:hAnsiTheme="majorBidi" w:cstheme="majorBidi"/>
          <w:lang w:val="en-US"/>
        </w:rPr>
      </w:pPr>
      <w:r w:rsidRPr="008B7DCF">
        <w:rPr>
          <w:rFonts w:asciiTheme="majorBidi" w:hAnsiTheme="majorBidi" w:cstheme="majorBidi"/>
        </w:rPr>
        <w:t xml:space="preserve">Pasal 186 KUHAP mensyaratkan bahwa keterangan ahli yang memiliki kekuatan pembuktian adalah keterangan yang disampaikan secara langsung di persidangan. Akan tetapi, penjelasan pasal 186 KUHAP memberikan pengecualian, yakni keterangan ahli dapat diberikan pada tahap penyidikan dan dituangkan dalam bentuk laporan. Apabila keterangan ahli belum diberikan pada tahap penyidikan, maka </w:t>
      </w:r>
      <w:r w:rsidRPr="008B7DCF">
        <w:rPr>
          <w:rFonts w:asciiTheme="majorBidi" w:hAnsiTheme="majorBidi" w:cstheme="majorBidi"/>
        </w:rPr>
        <w:lastRenderedPageBreak/>
        <w:t>pemberian keterangan dilakukan di persidangan dan dicatat dalam Berita Acara Pemeriksaan (BAP)</w:t>
      </w:r>
      <w:r w:rsidRPr="008B7DCF">
        <w:rPr>
          <w:rFonts w:asciiTheme="majorBidi" w:hAnsiTheme="majorBidi" w:cstheme="majorBidi"/>
          <w:lang w:val="en-US"/>
        </w:rPr>
        <w:t>.</w:t>
      </w:r>
      <w:r w:rsidRPr="00CB082F">
        <w:rPr>
          <w:rStyle w:val="FootnoteReference"/>
          <w:rFonts w:asciiTheme="majorBidi" w:hAnsiTheme="majorBidi" w:cstheme="majorBidi"/>
          <w:lang w:val="en-US"/>
        </w:rPr>
        <w:footnoteReference w:id="64"/>
      </w:r>
    </w:p>
    <w:p w14:paraId="186E46D1" w14:textId="77777777" w:rsidR="008D372B" w:rsidRPr="00CB082F" w:rsidRDefault="008D372B" w:rsidP="005F5ED0">
      <w:pPr>
        <w:pStyle w:val="ListParagraph"/>
        <w:numPr>
          <w:ilvl w:val="0"/>
          <w:numId w:val="44"/>
        </w:numPr>
        <w:spacing w:line="276" w:lineRule="auto"/>
        <w:ind w:left="1134" w:hanging="283"/>
        <w:jc w:val="both"/>
        <w:rPr>
          <w:rFonts w:asciiTheme="majorBidi" w:hAnsiTheme="majorBidi" w:cstheme="majorBidi"/>
          <w:lang w:val="en-US"/>
        </w:rPr>
      </w:pPr>
      <w:r w:rsidRPr="00CB082F">
        <w:rPr>
          <w:rFonts w:asciiTheme="majorBidi" w:hAnsiTheme="majorBidi" w:cstheme="majorBidi"/>
          <w:lang w:val="en-US"/>
        </w:rPr>
        <w:t xml:space="preserve">Surat </w:t>
      </w:r>
    </w:p>
    <w:p w14:paraId="599F9185" w14:textId="77777777" w:rsidR="008D372B" w:rsidRPr="00CB082F" w:rsidRDefault="008D372B" w:rsidP="005F5ED0">
      <w:pPr>
        <w:pStyle w:val="ListParagraph"/>
        <w:spacing w:line="276" w:lineRule="auto"/>
        <w:ind w:left="1134" w:firstLine="284"/>
        <w:jc w:val="both"/>
        <w:rPr>
          <w:rFonts w:asciiTheme="majorBidi" w:hAnsiTheme="majorBidi" w:cstheme="majorBidi"/>
          <w:lang w:val="en-US"/>
        </w:rPr>
      </w:pPr>
      <w:r w:rsidRPr="00CB082F">
        <w:rPr>
          <w:rFonts w:asciiTheme="majorBidi" w:hAnsiTheme="majorBidi" w:cstheme="majorBidi"/>
          <w:lang w:val="en-US"/>
        </w:rPr>
        <w:t xml:space="preserve">Surat merupakan salah satu jenis alat bukti yang diakui dan diatur dalam Pasal 187 KUHAP, yang menempatkannya pada urutan ketiga. Dalam pasal 187 </w:t>
      </w:r>
      <w:r>
        <w:rPr>
          <w:rFonts w:asciiTheme="majorBidi" w:hAnsiTheme="majorBidi" w:cstheme="majorBidi"/>
          <w:lang w:val="en-US"/>
        </w:rPr>
        <w:t xml:space="preserve">KUHAP </w:t>
      </w:r>
      <w:r w:rsidRPr="00CB082F">
        <w:rPr>
          <w:rFonts w:asciiTheme="majorBidi" w:hAnsiTheme="majorBidi" w:cstheme="majorBidi"/>
          <w:lang w:val="en-US"/>
        </w:rPr>
        <w:t>menguraikan empat jenis surat sebagai berikut:</w:t>
      </w:r>
      <w:r w:rsidRPr="00CB082F">
        <w:rPr>
          <w:rStyle w:val="FootnoteReference"/>
          <w:rFonts w:asciiTheme="majorBidi" w:hAnsiTheme="majorBidi" w:cstheme="majorBidi"/>
          <w:lang w:val="en-US"/>
        </w:rPr>
        <w:footnoteReference w:id="65"/>
      </w:r>
    </w:p>
    <w:p w14:paraId="599E9419" w14:textId="77777777" w:rsidR="008D372B" w:rsidRPr="00CB082F" w:rsidRDefault="008D372B" w:rsidP="005F5ED0">
      <w:pPr>
        <w:pStyle w:val="ListParagraph"/>
        <w:numPr>
          <w:ilvl w:val="0"/>
          <w:numId w:val="47"/>
        </w:numPr>
        <w:spacing w:line="276" w:lineRule="auto"/>
        <w:ind w:left="1418" w:hanging="284"/>
        <w:jc w:val="both"/>
        <w:rPr>
          <w:rFonts w:asciiTheme="majorBidi" w:hAnsiTheme="majorBidi" w:cstheme="majorBidi"/>
          <w:lang w:val="en-US"/>
        </w:rPr>
      </w:pPr>
      <w:r w:rsidRPr="00CB082F">
        <w:rPr>
          <w:rFonts w:asciiTheme="majorBidi" w:hAnsiTheme="majorBidi" w:cstheme="majorBidi"/>
          <w:lang w:val="en-US"/>
        </w:rPr>
        <w:t xml:space="preserve">Berita acara dan dokumen resmi lainnya yang dibuat oleh atau di depan pejabat yang memiliki wewenang, yang mencatat peristiwa atau kondisi yang disaksikan atau dialami langsung oleh pejabat tersebut, dengan penjelasan yang rinci dan tegas atas keterangan yang diberikan; </w:t>
      </w:r>
    </w:p>
    <w:p w14:paraId="33A47BCB" w14:textId="77777777" w:rsidR="008D372B" w:rsidRPr="00CB082F" w:rsidRDefault="008D372B" w:rsidP="005F5ED0">
      <w:pPr>
        <w:pStyle w:val="ListParagraph"/>
        <w:numPr>
          <w:ilvl w:val="0"/>
          <w:numId w:val="47"/>
        </w:numPr>
        <w:spacing w:line="276" w:lineRule="auto"/>
        <w:ind w:left="1418" w:hanging="284"/>
        <w:jc w:val="both"/>
        <w:rPr>
          <w:rFonts w:asciiTheme="majorBidi" w:hAnsiTheme="majorBidi" w:cstheme="majorBidi"/>
          <w:lang w:val="en-US"/>
        </w:rPr>
      </w:pPr>
      <w:r w:rsidRPr="00CB082F">
        <w:rPr>
          <w:rFonts w:asciiTheme="majorBidi" w:hAnsiTheme="majorBidi" w:cstheme="majorBidi"/>
          <w:lang w:val="en-US"/>
        </w:rPr>
        <w:t xml:space="preserve">Dokumen yang disusun sesuai dengan peraturan hukum yang berlaku atau yang dibuat oleh pejabat terkait dengan urusan yang menjadi kewenangannya, yang ditujukan untuk membuktikan suatu peristiwa atau kondisi tertentu; </w:t>
      </w:r>
    </w:p>
    <w:p w14:paraId="482DE620" w14:textId="77777777" w:rsidR="008D372B" w:rsidRPr="00CB082F" w:rsidRDefault="008D372B" w:rsidP="005F5ED0">
      <w:pPr>
        <w:pStyle w:val="ListParagraph"/>
        <w:numPr>
          <w:ilvl w:val="0"/>
          <w:numId w:val="47"/>
        </w:numPr>
        <w:spacing w:line="276" w:lineRule="auto"/>
        <w:ind w:left="1418" w:hanging="284"/>
        <w:jc w:val="both"/>
        <w:rPr>
          <w:rFonts w:asciiTheme="majorBidi" w:hAnsiTheme="majorBidi" w:cstheme="majorBidi"/>
          <w:lang w:val="en-US"/>
        </w:rPr>
      </w:pPr>
      <w:r w:rsidRPr="00CB082F">
        <w:rPr>
          <w:rFonts w:asciiTheme="majorBidi" w:hAnsiTheme="majorBidi" w:cstheme="majorBidi"/>
          <w:lang w:val="en-US"/>
        </w:rPr>
        <w:t xml:space="preserve">Keterangan tertulis dari seorang pakar atau ahli yang memberikan pandangan berdasarkan keahliannya tentang suatu peristiwa atau kondisi tertentu, yang diminta secara resmi oleh yang berkepentingan; </w:t>
      </w:r>
    </w:p>
    <w:p w14:paraId="23E22920" w14:textId="77777777" w:rsidR="008D372B" w:rsidRPr="00CB082F" w:rsidRDefault="008D372B" w:rsidP="005F5ED0">
      <w:pPr>
        <w:pStyle w:val="ListParagraph"/>
        <w:numPr>
          <w:ilvl w:val="0"/>
          <w:numId w:val="47"/>
        </w:numPr>
        <w:spacing w:line="276" w:lineRule="auto"/>
        <w:ind w:left="1418" w:hanging="284"/>
        <w:jc w:val="both"/>
        <w:rPr>
          <w:rFonts w:asciiTheme="majorBidi" w:hAnsiTheme="majorBidi" w:cstheme="majorBidi"/>
          <w:lang w:val="en-US"/>
        </w:rPr>
      </w:pPr>
      <w:r w:rsidRPr="00CB082F">
        <w:rPr>
          <w:rFonts w:asciiTheme="majorBidi" w:hAnsiTheme="majorBidi" w:cstheme="majorBidi"/>
          <w:lang w:val="en-US"/>
        </w:rPr>
        <w:lastRenderedPageBreak/>
        <w:t xml:space="preserve">Dokumen lain yang hanya memiliki nilai pembuktian jika terkait dengan bukti lain yang ada. </w:t>
      </w:r>
    </w:p>
    <w:p w14:paraId="36507FC0" w14:textId="77777777" w:rsidR="008D372B" w:rsidRPr="00CB082F" w:rsidRDefault="008D372B" w:rsidP="005F5ED0">
      <w:pPr>
        <w:pStyle w:val="ListParagraph"/>
        <w:numPr>
          <w:ilvl w:val="0"/>
          <w:numId w:val="44"/>
        </w:numPr>
        <w:spacing w:line="276" w:lineRule="auto"/>
        <w:ind w:left="1134" w:hanging="283"/>
        <w:jc w:val="both"/>
        <w:rPr>
          <w:rFonts w:asciiTheme="majorBidi" w:hAnsiTheme="majorBidi" w:cstheme="majorBidi"/>
          <w:lang w:val="en-US"/>
        </w:rPr>
      </w:pPr>
      <w:r w:rsidRPr="00CB082F">
        <w:rPr>
          <w:rFonts w:asciiTheme="majorBidi" w:hAnsiTheme="majorBidi" w:cstheme="majorBidi"/>
          <w:lang w:val="en-US"/>
        </w:rPr>
        <w:t>Petunjuk</w:t>
      </w:r>
    </w:p>
    <w:p w14:paraId="4941BB65" w14:textId="77777777" w:rsidR="008D372B" w:rsidRPr="00CB082F" w:rsidRDefault="008D372B" w:rsidP="005F5ED0">
      <w:pPr>
        <w:pStyle w:val="ListParagraph"/>
        <w:spacing w:line="276" w:lineRule="auto"/>
        <w:ind w:left="1134" w:firstLine="284"/>
        <w:jc w:val="both"/>
        <w:rPr>
          <w:rFonts w:asciiTheme="majorBidi" w:hAnsiTheme="majorBidi" w:cstheme="majorBidi"/>
          <w:lang w:val="en-US"/>
        </w:rPr>
      </w:pPr>
      <w:r w:rsidRPr="00CB082F">
        <w:rPr>
          <w:rFonts w:asciiTheme="majorBidi" w:hAnsiTheme="majorBidi" w:cstheme="majorBidi"/>
          <w:lang w:val="en-US"/>
        </w:rPr>
        <w:t>Menurut Pasal 184 ayat (1) KUHAP,  petunjuk berada pada tingkatan keempat dalam hierarki alat bukti. Definisi dan penggunaan petunjuk diatur secara spesifik dalam Pasal 188 KUHAP,</w:t>
      </w:r>
      <w:r w:rsidRPr="00CE75CE">
        <w:t xml:space="preserve"> </w:t>
      </w:r>
      <w:r w:rsidRPr="00CE75CE">
        <w:rPr>
          <w:rFonts w:asciiTheme="majorBidi" w:hAnsiTheme="majorBidi" w:cstheme="majorBidi"/>
        </w:rPr>
        <w:t>Petunjuk merupakan suatu indikator yang diperoleh dari peristiwa, kondisi, atau tindakan yang saling terkait, sehingga dapat menyimpulkan terjadinya suatu tindak pidana dan mengidentifikasi pelakunya. Korelasi antara berbagai elemen petunjuk ini menjadi kunci dalam proses penyelidikan.</w:t>
      </w:r>
      <w:r w:rsidRPr="00CB082F">
        <w:rPr>
          <w:rStyle w:val="FootnoteReference"/>
          <w:rFonts w:asciiTheme="majorBidi" w:hAnsiTheme="majorBidi" w:cstheme="majorBidi"/>
          <w:lang w:val="en-US"/>
        </w:rPr>
        <w:footnoteReference w:id="66"/>
      </w:r>
    </w:p>
    <w:p w14:paraId="79BEF8F0" w14:textId="1DBC5554" w:rsidR="008D372B" w:rsidRPr="00CB082F" w:rsidRDefault="008D372B" w:rsidP="005F5ED0">
      <w:pPr>
        <w:pStyle w:val="ListParagraph"/>
        <w:spacing w:line="276" w:lineRule="auto"/>
        <w:ind w:left="1134" w:firstLine="284"/>
        <w:jc w:val="both"/>
        <w:rPr>
          <w:rFonts w:asciiTheme="majorBidi" w:hAnsiTheme="majorBidi" w:cstheme="majorBidi"/>
          <w:lang w:val="en-US"/>
        </w:rPr>
      </w:pPr>
      <w:r w:rsidRPr="00CB082F">
        <w:rPr>
          <w:rFonts w:asciiTheme="majorBidi" w:hAnsiTheme="majorBidi" w:cstheme="majorBidi"/>
        </w:rPr>
        <w:t>Petunjuk sebagai alat bukti sebagaimana dimaksud diatas hanya dapat diperoleh melalui tiga sumber, yaitu: 1) keterangan saksi, 2) surat, dan 3) keterangan terdakwa.</w:t>
      </w:r>
      <w:r w:rsidRPr="00CB082F">
        <w:rPr>
          <w:rStyle w:val="FootnoteReference"/>
          <w:rFonts w:asciiTheme="majorBidi" w:hAnsiTheme="majorBidi" w:cstheme="majorBidi"/>
        </w:rPr>
        <w:footnoteReference w:id="67"/>
      </w:r>
      <w:r w:rsidRPr="00CB082F">
        <w:rPr>
          <w:rFonts w:asciiTheme="majorBidi" w:hAnsiTheme="majorBidi" w:cstheme="majorBidi"/>
        </w:rPr>
        <w:t xml:space="preserve"> </w:t>
      </w:r>
      <w:r w:rsidRPr="00CB082F">
        <w:rPr>
          <w:rFonts w:asciiTheme="majorBidi" w:hAnsiTheme="majorBidi" w:cstheme="majorBidi"/>
          <w:lang w:val="en-US"/>
        </w:rPr>
        <w:t xml:space="preserve">Terkait dengan kekuatan pembuktian alat bukti petunjuk, alat bukti ini memiliki sifat dan kekuatan yang mirip dengan alat bukti lainnya. Namun, kekuatan pembuktiannya bersifat </w:t>
      </w:r>
      <w:r>
        <w:rPr>
          <w:rFonts w:asciiTheme="majorBidi" w:hAnsiTheme="majorBidi" w:cstheme="majorBidi"/>
          <w:lang w:val="en-US"/>
        </w:rPr>
        <w:t>“</w:t>
      </w:r>
      <w:r w:rsidRPr="00CB082F">
        <w:rPr>
          <w:rFonts w:asciiTheme="majorBidi" w:hAnsiTheme="majorBidi" w:cstheme="majorBidi"/>
          <w:lang w:val="en-US"/>
        </w:rPr>
        <w:t>bebas</w:t>
      </w:r>
      <w:r>
        <w:rPr>
          <w:rFonts w:asciiTheme="majorBidi" w:hAnsiTheme="majorBidi" w:cstheme="majorBidi"/>
          <w:lang w:val="en-US"/>
        </w:rPr>
        <w:t>”</w:t>
      </w:r>
      <w:r w:rsidRPr="00CB082F">
        <w:rPr>
          <w:rFonts w:asciiTheme="majorBidi" w:hAnsiTheme="majorBidi" w:cstheme="majorBidi"/>
          <w:lang w:val="en-US"/>
        </w:rPr>
        <w:t xml:space="preserve">, yang berarti: a) Hakim tidak terikat oleh kebenaran yang dihasilkan dari persesuaian petunjuk. Oleh karena itu, hakim memiliki kebebasan untuk menilai dan menggunakan petunjuk sebagai upaya pembuktian. b) Petunjuk sebagai alat bukti tidak dapat berdiri sendiri untuk membuktikan kesalahan terdakwa. Alat bukti petunjuk tetap harus mematuhi prinsip batas minimum pembuktian. Oleh karena itu, </w:t>
      </w:r>
      <w:r w:rsidRPr="00CB082F">
        <w:rPr>
          <w:rFonts w:asciiTheme="majorBidi" w:hAnsiTheme="majorBidi" w:cstheme="majorBidi"/>
          <w:lang w:val="en-US"/>
        </w:rPr>
        <w:lastRenderedPageBreak/>
        <w:t>petunjuk harus didukung oleh setidaknya satu alat bukti lain.</w:t>
      </w:r>
      <w:r w:rsidRPr="00CB082F">
        <w:rPr>
          <w:rStyle w:val="FootnoteReference"/>
          <w:rFonts w:asciiTheme="majorBidi" w:hAnsiTheme="majorBidi" w:cstheme="majorBidi"/>
          <w:lang w:val="en-US"/>
        </w:rPr>
        <w:footnoteReference w:id="68"/>
      </w:r>
    </w:p>
    <w:p w14:paraId="2E611AEE" w14:textId="77777777" w:rsidR="008D372B" w:rsidRPr="00CB082F" w:rsidRDefault="008D372B" w:rsidP="005F5ED0">
      <w:pPr>
        <w:pStyle w:val="ListParagraph"/>
        <w:numPr>
          <w:ilvl w:val="0"/>
          <w:numId w:val="44"/>
        </w:numPr>
        <w:spacing w:line="276" w:lineRule="auto"/>
        <w:ind w:left="1134" w:hanging="283"/>
        <w:jc w:val="both"/>
        <w:rPr>
          <w:rFonts w:asciiTheme="majorBidi" w:hAnsiTheme="majorBidi" w:cstheme="majorBidi"/>
          <w:lang w:val="en-US"/>
        </w:rPr>
      </w:pPr>
      <w:r w:rsidRPr="00CB082F">
        <w:rPr>
          <w:rFonts w:asciiTheme="majorBidi" w:hAnsiTheme="majorBidi" w:cstheme="majorBidi"/>
          <w:lang w:val="en-US"/>
        </w:rPr>
        <w:t>Keterangan Terdakwa</w:t>
      </w:r>
    </w:p>
    <w:p w14:paraId="5E52ED28" w14:textId="77777777" w:rsidR="008D372B" w:rsidRPr="00CB082F" w:rsidRDefault="008D372B" w:rsidP="005F5ED0">
      <w:pPr>
        <w:pStyle w:val="ListParagraph"/>
        <w:spacing w:line="276" w:lineRule="auto"/>
        <w:ind w:left="1134" w:firstLine="284"/>
        <w:jc w:val="both"/>
        <w:rPr>
          <w:rFonts w:asciiTheme="majorBidi" w:hAnsiTheme="majorBidi" w:cstheme="majorBidi"/>
          <w:lang w:val="en-US"/>
        </w:rPr>
      </w:pPr>
      <w:r w:rsidRPr="00CB082F">
        <w:rPr>
          <w:rFonts w:asciiTheme="majorBidi" w:hAnsiTheme="majorBidi" w:cstheme="majorBidi"/>
          <w:lang w:val="en-US"/>
        </w:rPr>
        <w:t>Keterangan terdakwa sebagaimana diatur dalam Pasal 184 huruf e KUHAP, merupakan salah satu bentuk alat bukti yang sah. Dalam KUHAP menegaskan bahwa keterangan terdakwa tidak harus berupa pengakuan dan semua jenis keterangan, termasuk penyangkalan atau pengakuan sebagian, harus dipertimbangkan. Keterangan terdakwa memiliki cakupan yang lebih luas dari pada sekadar pengakuan karena segala sesuatu yang diungkapkan oleh terdakwa, meskipun bukan pengakuan kesalahan, tetap dianggap sebagai alat bukti yang valid.</w:t>
      </w:r>
      <w:r w:rsidRPr="00CB082F">
        <w:rPr>
          <w:rStyle w:val="FootnoteReference"/>
          <w:rFonts w:asciiTheme="majorBidi" w:hAnsiTheme="majorBidi" w:cstheme="majorBidi"/>
          <w:lang w:val="en-US"/>
        </w:rPr>
        <w:footnoteReference w:id="69"/>
      </w:r>
      <w:r w:rsidRPr="00CB082F">
        <w:rPr>
          <w:rFonts w:asciiTheme="majorBidi" w:hAnsiTheme="majorBidi" w:cstheme="majorBidi"/>
          <w:lang w:val="en-US"/>
        </w:rPr>
        <w:t xml:space="preserve"> </w:t>
      </w:r>
    </w:p>
    <w:p w14:paraId="2E61096C" w14:textId="77777777" w:rsidR="008D372B" w:rsidRPr="00CB082F" w:rsidRDefault="008D372B" w:rsidP="005F5ED0">
      <w:pPr>
        <w:pStyle w:val="ListParagraph"/>
        <w:spacing w:line="276" w:lineRule="auto"/>
        <w:ind w:left="1134" w:firstLine="284"/>
        <w:jc w:val="both"/>
        <w:rPr>
          <w:rFonts w:asciiTheme="majorBidi" w:hAnsiTheme="majorBidi" w:cstheme="majorBidi"/>
          <w:lang w:val="en-US"/>
        </w:rPr>
      </w:pPr>
      <w:r w:rsidRPr="00CB082F">
        <w:rPr>
          <w:rFonts w:asciiTheme="majorBidi" w:hAnsiTheme="majorBidi" w:cstheme="majorBidi"/>
          <w:lang w:val="en-US"/>
        </w:rPr>
        <w:t>Proses pembuktian dalam perkara pidana menurut KUHAP tidak bertujuan untuk memaksa terdakwa mengakui kesalahannya. Oleh sebab itu, di dalam Pasal 189 KUHAP secara spesifik mengatur tentang keterangan terdakwa sebagai berikut:</w:t>
      </w:r>
      <w:r w:rsidRPr="00CB082F">
        <w:rPr>
          <w:rStyle w:val="FootnoteReference"/>
          <w:rFonts w:asciiTheme="majorBidi" w:hAnsiTheme="majorBidi" w:cstheme="majorBidi"/>
          <w:lang w:val="en-US"/>
        </w:rPr>
        <w:footnoteReference w:id="70"/>
      </w:r>
      <w:r w:rsidRPr="00CB082F">
        <w:rPr>
          <w:rFonts w:asciiTheme="majorBidi" w:hAnsiTheme="majorBidi" w:cstheme="majorBidi"/>
          <w:lang w:val="en-US"/>
        </w:rPr>
        <w:t xml:space="preserve"> </w:t>
      </w:r>
    </w:p>
    <w:p w14:paraId="5BB351AB" w14:textId="77777777" w:rsidR="008D372B" w:rsidRPr="00CB082F" w:rsidRDefault="008D372B" w:rsidP="005F5ED0">
      <w:pPr>
        <w:pStyle w:val="ListParagraph"/>
        <w:numPr>
          <w:ilvl w:val="0"/>
          <w:numId w:val="48"/>
        </w:numPr>
        <w:spacing w:line="276" w:lineRule="auto"/>
        <w:ind w:left="1418" w:hanging="284"/>
        <w:jc w:val="both"/>
        <w:rPr>
          <w:rFonts w:asciiTheme="majorBidi" w:hAnsiTheme="majorBidi" w:cstheme="majorBidi"/>
          <w:lang w:val="en-US"/>
        </w:rPr>
      </w:pPr>
      <w:r w:rsidRPr="00CB082F">
        <w:rPr>
          <w:rFonts w:asciiTheme="majorBidi" w:hAnsiTheme="majorBidi" w:cstheme="majorBidi"/>
          <w:lang w:val="en-US"/>
        </w:rPr>
        <w:t xml:space="preserve">Keterangan terdakwa adalah pernyataan yang dibuat oleh terdakwa di pengadilan mengenai tindakan yang dilakukannya atau yang ia ketahui atau alami secara pribadi. </w:t>
      </w:r>
    </w:p>
    <w:p w14:paraId="0950FA5F" w14:textId="77777777" w:rsidR="008D372B" w:rsidRPr="00CB082F" w:rsidRDefault="008D372B" w:rsidP="005F5ED0">
      <w:pPr>
        <w:pStyle w:val="ListParagraph"/>
        <w:numPr>
          <w:ilvl w:val="0"/>
          <w:numId w:val="48"/>
        </w:numPr>
        <w:spacing w:line="276" w:lineRule="auto"/>
        <w:ind w:left="1418" w:hanging="284"/>
        <w:jc w:val="both"/>
        <w:rPr>
          <w:rFonts w:asciiTheme="majorBidi" w:hAnsiTheme="majorBidi" w:cstheme="majorBidi"/>
          <w:lang w:val="en-US"/>
        </w:rPr>
      </w:pPr>
      <w:r w:rsidRPr="00CB082F">
        <w:rPr>
          <w:rFonts w:asciiTheme="majorBidi" w:hAnsiTheme="majorBidi" w:cstheme="majorBidi"/>
          <w:lang w:val="en-US"/>
        </w:rPr>
        <w:t xml:space="preserve">Keterangan yang diberikan oleh terdakwa di luar pengadilan dapat digunakan sebagai bantuan </w:t>
      </w:r>
      <w:r w:rsidRPr="00CB082F">
        <w:rPr>
          <w:rFonts w:asciiTheme="majorBidi" w:hAnsiTheme="majorBidi" w:cstheme="majorBidi"/>
          <w:lang w:val="en-US"/>
        </w:rPr>
        <w:lastRenderedPageBreak/>
        <w:t xml:space="preserve">dalam mencari bukti selama persidangan, asalkan didukung oleh alat bukti yang sah terkait dengan dakwaan yang dihadapinya. </w:t>
      </w:r>
    </w:p>
    <w:p w14:paraId="02A1BB8C" w14:textId="77777777" w:rsidR="008D372B" w:rsidRPr="00CB082F" w:rsidRDefault="008D372B" w:rsidP="005F5ED0">
      <w:pPr>
        <w:pStyle w:val="ListParagraph"/>
        <w:numPr>
          <w:ilvl w:val="0"/>
          <w:numId w:val="48"/>
        </w:numPr>
        <w:spacing w:line="276" w:lineRule="auto"/>
        <w:ind w:left="1418" w:hanging="284"/>
        <w:jc w:val="both"/>
        <w:rPr>
          <w:rFonts w:asciiTheme="majorBidi" w:hAnsiTheme="majorBidi" w:cstheme="majorBidi"/>
          <w:lang w:val="en-US"/>
        </w:rPr>
      </w:pPr>
      <w:r w:rsidRPr="00CB082F">
        <w:rPr>
          <w:rFonts w:asciiTheme="majorBidi" w:hAnsiTheme="majorBidi" w:cstheme="majorBidi"/>
          <w:lang w:val="en-US"/>
        </w:rPr>
        <w:t xml:space="preserve">Keterangan terdakwa hanya dapat digunakan untuk dirinya sendiri. </w:t>
      </w:r>
    </w:p>
    <w:p w14:paraId="11A4A3B5" w14:textId="77777777" w:rsidR="008D372B" w:rsidRPr="00CB082F" w:rsidRDefault="008D372B" w:rsidP="005F5ED0">
      <w:pPr>
        <w:pStyle w:val="ListParagraph"/>
        <w:numPr>
          <w:ilvl w:val="0"/>
          <w:numId w:val="48"/>
        </w:numPr>
        <w:spacing w:line="276" w:lineRule="auto"/>
        <w:ind w:left="1418" w:hanging="284"/>
        <w:jc w:val="both"/>
        <w:rPr>
          <w:rFonts w:asciiTheme="majorBidi" w:hAnsiTheme="majorBidi" w:cstheme="majorBidi"/>
          <w:lang w:val="en-US"/>
        </w:rPr>
      </w:pPr>
      <w:r w:rsidRPr="00CB082F">
        <w:rPr>
          <w:rFonts w:asciiTheme="majorBidi" w:hAnsiTheme="majorBidi" w:cstheme="majorBidi"/>
          <w:lang w:val="en-US"/>
        </w:rPr>
        <w:t xml:space="preserve">Keterangan terdakwa saja tidak memadai untuk membuktikan kesalahan terdakwa dalam melakukan tindak pidana yang dituduhkan kepadanya; harus ada alat bukti lain yang mendukung. </w:t>
      </w:r>
    </w:p>
    <w:p w14:paraId="742912EC" w14:textId="77777777" w:rsidR="008D372B" w:rsidRPr="00CB082F" w:rsidRDefault="008D372B" w:rsidP="005F5ED0">
      <w:pPr>
        <w:pStyle w:val="ListParagraph"/>
        <w:spacing w:line="276" w:lineRule="auto"/>
        <w:ind w:left="1134" w:firstLine="284"/>
        <w:jc w:val="both"/>
        <w:rPr>
          <w:rFonts w:asciiTheme="majorBidi" w:hAnsiTheme="majorBidi" w:cstheme="majorBidi"/>
          <w:lang w:val="en-US"/>
        </w:rPr>
      </w:pPr>
      <w:r w:rsidRPr="00CB082F">
        <w:rPr>
          <w:rFonts w:asciiTheme="majorBidi" w:hAnsiTheme="majorBidi" w:cstheme="majorBidi"/>
          <w:lang w:val="en-US"/>
        </w:rPr>
        <w:t>Berdasarkan Pasal 189 KUHAP, keterangan terdakwa dapat diberikan baik di dalam maupun di luar sidang.</w:t>
      </w:r>
      <w:r w:rsidRPr="00CB082F">
        <w:rPr>
          <w:rStyle w:val="FootnoteReference"/>
          <w:rFonts w:asciiTheme="majorBidi" w:hAnsiTheme="majorBidi" w:cstheme="majorBidi"/>
          <w:lang w:val="en-US"/>
        </w:rPr>
        <w:footnoteReference w:id="71"/>
      </w:r>
      <w:r w:rsidRPr="00CB082F">
        <w:rPr>
          <w:rFonts w:asciiTheme="majorBidi" w:hAnsiTheme="majorBidi" w:cstheme="majorBidi"/>
          <w:lang w:val="en-US"/>
        </w:rPr>
        <w:t xml:space="preserve"> Jika diberikan pada saat di pengadilan, keterangan tersebut harus berisi penjelasan atau jawaban yang diberikan oleh terdakwa sendiri terhadap setiap pertanyaan yang diajukan mengenai tindakan yang dilakukan, diketahui, atau dialami oleh terdakwa. Keterangan yang diberikan di luar sidang hanya dapat digunakan untuk membantu menemukan bukti selama persidangan.</w:t>
      </w:r>
      <w:r w:rsidRPr="00CB082F">
        <w:rPr>
          <w:rStyle w:val="FootnoteReference"/>
          <w:rFonts w:asciiTheme="majorBidi" w:hAnsiTheme="majorBidi" w:cstheme="majorBidi"/>
          <w:lang w:val="en-US"/>
        </w:rPr>
        <w:footnoteReference w:id="72"/>
      </w:r>
      <w:r w:rsidRPr="00CB082F">
        <w:rPr>
          <w:rFonts w:asciiTheme="majorBidi" w:hAnsiTheme="majorBidi" w:cstheme="majorBidi"/>
          <w:lang w:val="en-US"/>
        </w:rPr>
        <w:t xml:space="preserve"> </w:t>
      </w:r>
    </w:p>
    <w:p w14:paraId="66C7D31B" w14:textId="51F3D29A" w:rsidR="008D372B" w:rsidRPr="00CB082F" w:rsidRDefault="008D372B" w:rsidP="005F5ED0">
      <w:pPr>
        <w:pStyle w:val="ListParagraph"/>
        <w:numPr>
          <w:ilvl w:val="0"/>
          <w:numId w:val="14"/>
        </w:numPr>
        <w:spacing w:line="276" w:lineRule="auto"/>
        <w:ind w:left="567" w:hanging="283"/>
        <w:jc w:val="both"/>
        <w:rPr>
          <w:rFonts w:asciiTheme="majorBidi" w:hAnsiTheme="majorBidi" w:cstheme="majorBidi"/>
          <w:lang w:val="en-US"/>
        </w:rPr>
      </w:pPr>
      <w:r w:rsidRPr="00CB082F">
        <w:rPr>
          <w:rFonts w:asciiTheme="majorBidi" w:hAnsiTheme="majorBidi" w:cstheme="majorBidi"/>
          <w:lang w:val="en-US"/>
        </w:rPr>
        <w:t xml:space="preserve">Kesaksian dalam  </w:t>
      </w:r>
      <w:r w:rsidR="002015FB">
        <w:rPr>
          <w:rFonts w:asciiTheme="majorBidi" w:hAnsiTheme="majorBidi" w:cstheme="majorBidi"/>
          <w:lang w:val="en-US"/>
        </w:rPr>
        <w:t>Sistem Peradilan</w:t>
      </w:r>
      <w:r w:rsidRPr="00CB082F">
        <w:rPr>
          <w:rFonts w:asciiTheme="majorBidi" w:hAnsiTheme="majorBidi" w:cstheme="majorBidi"/>
          <w:lang w:val="en-US"/>
        </w:rPr>
        <w:t xml:space="preserve"> di Indonesia.</w:t>
      </w:r>
    </w:p>
    <w:p w14:paraId="2F802CDD" w14:textId="77777777" w:rsidR="005F5ED0" w:rsidRDefault="008D372B" w:rsidP="005F5ED0">
      <w:pPr>
        <w:pStyle w:val="ListParagraph"/>
        <w:numPr>
          <w:ilvl w:val="0"/>
          <w:numId w:val="49"/>
        </w:numPr>
        <w:spacing w:line="276" w:lineRule="auto"/>
        <w:ind w:left="851" w:hanging="284"/>
        <w:jc w:val="both"/>
        <w:rPr>
          <w:rFonts w:asciiTheme="majorBidi" w:hAnsiTheme="majorBidi" w:cstheme="majorBidi"/>
          <w:lang w:val="en-US"/>
        </w:rPr>
      </w:pPr>
      <w:r w:rsidRPr="00CB082F">
        <w:rPr>
          <w:rFonts w:asciiTheme="majorBidi" w:hAnsiTheme="majorBidi" w:cstheme="majorBidi"/>
          <w:lang w:val="en-US"/>
        </w:rPr>
        <w:t xml:space="preserve">Pengertian Saksi </w:t>
      </w:r>
    </w:p>
    <w:p w14:paraId="1AA1BA95" w14:textId="6DC16658" w:rsidR="008D372B" w:rsidRPr="005F5ED0" w:rsidRDefault="008D372B" w:rsidP="005F5ED0">
      <w:pPr>
        <w:pStyle w:val="ListParagraph"/>
        <w:spacing w:line="276" w:lineRule="auto"/>
        <w:ind w:left="851" w:firstLine="283"/>
        <w:jc w:val="both"/>
        <w:rPr>
          <w:rFonts w:asciiTheme="majorBidi" w:hAnsiTheme="majorBidi" w:cstheme="majorBidi"/>
          <w:lang w:val="en-US"/>
        </w:rPr>
      </w:pPr>
      <w:r w:rsidRPr="005F5ED0">
        <w:rPr>
          <w:rFonts w:asciiTheme="majorBidi" w:hAnsiTheme="majorBidi" w:cstheme="majorBidi"/>
        </w:rPr>
        <w:t xml:space="preserve">Kitab Undang-Undang Hukum Acara Pidana (KUHAP) dalam Pasal 1 angka 26 memberikan definisi mengenai saksi sebagai pihak yang memberikan keterangan guna kepentingan penyidikan, penuntutan, dan peradilan terhadap suatu tindak pidana. Keterangan saksi, sebagai salah satu alat bukti yang utama, memiliki </w:t>
      </w:r>
      <w:r w:rsidRPr="005F5ED0">
        <w:rPr>
          <w:rFonts w:asciiTheme="majorBidi" w:hAnsiTheme="majorBidi" w:cstheme="majorBidi"/>
        </w:rPr>
        <w:lastRenderedPageBreak/>
        <w:t>peran sentral dalam mengungkap fakta-fakta yang terjadi dalam suatu perkara pidana.</w:t>
      </w:r>
      <w:r w:rsidRPr="00CB082F">
        <w:rPr>
          <w:rStyle w:val="FootnoteReference"/>
          <w:rFonts w:asciiTheme="majorBidi" w:hAnsiTheme="majorBidi" w:cstheme="majorBidi"/>
          <w:lang w:val="en-US"/>
        </w:rPr>
        <w:footnoteReference w:id="73"/>
      </w:r>
      <w:r w:rsidRPr="005F5ED0">
        <w:rPr>
          <w:rFonts w:asciiTheme="majorBidi" w:hAnsiTheme="majorBidi" w:cstheme="majorBidi"/>
          <w:lang w:val="en-US"/>
        </w:rPr>
        <w:t xml:space="preserve"> </w:t>
      </w:r>
    </w:p>
    <w:p w14:paraId="497F94CF" w14:textId="77777777" w:rsidR="008D372B" w:rsidRDefault="008D372B" w:rsidP="005F5ED0">
      <w:pPr>
        <w:pStyle w:val="ListParagraph"/>
        <w:spacing w:line="276" w:lineRule="auto"/>
        <w:ind w:left="851" w:firstLine="283"/>
        <w:jc w:val="both"/>
        <w:rPr>
          <w:rFonts w:asciiTheme="majorBidi" w:hAnsiTheme="majorBidi" w:cstheme="majorBidi"/>
          <w:lang w:val="en-US"/>
        </w:rPr>
      </w:pPr>
      <w:r w:rsidRPr="00CB082F">
        <w:rPr>
          <w:rFonts w:asciiTheme="majorBidi" w:hAnsiTheme="majorBidi" w:cstheme="majorBidi"/>
          <w:lang w:val="en-US"/>
        </w:rPr>
        <w:t>Saksi</w:t>
      </w:r>
      <w:r>
        <w:rPr>
          <w:rFonts w:asciiTheme="majorBidi" w:hAnsiTheme="majorBidi" w:cstheme="majorBidi"/>
          <w:lang w:val="en-US"/>
        </w:rPr>
        <w:t xml:space="preserve"> tidak</w:t>
      </w:r>
      <w:r w:rsidRPr="00CB082F">
        <w:rPr>
          <w:rFonts w:asciiTheme="majorBidi" w:hAnsiTheme="majorBidi" w:cstheme="majorBidi"/>
          <w:lang w:val="en-US"/>
        </w:rPr>
        <w:t xml:space="preserve"> hanya seseorang yang melihat atau mendengar suatu peristiwa, tetapi juga seseorang yang memberikan keterangan berdasarkan pengalaman pribadi</w:t>
      </w:r>
      <w:r>
        <w:rPr>
          <w:rFonts w:asciiTheme="majorBidi" w:hAnsiTheme="majorBidi" w:cstheme="majorBidi"/>
          <w:lang w:val="en-US"/>
        </w:rPr>
        <w:t>nya</w:t>
      </w:r>
      <w:r w:rsidRPr="00CB082F">
        <w:rPr>
          <w:rFonts w:asciiTheme="majorBidi" w:hAnsiTheme="majorBidi" w:cstheme="majorBidi"/>
          <w:lang w:val="en-US"/>
        </w:rPr>
        <w:t>. Namun, setelah Putusan Mahkamah Konstitusi (MK) No. 65/PUU-VIII/2010, definisi saksi dalam Pasal 184 KUHAP diperluas.</w:t>
      </w:r>
      <w:r w:rsidRPr="00CB082F">
        <w:rPr>
          <w:rStyle w:val="FootnoteReference"/>
          <w:rFonts w:asciiTheme="majorBidi" w:hAnsiTheme="majorBidi" w:cstheme="majorBidi"/>
          <w:lang w:val="en-US"/>
        </w:rPr>
        <w:footnoteReference w:id="74"/>
      </w:r>
      <w:r w:rsidRPr="00CB082F">
        <w:rPr>
          <w:rFonts w:asciiTheme="majorBidi" w:hAnsiTheme="majorBidi" w:cstheme="majorBidi"/>
          <w:lang w:val="en-US"/>
        </w:rPr>
        <w:t xml:space="preserve"> Putusan MK tersebut memperluas definisi saksi menjadi </w:t>
      </w:r>
      <w:r w:rsidRPr="00CB082F">
        <w:rPr>
          <w:rFonts w:asciiTheme="majorBidi" w:hAnsiTheme="majorBidi" w:cstheme="majorBidi"/>
        </w:rPr>
        <w:t>“</w:t>
      </w:r>
      <w:r w:rsidRPr="00CB082F">
        <w:rPr>
          <w:rFonts w:asciiTheme="majorBidi" w:hAnsiTheme="majorBidi" w:cstheme="majorBidi"/>
          <w:i/>
          <w:iCs/>
        </w:rPr>
        <w:t>orang yang dapat memberikan keterangan dalam rangka penyidikan, penuntutan, dan peradilan suatu tindak pidana yang tidak selalu ia dengar sendiri, ia lihat sendiri dan ia alami sendiri</w:t>
      </w:r>
      <w:r w:rsidRPr="00CB082F">
        <w:rPr>
          <w:rFonts w:asciiTheme="majorBidi" w:hAnsiTheme="majorBidi" w:cstheme="majorBidi"/>
        </w:rPr>
        <w:t>”.</w:t>
      </w:r>
      <w:r w:rsidRPr="00CB082F">
        <w:rPr>
          <w:rStyle w:val="FootnoteReference"/>
          <w:rFonts w:asciiTheme="majorBidi" w:hAnsiTheme="majorBidi" w:cstheme="majorBidi"/>
        </w:rPr>
        <w:footnoteReference w:id="75"/>
      </w:r>
      <w:r w:rsidRPr="00CB082F">
        <w:rPr>
          <w:rFonts w:asciiTheme="majorBidi" w:hAnsiTheme="majorBidi" w:cstheme="majorBidi"/>
        </w:rPr>
        <w:t xml:space="preserve"> </w:t>
      </w:r>
      <w:r w:rsidRPr="00CB082F">
        <w:rPr>
          <w:rFonts w:asciiTheme="majorBidi" w:hAnsiTheme="majorBidi" w:cstheme="majorBidi"/>
          <w:lang w:val="en-US"/>
        </w:rPr>
        <w:t>Putusan tersebut menyatakan bahwa saksi tidak hanya mencakup orang yang langsung melihat, mendengar, atau mengalami suatu tindak pidana, tetapi juga orang yang memiliki pengetahuan langsung tentang kejadian tersebut. Perubahan ini memungkinkan seseorang yang tidak langsung mendengar, melihat, atau mengalami peristiwa pidana untuk tetap memberikan keterangan sebagai saksi dalam proses hukum, selama informasi yang diberikan relevan dengan perkara yang sedang diproses.</w:t>
      </w:r>
      <w:r w:rsidRPr="00CB082F">
        <w:rPr>
          <w:rStyle w:val="FootnoteReference"/>
          <w:rFonts w:asciiTheme="majorBidi" w:hAnsiTheme="majorBidi" w:cstheme="majorBidi"/>
          <w:lang w:val="en-US"/>
        </w:rPr>
        <w:footnoteReference w:id="76"/>
      </w:r>
    </w:p>
    <w:p w14:paraId="6D7C9950" w14:textId="0BC136E2" w:rsidR="00C1066E" w:rsidRPr="00CB082F" w:rsidRDefault="00C1066E" w:rsidP="005F5ED0">
      <w:pPr>
        <w:pStyle w:val="ListParagraph"/>
        <w:spacing w:line="276" w:lineRule="auto"/>
        <w:ind w:left="851" w:firstLine="283"/>
        <w:jc w:val="both"/>
        <w:rPr>
          <w:rFonts w:asciiTheme="majorBidi" w:hAnsiTheme="majorBidi" w:cstheme="majorBidi"/>
          <w:lang w:val="en-US"/>
        </w:rPr>
      </w:pPr>
      <w:r w:rsidRPr="00C1066E">
        <w:rPr>
          <w:rFonts w:asciiTheme="majorBidi" w:hAnsiTheme="majorBidi" w:cstheme="majorBidi"/>
        </w:rPr>
        <w:lastRenderedPageBreak/>
        <w:t xml:space="preserve">Undang-Undang Nomor 12 Tahun 2022 tentang Tindak Pidana Kekerasan Seksual </w:t>
      </w:r>
      <w:r w:rsidR="00350FBA" w:rsidRPr="00C1066E">
        <w:rPr>
          <w:rFonts w:asciiTheme="majorBidi" w:hAnsiTheme="majorBidi" w:cstheme="majorBidi"/>
        </w:rPr>
        <w:t>memberikan definisi saksi yang inklusif.</w:t>
      </w:r>
      <w:r w:rsidR="00350FBA">
        <w:rPr>
          <w:rFonts w:asciiTheme="majorBidi" w:hAnsiTheme="majorBidi" w:cstheme="majorBidi"/>
        </w:rPr>
        <w:t xml:space="preserve"> </w:t>
      </w:r>
      <w:r w:rsidR="00350FBA" w:rsidRPr="00C1066E">
        <w:rPr>
          <w:rFonts w:asciiTheme="majorBidi" w:hAnsiTheme="majorBidi" w:cstheme="majorBidi"/>
        </w:rPr>
        <w:t>Saksi adalah orang yang dapat memberikan keterangan guna kepentingan penyidikan, penuntutan, dan peradilan tentang suatu perkara tindak pidana kekerasan seksual yang ia dengar sendiri, ia lihat sendiri, dan ia alami sendiri, termasuk pula orang yang dapat memberikan keterangan yang berhubungan dengan suatu perkara tindak pidana kekerasan seksual meskipun tidak ia dengar sendiri, tidak ia lihat sendiri, dan tidak ia alami sendiri sepanjang keterangan orang itu berhubungan dengan tindak pidana kekerasan seksual</w:t>
      </w:r>
      <w:r w:rsidRPr="00C1066E">
        <w:rPr>
          <w:rFonts w:asciiTheme="majorBidi" w:hAnsiTheme="majorBidi" w:cstheme="majorBidi"/>
        </w:rPr>
        <w:t>.</w:t>
      </w:r>
      <w:r>
        <w:rPr>
          <w:rStyle w:val="FootnoteReference"/>
          <w:rFonts w:asciiTheme="majorBidi" w:hAnsiTheme="majorBidi" w:cstheme="majorBidi"/>
        </w:rPr>
        <w:footnoteReference w:id="77"/>
      </w:r>
    </w:p>
    <w:p w14:paraId="3E7CA942" w14:textId="77777777" w:rsidR="008D372B" w:rsidRPr="00CB082F" w:rsidRDefault="008D372B" w:rsidP="005F5ED0">
      <w:pPr>
        <w:pStyle w:val="ListParagraph"/>
        <w:numPr>
          <w:ilvl w:val="0"/>
          <w:numId w:val="49"/>
        </w:numPr>
        <w:spacing w:line="276" w:lineRule="auto"/>
        <w:ind w:left="851" w:hanging="284"/>
        <w:jc w:val="both"/>
        <w:rPr>
          <w:rFonts w:asciiTheme="majorBidi" w:hAnsiTheme="majorBidi" w:cstheme="majorBidi"/>
          <w:lang w:val="en-US"/>
        </w:rPr>
      </w:pPr>
      <w:r w:rsidRPr="00CB082F">
        <w:rPr>
          <w:rFonts w:asciiTheme="majorBidi" w:hAnsiTheme="majorBidi" w:cstheme="majorBidi"/>
          <w:lang w:val="en-US"/>
        </w:rPr>
        <w:t xml:space="preserve">Macam Macam Saksi </w:t>
      </w:r>
    </w:p>
    <w:p w14:paraId="4F761D92" w14:textId="77777777" w:rsidR="008D372B" w:rsidRPr="00CB082F" w:rsidRDefault="008D372B" w:rsidP="005F5ED0">
      <w:pPr>
        <w:pStyle w:val="ListParagraph"/>
        <w:spacing w:line="276" w:lineRule="auto"/>
        <w:ind w:left="851" w:firstLine="283"/>
        <w:jc w:val="both"/>
        <w:rPr>
          <w:rFonts w:asciiTheme="majorBidi" w:hAnsiTheme="majorBidi" w:cstheme="majorBidi"/>
          <w:lang w:val="en-US"/>
        </w:rPr>
      </w:pPr>
      <w:r w:rsidRPr="00CB082F">
        <w:rPr>
          <w:rFonts w:asciiTheme="majorBidi" w:hAnsiTheme="majorBidi" w:cstheme="majorBidi"/>
          <w:lang w:val="en-US"/>
        </w:rPr>
        <w:t>Dalam klasifikasi jenis-jenis saksi, A Sadidah mengidentifikasi delapan kategori. Delapan kategori saksi ini perlu dipahami dengan seksama antara lain:</w:t>
      </w:r>
      <w:r w:rsidRPr="00CB082F">
        <w:rPr>
          <w:rStyle w:val="FootnoteReference"/>
          <w:rFonts w:asciiTheme="majorBidi" w:hAnsiTheme="majorBidi" w:cstheme="majorBidi"/>
          <w:lang w:val="en-US"/>
        </w:rPr>
        <w:footnoteReference w:id="78"/>
      </w:r>
      <w:r w:rsidRPr="00CB082F">
        <w:rPr>
          <w:rFonts w:asciiTheme="majorBidi" w:hAnsiTheme="majorBidi" w:cstheme="majorBidi"/>
          <w:lang w:val="en-US"/>
        </w:rPr>
        <w:t xml:space="preserve"> </w:t>
      </w:r>
    </w:p>
    <w:p w14:paraId="07429F32" w14:textId="77777777" w:rsidR="005F5ED0" w:rsidRDefault="008D372B" w:rsidP="005F5ED0">
      <w:pPr>
        <w:pStyle w:val="ListParagraph"/>
        <w:numPr>
          <w:ilvl w:val="0"/>
          <w:numId w:val="50"/>
        </w:numPr>
        <w:spacing w:line="276" w:lineRule="auto"/>
        <w:ind w:left="1134" w:hanging="283"/>
        <w:jc w:val="both"/>
        <w:rPr>
          <w:rFonts w:asciiTheme="majorBidi" w:hAnsiTheme="majorBidi" w:cstheme="majorBidi"/>
          <w:lang w:val="en-US"/>
        </w:rPr>
      </w:pPr>
      <w:r w:rsidRPr="00CB082F">
        <w:rPr>
          <w:rFonts w:asciiTheme="majorBidi" w:hAnsiTheme="majorBidi" w:cstheme="majorBidi"/>
          <w:lang w:val="en-US"/>
        </w:rPr>
        <w:t xml:space="preserve">Saksi </w:t>
      </w:r>
      <w:r w:rsidRPr="00CB082F">
        <w:rPr>
          <w:rFonts w:asciiTheme="majorBidi" w:hAnsiTheme="majorBidi" w:cstheme="majorBidi"/>
          <w:i/>
          <w:iCs/>
          <w:lang w:val="en-US"/>
        </w:rPr>
        <w:t>A Charge</w:t>
      </w:r>
      <w:r w:rsidRPr="00CB082F">
        <w:rPr>
          <w:rFonts w:asciiTheme="majorBidi" w:hAnsiTheme="majorBidi" w:cstheme="majorBidi"/>
          <w:lang w:val="en-US"/>
        </w:rPr>
        <w:t xml:space="preserve"> </w:t>
      </w:r>
    </w:p>
    <w:p w14:paraId="58F83BA0" w14:textId="26E055A7" w:rsidR="008D372B" w:rsidRPr="005F5ED0" w:rsidRDefault="008D372B" w:rsidP="005F5ED0">
      <w:pPr>
        <w:pStyle w:val="ListParagraph"/>
        <w:spacing w:line="276" w:lineRule="auto"/>
        <w:ind w:left="1134" w:firstLine="284"/>
        <w:jc w:val="both"/>
        <w:rPr>
          <w:rFonts w:asciiTheme="majorBidi" w:hAnsiTheme="majorBidi" w:cstheme="majorBidi"/>
          <w:lang w:val="en-US"/>
        </w:rPr>
      </w:pPr>
      <w:r w:rsidRPr="005F5ED0">
        <w:rPr>
          <w:rFonts w:asciiTheme="majorBidi" w:hAnsiTheme="majorBidi" w:cstheme="majorBidi"/>
          <w:lang w:val="en-US"/>
        </w:rPr>
        <w:t>Saksi A Charge merupakan saksi yang ditunjuk dan diajukan oleh pihak penuntut umum. Keterangan atau kesaksian yang disampaikan oleh saksi ini akan memberatkan terdakwa.</w:t>
      </w:r>
      <w:r w:rsidRPr="00417FAE">
        <w:t xml:space="preserve"> </w:t>
      </w:r>
      <w:r w:rsidRPr="005F5ED0">
        <w:rPr>
          <w:rFonts w:asciiTheme="majorBidi" w:hAnsiTheme="majorBidi" w:cstheme="majorBidi"/>
        </w:rPr>
        <w:t xml:space="preserve">Berdasarkan ketentuan Pasal 160 ayat (1) huruf c KUHAP, hakim dalam sidang berkewajiban mengakomodasi hak terdakwa untuk didengar keterangan saksi yang merugikannya, baik </w:t>
      </w:r>
      <w:r w:rsidRPr="005F5ED0">
        <w:rPr>
          <w:rFonts w:asciiTheme="majorBidi" w:hAnsiTheme="majorBidi" w:cstheme="majorBidi"/>
        </w:rPr>
        <w:lastRenderedPageBreak/>
        <w:t>yang telah diajukan dalam tahap sebelumnya maupun yang diajukan selama persidangan berlangsung</w:t>
      </w:r>
      <w:r w:rsidRPr="005F5ED0">
        <w:rPr>
          <w:rFonts w:asciiTheme="majorBidi" w:hAnsiTheme="majorBidi" w:cstheme="majorBidi"/>
          <w:lang w:val="en-US"/>
        </w:rPr>
        <w:t>.</w:t>
      </w:r>
      <w:r w:rsidRPr="00CB082F">
        <w:rPr>
          <w:rStyle w:val="FootnoteReference"/>
          <w:rFonts w:asciiTheme="majorBidi" w:hAnsiTheme="majorBidi" w:cstheme="majorBidi"/>
          <w:lang w:val="en-US"/>
        </w:rPr>
        <w:footnoteReference w:id="79"/>
      </w:r>
    </w:p>
    <w:p w14:paraId="4614437D" w14:textId="77777777" w:rsidR="008D372B" w:rsidRPr="00CB082F" w:rsidRDefault="008D372B" w:rsidP="005F5ED0">
      <w:pPr>
        <w:pStyle w:val="ListParagraph"/>
        <w:numPr>
          <w:ilvl w:val="0"/>
          <w:numId w:val="50"/>
        </w:numPr>
        <w:spacing w:line="276" w:lineRule="auto"/>
        <w:ind w:left="1134" w:hanging="283"/>
        <w:jc w:val="both"/>
        <w:rPr>
          <w:rFonts w:asciiTheme="majorBidi" w:hAnsiTheme="majorBidi" w:cstheme="majorBidi"/>
          <w:lang w:val="en-US"/>
        </w:rPr>
      </w:pPr>
      <w:r w:rsidRPr="00CB082F">
        <w:rPr>
          <w:rFonts w:asciiTheme="majorBidi" w:hAnsiTheme="majorBidi" w:cstheme="majorBidi"/>
        </w:rPr>
        <w:t xml:space="preserve">Saksi </w:t>
      </w:r>
      <w:r w:rsidRPr="00CB082F">
        <w:rPr>
          <w:rFonts w:asciiTheme="majorBidi" w:hAnsiTheme="majorBidi" w:cstheme="majorBidi"/>
          <w:i/>
          <w:iCs/>
        </w:rPr>
        <w:t>A De Charge</w:t>
      </w:r>
      <w:r w:rsidRPr="00CB082F">
        <w:rPr>
          <w:rFonts w:asciiTheme="majorBidi" w:hAnsiTheme="majorBidi" w:cstheme="majorBidi"/>
        </w:rPr>
        <w:t xml:space="preserve"> </w:t>
      </w:r>
    </w:p>
    <w:p w14:paraId="126DF9F7" w14:textId="1623850D" w:rsidR="008D372B" w:rsidRPr="00CB082F" w:rsidRDefault="008D372B" w:rsidP="005F5ED0">
      <w:pPr>
        <w:pStyle w:val="ListParagraph"/>
        <w:spacing w:line="276" w:lineRule="auto"/>
        <w:ind w:left="1134" w:firstLine="284"/>
        <w:jc w:val="both"/>
        <w:rPr>
          <w:rFonts w:asciiTheme="majorBidi" w:hAnsiTheme="majorBidi" w:cstheme="majorBidi"/>
          <w:lang w:val="en-US"/>
        </w:rPr>
      </w:pPr>
      <w:r w:rsidRPr="00CB082F">
        <w:rPr>
          <w:rFonts w:asciiTheme="majorBidi" w:hAnsiTheme="majorBidi" w:cstheme="majorBidi"/>
        </w:rPr>
        <w:t>Saksi A De Charge merupakan saksi yang ditunjuk dan diajukan oleh pihak penuntut umum, terdakwa, atau penasihat hukum. Keterangan atau kesaksian yang disampaikan oleh saksi ini akan menguntungkan atau meringankan terdakwa.</w:t>
      </w:r>
      <w:r w:rsidRPr="00417FAE">
        <w:t xml:space="preserve"> </w:t>
      </w:r>
      <w:r w:rsidR="006730EC">
        <w:t>b</w:t>
      </w:r>
      <w:r w:rsidRPr="00417FAE">
        <w:rPr>
          <w:rFonts w:asciiTheme="majorBidi" w:hAnsiTheme="majorBidi" w:cstheme="majorBidi"/>
        </w:rPr>
        <w:t>erdasarkan ketentuan Pasal 160 ayat (1) huruf c KUHAP, hakim ketua sidang berkewajiban mengakomodasi hak terdakwa untuk didengar keterangan saksi yang menguntungkan dirinya, baik yang telah diajukan dalam tahap sebelumnya maupun yang diajukan selama persidangan berlangsung.</w:t>
      </w:r>
      <w:r w:rsidRPr="00CB082F">
        <w:rPr>
          <w:rStyle w:val="FootnoteReference"/>
          <w:rFonts w:asciiTheme="majorBidi" w:hAnsiTheme="majorBidi" w:cstheme="majorBidi"/>
        </w:rPr>
        <w:footnoteReference w:id="80"/>
      </w:r>
    </w:p>
    <w:p w14:paraId="201B2D42" w14:textId="5B9A97A6" w:rsidR="008D372B" w:rsidRPr="00CB082F" w:rsidRDefault="008D372B" w:rsidP="005F5ED0">
      <w:pPr>
        <w:pStyle w:val="ListParagraph"/>
        <w:numPr>
          <w:ilvl w:val="0"/>
          <w:numId w:val="50"/>
        </w:numPr>
        <w:spacing w:line="276" w:lineRule="auto"/>
        <w:ind w:left="1134" w:hanging="283"/>
        <w:jc w:val="both"/>
        <w:rPr>
          <w:rFonts w:asciiTheme="majorBidi" w:hAnsiTheme="majorBidi" w:cstheme="majorBidi"/>
          <w:lang w:val="en-US"/>
        </w:rPr>
      </w:pPr>
      <w:r w:rsidRPr="00CB082F">
        <w:rPr>
          <w:rFonts w:asciiTheme="majorBidi" w:hAnsiTheme="majorBidi" w:cstheme="majorBidi"/>
          <w:lang w:val="en-US"/>
        </w:rPr>
        <w:t xml:space="preserve">Saksi </w:t>
      </w:r>
      <w:r w:rsidRPr="00CB082F">
        <w:rPr>
          <w:rFonts w:asciiTheme="majorBidi" w:hAnsiTheme="majorBidi" w:cstheme="majorBidi"/>
          <w:i/>
          <w:iCs/>
          <w:lang w:val="en-US"/>
        </w:rPr>
        <w:t>testimonium de auditu</w:t>
      </w:r>
      <w:r w:rsidRPr="00CB082F">
        <w:rPr>
          <w:rFonts w:asciiTheme="majorBidi" w:hAnsiTheme="majorBidi" w:cstheme="majorBidi"/>
          <w:lang w:val="en-US"/>
        </w:rPr>
        <w:t xml:space="preserve"> </w:t>
      </w:r>
    </w:p>
    <w:p w14:paraId="4DA3FD1D" w14:textId="77777777" w:rsidR="008D372B" w:rsidRPr="00CB082F" w:rsidRDefault="008D372B" w:rsidP="005F5ED0">
      <w:pPr>
        <w:pStyle w:val="ListParagraph"/>
        <w:spacing w:line="276" w:lineRule="auto"/>
        <w:ind w:left="1134" w:firstLine="284"/>
        <w:jc w:val="both"/>
        <w:rPr>
          <w:rFonts w:asciiTheme="majorBidi" w:hAnsiTheme="majorBidi" w:cstheme="majorBidi"/>
          <w:lang w:val="en-US"/>
        </w:rPr>
      </w:pPr>
      <w:r w:rsidRPr="00437A5E">
        <w:rPr>
          <w:rFonts w:asciiTheme="majorBidi" w:hAnsiTheme="majorBidi" w:cstheme="majorBidi"/>
          <w:i/>
          <w:iCs/>
        </w:rPr>
        <w:t>Testimonium de auditu</w:t>
      </w:r>
      <w:r>
        <w:rPr>
          <w:rFonts w:asciiTheme="majorBidi" w:hAnsiTheme="majorBidi" w:cstheme="majorBidi"/>
        </w:rPr>
        <w:t xml:space="preserve"> merupakan</w:t>
      </w:r>
      <w:r w:rsidRPr="00417FAE">
        <w:rPr>
          <w:rFonts w:asciiTheme="majorBidi" w:hAnsiTheme="majorBidi" w:cstheme="majorBidi"/>
        </w:rPr>
        <w:t xml:space="preserve"> keterangan saksi yang didasarkan pada informasi yang diperoleh dari orang lain, bukan dari pengalaman pribadi saksi itu sendiri. Sebelum adanya putusan Mahkamah Konstitusi (MK) Nomor 65/PUU-VIII/2010, Pasal 185 ayat (5) KUHAP secara tegas melarang penggunaan keterangan semacam ini sebagai alat bukti dalam perkara pidana.</w:t>
      </w:r>
      <w:r>
        <w:rPr>
          <w:rFonts w:asciiTheme="majorBidi" w:hAnsiTheme="majorBidi" w:cstheme="majorBidi"/>
        </w:rPr>
        <w:t xml:space="preserve"> Namum, </w:t>
      </w:r>
      <w:r w:rsidRPr="00F231B8">
        <w:rPr>
          <w:rFonts w:asciiTheme="majorBidi" w:hAnsiTheme="majorBidi" w:cstheme="majorBidi"/>
        </w:rPr>
        <w:t xml:space="preserve">Putusan MK Nomor 65/PUU-VIII/2010 memberikan pengecualian terhadap larangan </w:t>
      </w:r>
      <w:r w:rsidRPr="00F231B8">
        <w:rPr>
          <w:rFonts w:asciiTheme="majorBidi" w:hAnsiTheme="majorBidi" w:cstheme="majorBidi"/>
          <w:i/>
          <w:iCs/>
        </w:rPr>
        <w:t>testimonium de auditu</w:t>
      </w:r>
      <w:r w:rsidRPr="00F231B8">
        <w:rPr>
          <w:rFonts w:asciiTheme="majorBidi" w:hAnsiTheme="majorBidi" w:cstheme="majorBidi"/>
        </w:rPr>
        <w:t xml:space="preserve"> dalam kondisi tertentu. Putusan ini membuka peluang bagi pengadilan untuk mempertimbangkan keterangan </w:t>
      </w:r>
      <w:r w:rsidRPr="00F231B8">
        <w:rPr>
          <w:rFonts w:asciiTheme="majorBidi" w:hAnsiTheme="majorBidi" w:cstheme="majorBidi"/>
        </w:rPr>
        <w:lastRenderedPageBreak/>
        <w:t>saksi yang diperoleh dari orang lain, sepanjang memenuhi syarat-syarat tertentu</w:t>
      </w:r>
      <w:r>
        <w:rPr>
          <w:rFonts w:asciiTheme="majorBidi" w:hAnsiTheme="majorBidi" w:cstheme="majorBidi"/>
        </w:rPr>
        <w:t>.</w:t>
      </w:r>
      <w:r w:rsidRPr="00CB082F">
        <w:rPr>
          <w:rStyle w:val="FootnoteReference"/>
          <w:rFonts w:asciiTheme="majorBidi" w:hAnsiTheme="majorBidi" w:cstheme="majorBidi"/>
          <w:lang w:val="en-US"/>
        </w:rPr>
        <w:footnoteReference w:id="81"/>
      </w:r>
      <w:r w:rsidRPr="00CB082F">
        <w:rPr>
          <w:rFonts w:asciiTheme="majorBidi" w:hAnsiTheme="majorBidi" w:cstheme="majorBidi"/>
          <w:lang w:val="en-US"/>
        </w:rPr>
        <w:t xml:space="preserve"> </w:t>
      </w:r>
    </w:p>
    <w:p w14:paraId="27322DF5" w14:textId="77777777" w:rsidR="008D372B" w:rsidRPr="00CB082F" w:rsidRDefault="008D372B" w:rsidP="005F5ED0">
      <w:pPr>
        <w:pStyle w:val="ListParagraph"/>
        <w:numPr>
          <w:ilvl w:val="0"/>
          <w:numId w:val="50"/>
        </w:numPr>
        <w:spacing w:line="276" w:lineRule="auto"/>
        <w:ind w:left="1134" w:hanging="283"/>
        <w:jc w:val="both"/>
        <w:rPr>
          <w:rFonts w:asciiTheme="majorBidi" w:hAnsiTheme="majorBidi" w:cstheme="majorBidi"/>
          <w:lang w:val="en-US"/>
        </w:rPr>
      </w:pPr>
      <w:r w:rsidRPr="00CB082F">
        <w:rPr>
          <w:rFonts w:asciiTheme="majorBidi" w:hAnsiTheme="majorBidi" w:cstheme="majorBidi"/>
        </w:rPr>
        <w:t xml:space="preserve">Saksi Pelapor </w:t>
      </w:r>
    </w:p>
    <w:p w14:paraId="4B19E379" w14:textId="77777777" w:rsidR="008D372B" w:rsidRPr="00CB082F" w:rsidRDefault="008D372B" w:rsidP="005F5ED0">
      <w:pPr>
        <w:pStyle w:val="ListParagraph"/>
        <w:spacing w:line="276" w:lineRule="auto"/>
        <w:ind w:left="1134" w:firstLine="284"/>
        <w:jc w:val="both"/>
        <w:rPr>
          <w:rFonts w:asciiTheme="majorBidi" w:hAnsiTheme="majorBidi" w:cstheme="majorBidi"/>
          <w:lang w:val="en-US"/>
        </w:rPr>
      </w:pPr>
      <w:r w:rsidRPr="00CB082F">
        <w:rPr>
          <w:rFonts w:asciiTheme="majorBidi" w:hAnsiTheme="majorBidi" w:cstheme="majorBidi"/>
          <w:lang w:val="en-US"/>
        </w:rPr>
        <w:t xml:space="preserve">Saksi pelapor </w:t>
      </w:r>
      <w:r w:rsidRPr="00CB082F">
        <w:rPr>
          <w:rFonts w:asciiTheme="majorBidi" w:hAnsiTheme="majorBidi" w:cstheme="majorBidi"/>
        </w:rPr>
        <w:t>adalah individu yang memiliki pengetahuan langsung tentang suatu tindak pidana, baik melalui penglihatan, pendengaran, pengalaman pribadi, atau keterlibatannya dalam peristiwa. Atas dasar pengetahuannya, Saksi Pelapor kemudian melaporkan dugaan tindak pidana tersebut kepada pejabat yang berwenang untuk dilakukan penyelidikan lebih lanjut sesuai dengan peraturan perundang-undangan yang berlaku.</w:t>
      </w:r>
      <w:r w:rsidRPr="00CB082F">
        <w:rPr>
          <w:rStyle w:val="FootnoteReference"/>
          <w:rFonts w:asciiTheme="majorBidi" w:hAnsiTheme="majorBidi" w:cstheme="majorBidi"/>
        </w:rPr>
        <w:footnoteReference w:id="82"/>
      </w:r>
    </w:p>
    <w:p w14:paraId="3B388022" w14:textId="77777777" w:rsidR="008D372B" w:rsidRPr="00CB082F" w:rsidRDefault="008D372B" w:rsidP="005F5ED0">
      <w:pPr>
        <w:pStyle w:val="ListParagraph"/>
        <w:numPr>
          <w:ilvl w:val="0"/>
          <w:numId w:val="50"/>
        </w:numPr>
        <w:spacing w:line="276" w:lineRule="auto"/>
        <w:ind w:left="1134" w:hanging="283"/>
        <w:jc w:val="both"/>
        <w:rPr>
          <w:rFonts w:asciiTheme="majorBidi" w:hAnsiTheme="majorBidi" w:cstheme="majorBidi"/>
          <w:lang w:val="en-US"/>
        </w:rPr>
      </w:pPr>
      <w:r w:rsidRPr="00CB082F">
        <w:rPr>
          <w:rFonts w:asciiTheme="majorBidi" w:hAnsiTheme="majorBidi" w:cstheme="majorBidi"/>
          <w:lang w:val="en-US"/>
        </w:rPr>
        <w:t xml:space="preserve">Saksi Mahkota/Kroon Getuige </w:t>
      </w:r>
    </w:p>
    <w:p w14:paraId="019876C4" w14:textId="77777777" w:rsidR="008D372B" w:rsidRPr="00CB082F" w:rsidRDefault="008D372B" w:rsidP="005F5ED0">
      <w:pPr>
        <w:pStyle w:val="ListParagraph"/>
        <w:spacing w:line="276" w:lineRule="auto"/>
        <w:ind w:left="1134" w:firstLine="284"/>
        <w:jc w:val="both"/>
        <w:rPr>
          <w:rFonts w:asciiTheme="majorBidi" w:hAnsiTheme="majorBidi" w:cstheme="majorBidi"/>
          <w:lang w:val="en-US"/>
        </w:rPr>
      </w:pPr>
      <w:r w:rsidRPr="00437A5E">
        <w:rPr>
          <w:rFonts w:asciiTheme="majorBidi" w:hAnsiTheme="majorBidi" w:cstheme="majorBidi"/>
        </w:rPr>
        <w:t>Saksi mahkota adalah suatu konstruksi hukum yang tidak memiliki dasar hukum yang tegas dalam KUHAP. Konsep ini muncul dalam praktik peradilan sebagai suatu kesepakatan antara penuntut umum dan tersangka/terdakwa, di mana salah satu tersangka/terdakwa bersedia menjadi saksi dengan imbalan keringanan hukuman. Saksi mahkota umumnya dipilih dari antara pelaku yang perannya paling kecil dalam tindak pidana yang dilakukan secara bersama-sama</w:t>
      </w:r>
      <w:r w:rsidRPr="00CB082F">
        <w:rPr>
          <w:rFonts w:asciiTheme="majorBidi" w:hAnsiTheme="majorBidi" w:cstheme="majorBidi"/>
          <w:lang w:val="en-US"/>
        </w:rPr>
        <w:t>.</w:t>
      </w:r>
      <w:r w:rsidRPr="00CB082F">
        <w:rPr>
          <w:rStyle w:val="FootnoteReference"/>
          <w:rFonts w:asciiTheme="majorBidi" w:hAnsiTheme="majorBidi" w:cstheme="majorBidi"/>
          <w:lang w:val="en-US"/>
        </w:rPr>
        <w:footnoteReference w:id="83"/>
      </w:r>
    </w:p>
    <w:p w14:paraId="5110EB95" w14:textId="77777777" w:rsidR="008D372B" w:rsidRPr="00CB082F" w:rsidRDefault="008D372B" w:rsidP="005F5ED0">
      <w:pPr>
        <w:pStyle w:val="ListParagraph"/>
        <w:numPr>
          <w:ilvl w:val="0"/>
          <w:numId w:val="50"/>
        </w:numPr>
        <w:spacing w:line="276" w:lineRule="auto"/>
        <w:ind w:left="1134" w:hanging="283"/>
        <w:jc w:val="both"/>
        <w:rPr>
          <w:rFonts w:asciiTheme="majorBidi" w:hAnsiTheme="majorBidi" w:cstheme="majorBidi"/>
          <w:lang w:val="en-US"/>
        </w:rPr>
      </w:pPr>
      <w:r w:rsidRPr="00CB082F">
        <w:rPr>
          <w:rFonts w:asciiTheme="majorBidi" w:hAnsiTheme="majorBidi" w:cstheme="majorBidi"/>
        </w:rPr>
        <w:lastRenderedPageBreak/>
        <w:t xml:space="preserve">Saksi korban </w:t>
      </w:r>
    </w:p>
    <w:p w14:paraId="112A9DAE" w14:textId="77777777" w:rsidR="008D372B" w:rsidRPr="00CB082F" w:rsidRDefault="008D372B" w:rsidP="005F5ED0">
      <w:pPr>
        <w:pStyle w:val="ListParagraph"/>
        <w:spacing w:line="276" w:lineRule="auto"/>
        <w:ind w:left="1134" w:firstLine="284"/>
        <w:jc w:val="both"/>
        <w:rPr>
          <w:rFonts w:asciiTheme="majorBidi" w:hAnsiTheme="majorBidi" w:cstheme="majorBidi"/>
          <w:lang w:val="en-US"/>
        </w:rPr>
      </w:pPr>
      <w:r w:rsidRPr="00CB082F">
        <w:rPr>
          <w:rFonts w:asciiTheme="majorBidi" w:hAnsiTheme="majorBidi" w:cstheme="majorBidi"/>
          <w:lang w:val="en-US"/>
        </w:rPr>
        <w:t xml:space="preserve">Saksi korban </w:t>
      </w:r>
      <w:r w:rsidRPr="00CB082F">
        <w:rPr>
          <w:rFonts w:asciiTheme="majorBidi" w:hAnsiTheme="majorBidi" w:cstheme="majorBidi"/>
        </w:rPr>
        <w:t>merupakan individu yang menjadi korban suatu tindak pidana dan sekaligus berperan sebagai saksi di pengadilan. Peran ganda ini muncul karena korban memiliki pengetahuan langsung tentang peristiwa tersebut, baik melalui pendengaran, penglihatan, maupun pengalaman pribadinya.</w:t>
      </w:r>
      <w:r w:rsidRPr="00CB082F">
        <w:rPr>
          <w:rStyle w:val="FootnoteReference"/>
          <w:rFonts w:asciiTheme="majorBidi" w:hAnsiTheme="majorBidi" w:cstheme="majorBidi"/>
        </w:rPr>
        <w:footnoteReference w:id="84"/>
      </w:r>
    </w:p>
    <w:p w14:paraId="2AEFE664" w14:textId="77777777" w:rsidR="008D372B" w:rsidRPr="00CB082F" w:rsidRDefault="008D372B" w:rsidP="005F5ED0">
      <w:pPr>
        <w:pStyle w:val="ListParagraph"/>
        <w:numPr>
          <w:ilvl w:val="0"/>
          <w:numId w:val="50"/>
        </w:numPr>
        <w:spacing w:line="276" w:lineRule="auto"/>
        <w:ind w:left="1134" w:hanging="283"/>
        <w:jc w:val="both"/>
        <w:rPr>
          <w:rFonts w:asciiTheme="majorBidi" w:hAnsiTheme="majorBidi" w:cstheme="majorBidi"/>
          <w:lang w:val="en-US"/>
        </w:rPr>
      </w:pPr>
      <w:r w:rsidRPr="00CB082F">
        <w:rPr>
          <w:rFonts w:asciiTheme="majorBidi" w:hAnsiTheme="majorBidi" w:cstheme="majorBidi"/>
        </w:rPr>
        <w:t>Justice collaborator</w:t>
      </w:r>
    </w:p>
    <w:p w14:paraId="50665D6C" w14:textId="77777777" w:rsidR="008D372B" w:rsidRPr="00CB082F" w:rsidRDefault="008D372B" w:rsidP="005F5ED0">
      <w:pPr>
        <w:pStyle w:val="ListParagraph"/>
        <w:spacing w:line="276" w:lineRule="auto"/>
        <w:ind w:left="1134" w:firstLine="284"/>
        <w:jc w:val="both"/>
        <w:rPr>
          <w:rFonts w:asciiTheme="majorBidi" w:hAnsiTheme="majorBidi" w:cstheme="majorBidi"/>
          <w:lang w:val="en-US"/>
        </w:rPr>
      </w:pPr>
      <w:r w:rsidRPr="00F836AA">
        <w:rPr>
          <w:rFonts w:asciiTheme="majorBidi" w:hAnsiTheme="majorBidi" w:cstheme="majorBidi"/>
          <w:i/>
          <w:iCs/>
        </w:rPr>
        <w:t>Justice collaborator</w:t>
      </w:r>
      <w:r w:rsidRPr="00F836AA">
        <w:rPr>
          <w:rFonts w:asciiTheme="majorBidi" w:hAnsiTheme="majorBidi" w:cstheme="majorBidi"/>
        </w:rPr>
        <w:t>, atau saksi pelaku yang bekerja sama, adalah seorang pelaku tindak pidana yang bersedia memberikan keterangan dan bukti kepada aparat penegak hukum untuk mengungkap suatu tindak pidana. Keberadaan justice collaborator memiliki signifikansi yang tinggi dalam proses peradilan pidana, karena keterangannya dapat menjadi alat bukti yang kuat, terutama dalam perkara yang sulit diungkap melalui cara konvensional</w:t>
      </w:r>
      <w:r w:rsidRPr="00CB082F">
        <w:rPr>
          <w:rFonts w:asciiTheme="majorBidi" w:hAnsiTheme="majorBidi" w:cstheme="majorBidi"/>
        </w:rPr>
        <w:t>.</w:t>
      </w:r>
      <w:r w:rsidRPr="00CB082F">
        <w:rPr>
          <w:rStyle w:val="FootnoteReference"/>
          <w:rFonts w:asciiTheme="majorBidi" w:hAnsiTheme="majorBidi" w:cstheme="majorBidi"/>
        </w:rPr>
        <w:footnoteReference w:id="85"/>
      </w:r>
    </w:p>
    <w:p w14:paraId="021AE2F0" w14:textId="77777777" w:rsidR="008D372B" w:rsidRPr="00CB082F" w:rsidRDefault="008D372B" w:rsidP="005F5ED0">
      <w:pPr>
        <w:pStyle w:val="ListParagraph"/>
        <w:numPr>
          <w:ilvl w:val="0"/>
          <w:numId w:val="50"/>
        </w:numPr>
        <w:spacing w:line="276" w:lineRule="auto"/>
        <w:ind w:left="1134" w:hanging="283"/>
        <w:jc w:val="both"/>
        <w:rPr>
          <w:rFonts w:asciiTheme="majorBidi" w:hAnsiTheme="majorBidi" w:cstheme="majorBidi"/>
          <w:lang w:val="en-US"/>
        </w:rPr>
      </w:pPr>
      <w:r w:rsidRPr="00CB082F">
        <w:rPr>
          <w:rFonts w:asciiTheme="majorBidi" w:hAnsiTheme="majorBidi" w:cstheme="majorBidi"/>
        </w:rPr>
        <w:t xml:space="preserve">Saksi ahli </w:t>
      </w:r>
    </w:p>
    <w:p w14:paraId="5C80B779" w14:textId="77777777" w:rsidR="008D372B" w:rsidRPr="00CB082F" w:rsidRDefault="008D372B" w:rsidP="005F5ED0">
      <w:pPr>
        <w:pStyle w:val="ListParagraph"/>
        <w:spacing w:line="276" w:lineRule="auto"/>
        <w:ind w:left="1134" w:firstLine="284"/>
        <w:jc w:val="both"/>
        <w:rPr>
          <w:rFonts w:asciiTheme="majorBidi" w:hAnsiTheme="majorBidi" w:cstheme="majorBidi"/>
          <w:lang w:val="en-US"/>
        </w:rPr>
      </w:pPr>
      <w:r w:rsidRPr="00F836AA">
        <w:rPr>
          <w:rFonts w:asciiTheme="majorBidi" w:hAnsiTheme="majorBidi" w:cstheme="majorBidi"/>
        </w:rPr>
        <w:t xml:space="preserve">Saksi ahli merupakan sumber pengetahuan khusus dalam proses peradilan. Keahliannya dalam bidang tertentu memungkinkan saksi ahli memberikan keterangan yang relevan dan objektif untuk </w:t>
      </w:r>
      <w:r w:rsidRPr="00F836AA">
        <w:rPr>
          <w:rFonts w:asciiTheme="majorBidi" w:hAnsiTheme="majorBidi" w:cstheme="majorBidi"/>
        </w:rPr>
        <w:lastRenderedPageBreak/>
        <w:t>memperjelas fakta-fakta yang menjadi objek peradilan. Keterangan saksi ahli memiliki peran yang sangat penting dalam membantu hakim membentuk keyakinan yang rasional dalam mengambil keputusan</w:t>
      </w:r>
      <w:r w:rsidRPr="00CB082F">
        <w:rPr>
          <w:rFonts w:asciiTheme="majorBidi" w:hAnsiTheme="majorBidi" w:cstheme="majorBidi"/>
        </w:rPr>
        <w:t>.</w:t>
      </w:r>
      <w:r w:rsidRPr="00CB082F">
        <w:rPr>
          <w:rStyle w:val="FootnoteReference"/>
          <w:rFonts w:asciiTheme="majorBidi" w:hAnsiTheme="majorBidi" w:cstheme="majorBidi"/>
        </w:rPr>
        <w:footnoteReference w:id="86"/>
      </w:r>
    </w:p>
    <w:p w14:paraId="510B9631" w14:textId="77777777" w:rsidR="008D372B" w:rsidRPr="00951097" w:rsidRDefault="008D372B" w:rsidP="005F5ED0">
      <w:pPr>
        <w:pStyle w:val="Heading2"/>
        <w:numPr>
          <w:ilvl w:val="0"/>
          <w:numId w:val="112"/>
        </w:numPr>
        <w:spacing w:line="276" w:lineRule="auto"/>
        <w:ind w:left="284" w:hanging="284"/>
        <w:rPr>
          <w:i/>
          <w:iCs/>
        </w:rPr>
      </w:pPr>
      <w:bookmarkStart w:id="25" w:name="_Toc185961343"/>
      <w:r>
        <w:t xml:space="preserve">Sistem </w:t>
      </w:r>
      <w:r w:rsidRPr="00476137">
        <w:t xml:space="preserve">Pembuktian dalam Hukum Acara </w:t>
      </w:r>
      <w:r w:rsidRPr="00951097">
        <w:rPr>
          <w:i/>
          <w:iCs/>
        </w:rPr>
        <w:t>Jinayat</w:t>
      </w:r>
      <w:bookmarkEnd w:id="25"/>
    </w:p>
    <w:p w14:paraId="307491D1" w14:textId="77777777" w:rsidR="003933F9" w:rsidRDefault="008D372B" w:rsidP="003933F9">
      <w:pPr>
        <w:pStyle w:val="ListParagraph"/>
        <w:numPr>
          <w:ilvl w:val="0"/>
          <w:numId w:val="20"/>
        </w:numPr>
        <w:spacing w:line="276" w:lineRule="auto"/>
        <w:ind w:left="567" w:hanging="283"/>
        <w:jc w:val="both"/>
        <w:rPr>
          <w:rFonts w:asciiTheme="majorBidi" w:hAnsiTheme="majorBidi" w:cstheme="majorBidi"/>
          <w:lang w:val="en-US"/>
        </w:rPr>
      </w:pPr>
      <w:r w:rsidRPr="00CB082F">
        <w:rPr>
          <w:rFonts w:asciiTheme="majorBidi" w:hAnsiTheme="majorBidi" w:cstheme="majorBidi"/>
          <w:lang w:val="en-US"/>
        </w:rPr>
        <w:t xml:space="preserve">Pengertian pembuktian dalam Hukum Islam </w:t>
      </w:r>
    </w:p>
    <w:p w14:paraId="0D6F3789" w14:textId="265BF28B" w:rsidR="008D372B" w:rsidRPr="003933F9" w:rsidRDefault="008D372B" w:rsidP="003933F9">
      <w:pPr>
        <w:pStyle w:val="ListParagraph"/>
        <w:spacing w:line="276" w:lineRule="auto"/>
        <w:ind w:left="567" w:firstLine="284"/>
        <w:jc w:val="both"/>
        <w:rPr>
          <w:rFonts w:asciiTheme="majorBidi" w:hAnsiTheme="majorBidi" w:cstheme="majorBidi"/>
          <w:lang w:val="en-US"/>
        </w:rPr>
      </w:pPr>
      <w:r w:rsidRPr="003933F9">
        <w:rPr>
          <w:rFonts w:asciiTheme="majorBidi" w:hAnsiTheme="majorBidi" w:cstheme="majorBidi"/>
        </w:rPr>
        <w:t xml:space="preserve">Dalam peradilan Islam, konsep pembuktian memiliki makna yang beragam. Kata “pembuktian” dalam bahasa Arab berasal dari kata </w:t>
      </w:r>
      <w:r w:rsidRPr="003933F9">
        <w:rPr>
          <w:rFonts w:asciiTheme="majorBidi" w:hAnsiTheme="majorBidi" w:cstheme="majorBidi"/>
          <w:i/>
          <w:iCs/>
        </w:rPr>
        <w:t>al-bayyinah</w:t>
      </w:r>
      <w:r w:rsidRPr="003933F9">
        <w:rPr>
          <w:rFonts w:asciiTheme="majorBidi" w:hAnsiTheme="majorBidi" w:cstheme="majorBidi"/>
        </w:rPr>
        <w:t xml:space="preserve"> </w:t>
      </w:r>
      <w:r w:rsidRPr="003933F9">
        <w:rPr>
          <w:rFonts w:ascii="Traditional Arabic" w:hAnsi="Traditional Arabic" w:cs="Traditional Arabic"/>
          <w:sz w:val="28"/>
          <w:szCs w:val="28"/>
        </w:rPr>
        <w:t>(</w:t>
      </w:r>
      <w:r w:rsidRPr="003933F9">
        <w:rPr>
          <w:rFonts w:ascii="Traditional Arabic" w:hAnsi="Traditional Arabic" w:cs="Traditional Arabic"/>
          <w:sz w:val="28"/>
          <w:szCs w:val="28"/>
          <w:rtl/>
        </w:rPr>
        <w:t>البيّنة</w:t>
      </w:r>
      <w:r w:rsidRPr="003933F9">
        <w:rPr>
          <w:rFonts w:ascii="Traditional Arabic" w:hAnsi="Traditional Arabic" w:cs="Traditional Arabic"/>
          <w:sz w:val="28"/>
          <w:szCs w:val="28"/>
        </w:rPr>
        <w:t>)</w:t>
      </w:r>
      <w:r w:rsidRPr="003933F9">
        <w:rPr>
          <w:rFonts w:asciiTheme="majorBidi" w:hAnsiTheme="majorBidi" w:cstheme="majorBidi"/>
        </w:rPr>
        <w:t xml:space="preserve"> yang memiliki arti suatu yang menjelaskan. Secara etimologis, kata ini merujuk pada keterangan, yaitu segala sesuatu yang dapat menjelaskan kebenaran dari suatu peristiwa.</w:t>
      </w:r>
      <w:r w:rsidRPr="00CB082F">
        <w:rPr>
          <w:rStyle w:val="FootnoteReference"/>
          <w:rFonts w:asciiTheme="majorBidi" w:hAnsiTheme="majorBidi" w:cstheme="majorBidi"/>
        </w:rPr>
        <w:footnoteReference w:id="87"/>
      </w:r>
      <w:r w:rsidRPr="00521E1B">
        <w:t xml:space="preserve"> </w:t>
      </w:r>
      <w:r w:rsidRPr="003933F9">
        <w:rPr>
          <w:rFonts w:asciiTheme="majorBidi" w:hAnsiTheme="majorBidi" w:cstheme="majorBidi"/>
        </w:rPr>
        <w:t xml:space="preserve">Para ulama hukum Islam memiliki beragam pemahaman mengenai konsep pembuktian. Ibnu Qayyim al-Jauziyah mendefinisikan </w:t>
      </w:r>
      <w:r w:rsidRPr="003933F9">
        <w:rPr>
          <w:rFonts w:asciiTheme="majorBidi" w:hAnsiTheme="majorBidi" w:cstheme="majorBidi"/>
          <w:i/>
          <w:iCs/>
        </w:rPr>
        <w:t>al-bayyinah</w:t>
      </w:r>
      <w:r w:rsidRPr="003933F9">
        <w:rPr>
          <w:rFonts w:asciiTheme="majorBidi" w:hAnsiTheme="majorBidi" w:cstheme="majorBidi"/>
        </w:rPr>
        <w:t xml:space="preserve"> sebagai segala sesuatu yang dapat menjelaskan kebenaran suatu perkara di hadapan majelis hakim. Definisi ini mencakup berbagai bentuk bukti, mulai dari keterangan saksi hingga bukti-bukti fisik, yang bertujuan untuk mengembalikan hak kepada yang berhak.</w:t>
      </w:r>
      <w:r w:rsidRPr="00CB082F">
        <w:rPr>
          <w:rStyle w:val="FootnoteReference"/>
          <w:rFonts w:asciiTheme="majorBidi" w:hAnsiTheme="majorBidi" w:cstheme="majorBidi"/>
        </w:rPr>
        <w:footnoteReference w:id="88"/>
      </w:r>
      <w:r w:rsidRPr="003933F9">
        <w:rPr>
          <w:rFonts w:asciiTheme="majorBidi" w:hAnsiTheme="majorBidi" w:cstheme="majorBidi"/>
        </w:rPr>
        <w:t xml:space="preserve"> </w:t>
      </w:r>
    </w:p>
    <w:p w14:paraId="7EB22EF9" w14:textId="74CB526B" w:rsidR="008D372B" w:rsidRPr="00D26D9A" w:rsidRDefault="008D372B" w:rsidP="003933F9">
      <w:pPr>
        <w:pStyle w:val="ListParagraph"/>
        <w:spacing w:line="276" w:lineRule="auto"/>
        <w:ind w:left="567" w:firstLine="284"/>
        <w:jc w:val="both"/>
        <w:rPr>
          <w:rFonts w:asciiTheme="majorBidi" w:hAnsiTheme="majorBidi" w:cstheme="majorBidi"/>
        </w:rPr>
      </w:pPr>
      <w:r w:rsidRPr="00CB082F">
        <w:rPr>
          <w:rFonts w:asciiTheme="majorBidi" w:hAnsiTheme="majorBidi" w:cstheme="majorBidi"/>
        </w:rPr>
        <w:t>Menurut Hasbi As</w:t>
      </w:r>
      <w:r w:rsidR="006730EC">
        <w:rPr>
          <w:rFonts w:asciiTheme="majorBidi" w:hAnsiTheme="majorBidi" w:cstheme="majorBidi"/>
        </w:rPr>
        <w:t xml:space="preserve">h </w:t>
      </w:r>
      <w:r w:rsidRPr="00CB082F">
        <w:rPr>
          <w:rFonts w:asciiTheme="majorBidi" w:hAnsiTheme="majorBidi" w:cstheme="majorBidi"/>
        </w:rPr>
        <w:t xml:space="preserve">shiddieqy, pembuktian adalah proses penyampaian keterangan dan bukti untuk mencapai keyakinan. Selain itu, Subhi Mahmasani mendefinisikannya pembuktian sebagai usaha untuk meyakinkan hakim dengan mengajukan alasan dan bukti yang kuat. Sedangkan menurut </w:t>
      </w:r>
      <w:r w:rsidRPr="00CB082F">
        <w:rPr>
          <w:rFonts w:asciiTheme="majorBidi" w:hAnsiTheme="majorBidi" w:cstheme="majorBidi"/>
        </w:rPr>
        <w:lastRenderedPageBreak/>
        <w:t>Subekti, pembuktian adalah proses meyakinkan hakim tentang kebenaran dalil atau bukti yang diajukan dalam suatu perkara.</w:t>
      </w:r>
      <w:r w:rsidRPr="00CB082F">
        <w:rPr>
          <w:rStyle w:val="FootnoteReference"/>
          <w:rFonts w:asciiTheme="majorBidi" w:hAnsiTheme="majorBidi" w:cstheme="majorBidi"/>
        </w:rPr>
        <w:footnoteReference w:id="89"/>
      </w:r>
      <w:r w:rsidRPr="00CB082F">
        <w:rPr>
          <w:rFonts w:asciiTheme="majorBidi" w:hAnsiTheme="majorBidi" w:cstheme="majorBidi"/>
        </w:rPr>
        <w:t xml:space="preserve"> Oleh sebab itu, mengingat perannya yang krusial dalam proses peradilan, pembuktian memiliki landasan hukum yang kokoh, baik dalam Al-Qur'an maupun hadis. Dasar hukum pembuktian </w:t>
      </w:r>
      <w:r>
        <w:rPr>
          <w:rFonts w:asciiTheme="majorBidi" w:hAnsiTheme="majorBidi" w:cstheme="majorBidi"/>
        </w:rPr>
        <w:t xml:space="preserve">terdapat </w:t>
      </w:r>
      <w:r w:rsidRPr="00CB082F">
        <w:rPr>
          <w:rFonts w:asciiTheme="majorBidi" w:hAnsiTheme="majorBidi" w:cstheme="majorBidi"/>
        </w:rPr>
        <w:t xml:space="preserve">dalam </w:t>
      </w:r>
      <w:r>
        <w:rPr>
          <w:rFonts w:asciiTheme="majorBidi" w:hAnsiTheme="majorBidi" w:cstheme="majorBidi"/>
        </w:rPr>
        <w:t>Q.S</w:t>
      </w:r>
      <w:r w:rsidRPr="00CB082F">
        <w:rPr>
          <w:rFonts w:asciiTheme="majorBidi" w:hAnsiTheme="majorBidi" w:cstheme="majorBidi"/>
        </w:rPr>
        <w:t xml:space="preserve"> </w:t>
      </w:r>
      <w:r>
        <w:rPr>
          <w:rFonts w:asciiTheme="majorBidi" w:hAnsiTheme="majorBidi" w:cstheme="majorBidi"/>
        </w:rPr>
        <w:t>A</w:t>
      </w:r>
      <w:r w:rsidRPr="00CB082F">
        <w:rPr>
          <w:rFonts w:asciiTheme="majorBidi" w:hAnsiTheme="majorBidi" w:cstheme="majorBidi"/>
        </w:rPr>
        <w:t>l-Ma’idah ayat 106:</w:t>
      </w:r>
      <w:r w:rsidRPr="00CB082F">
        <w:rPr>
          <w:rStyle w:val="FootnoteReference"/>
          <w:rFonts w:asciiTheme="majorBidi" w:hAnsiTheme="majorBidi" w:cstheme="majorBidi"/>
        </w:rPr>
        <w:footnoteReference w:id="90"/>
      </w:r>
      <w:r w:rsidRPr="00CB082F">
        <w:rPr>
          <w:rFonts w:asciiTheme="majorBidi" w:hAnsiTheme="majorBidi" w:cstheme="majorBidi"/>
        </w:rPr>
        <w:t xml:space="preserve"> </w:t>
      </w:r>
    </w:p>
    <w:p w14:paraId="14C10D1B" w14:textId="77777777" w:rsidR="008D372B" w:rsidRPr="0022706D" w:rsidRDefault="008D372B" w:rsidP="0082570F">
      <w:pPr>
        <w:pStyle w:val="ListParagraph"/>
        <w:spacing w:line="240" w:lineRule="auto"/>
        <w:ind w:left="1080"/>
        <w:jc w:val="right"/>
        <w:rPr>
          <w:rFonts w:ascii="Traditional Arabic" w:hAnsi="Traditional Arabic" w:cs="Traditional Arabic"/>
          <w:sz w:val="32"/>
          <w:szCs w:val="32"/>
          <w:lang w:val="en-US"/>
        </w:rPr>
      </w:pPr>
      <w:r w:rsidRPr="0022706D">
        <w:rPr>
          <w:rFonts w:ascii="Traditional Arabic" w:hAnsi="Traditional Arabic" w:cs="Traditional Arabic"/>
          <w:sz w:val="32"/>
          <w:szCs w:val="32"/>
          <w:rtl/>
          <w:lang w:val="en-US"/>
        </w:rPr>
        <w:t xml:space="preserve">يَٰٓأَيُّهَا ٱلَّذِينَ ءَامَنُوا۟ شَهَٰدَةُ بَيْنِكُمْ إِذَا حَضَرَ أَحَدَكُمُ ٱلْمَوْتُ حِينَ ٱلْوَصِيَّةِ ٱثْنَانِ ذَوَا عَدْلٍ مِّنكُمْ أَوْ ءَاخَرَانِ مِنْ غَيْرِكُمْ إِنْ أَنتُمْ ضَرَبْتُمْ فِى ٱلْأَرْضِ فَأَصَٰبَتْكُم مُّصِيبَةُ ٱلْمَوْتِ ۚ تَحْبِسُونَهُمَا مِنۢ بَعْدِ ٱلصَّلَوٰةِ فَيُقْسِمَانِ بِٱللَّهِ إِنِ ٱرْتَبْتُمْ لَا نَشْتَرِى بِهِۦ ثَمَنًا وَلَوْ كَانَ ذَا قُرْبَىٰ ۙ وَلَا نَكْتُمُ شَهَٰدَةَ ٱللَّهِ إِنَّآ إِذًا لَّمِنَ </w:t>
      </w:r>
      <w:r w:rsidRPr="0055250F">
        <w:rPr>
          <w:rFonts w:ascii="Traditional Arabic" w:hAnsi="Traditional Arabic" w:cs="Traditional Arabic"/>
          <w:sz w:val="32"/>
          <w:szCs w:val="32"/>
          <w:rtl/>
          <w:lang w:val="en-US"/>
        </w:rPr>
        <w:t>الْاٰثِمِيْنَ</w:t>
      </w:r>
    </w:p>
    <w:p w14:paraId="4D208805" w14:textId="54F53307" w:rsidR="008D372B" w:rsidRPr="00CB082F" w:rsidRDefault="008D372B" w:rsidP="0022706D">
      <w:pPr>
        <w:pStyle w:val="ListParagraph"/>
        <w:spacing w:line="240" w:lineRule="auto"/>
        <w:ind w:left="1440"/>
        <w:jc w:val="both"/>
        <w:rPr>
          <w:rFonts w:asciiTheme="majorBidi" w:hAnsiTheme="majorBidi" w:cstheme="majorBidi"/>
          <w:lang w:val="en-US"/>
        </w:rPr>
      </w:pPr>
      <w:r w:rsidRPr="00CB082F">
        <w:rPr>
          <w:rFonts w:asciiTheme="majorBidi" w:hAnsiTheme="majorBidi" w:cstheme="majorBidi"/>
          <w:lang w:val="en-US"/>
        </w:rPr>
        <w:t>“</w:t>
      </w:r>
      <w:r w:rsidRPr="00CB082F">
        <w:rPr>
          <w:rFonts w:asciiTheme="majorBidi" w:hAnsiTheme="majorBidi" w:cstheme="majorBidi"/>
          <w:i/>
          <w:iCs/>
          <w:lang w:val="en-US"/>
        </w:rPr>
        <w:t xml:space="preserve">Hai orang-orang yang beriman, apabila salah seorang kamu menghadapi kematian, sedang dia akan berwasiat, maka hendaklah (wasiat itu) disaksikan oleh dua orang yang adil di antara kamu, atau dua orang yang berlainan agama dengan kamu, jika kamu dalam perjalanan dimuka bumi lalu kamu ditimpa bahaya kematian. Kamu tahan kedua saksi itu sesudah sembahyang (untuk bersumpah), lalu mereka keduanya bersumpah dengan nama Allah, jika kamu ragu-ragu: "(Demi Allah) kami tidak akan membeli dengan sumpah ini harga yang sedikit (untuk kepentingan seseorang), walaupun dia karib kerabat, dan tidak (pula) kami menyembunyikan persaksian Allah; sesungguhnya kami kalau demikian tentulah </w:t>
      </w:r>
      <w:r w:rsidRPr="00CB082F">
        <w:rPr>
          <w:rFonts w:asciiTheme="majorBidi" w:hAnsiTheme="majorBidi" w:cstheme="majorBidi"/>
          <w:i/>
          <w:iCs/>
          <w:lang w:val="en-US"/>
        </w:rPr>
        <w:lastRenderedPageBreak/>
        <w:t xml:space="preserve">termasuk orang-orang yang berdosa”(Q.S </w:t>
      </w:r>
      <w:r w:rsidR="001C7526">
        <w:rPr>
          <w:rFonts w:asciiTheme="majorBidi" w:hAnsiTheme="majorBidi" w:cstheme="majorBidi"/>
          <w:i/>
          <w:iCs/>
        </w:rPr>
        <w:t>A</w:t>
      </w:r>
      <w:r w:rsidRPr="00CB082F">
        <w:rPr>
          <w:rFonts w:asciiTheme="majorBidi" w:hAnsiTheme="majorBidi" w:cstheme="majorBidi"/>
          <w:i/>
          <w:iCs/>
        </w:rPr>
        <w:t>l-Ma’idah:106)</w:t>
      </w:r>
      <w:r w:rsidR="0082570F">
        <w:rPr>
          <w:rStyle w:val="FootnoteReference"/>
          <w:rFonts w:asciiTheme="majorBidi" w:hAnsiTheme="majorBidi" w:cstheme="majorBidi"/>
          <w:i/>
          <w:iCs/>
        </w:rPr>
        <w:footnoteReference w:id="91"/>
      </w:r>
    </w:p>
    <w:p w14:paraId="17AF00AC" w14:textId="77777777" w:rsidR="00350FBA" w:rsidRDefault="00350FBA" w:rsidP="00A30DB3">
      <w:pPr>
        <w:pStyle w:val="ListParagraph"/>
        <w:spacing w:line="276" w:lineRule="auto"/>
        <w:ind w:left="1080" w:firstLine="360"/>
        <w:jc w:val="both"/>
        <w:rPr>
          <w:rFonts w:asciiTheme="majorBidi" w:hAnsiTheme="majorBidi" w:cstheme="majorBidi"/>
        </w:rPr>
      </w:pPr>
    </w:p>
    <w:p w14:paraId="740EFF08" w14:textId="1079473F" w:rsidR="008D372B" w:rsidRPr="00CB082F" w:rsidRDefault="008D372B" w:rsidP="003933F9">
      <w:pPr>
        <w:pStyle w:val="ListParagraph"/>
        <w:spacing w:line="276" w:lineRule="auto"/>
        <w:ind w:left="567" w:firstLine="284"/>
        <w:jc w:val="both"/>
        <w:rPr>
          <w:rFonts w:asciiTheme="majorBidi" w:hAnsiTheme="majorBidi" w:cstheme="majorBidi"/>
          <w:lang w:val="en-US"/>
        </w:rPr>
      </w:pPr>
      <w:r w:rsidRPr="00A30DB3">
        <w:rPr>
          <w:rFonts w:asciiTheme="majorBidi" w:hAnsiTheme="majorBidi" w:cstheme="majorBidi"/>
        </w:rPr>
        <w:t>Tujuan utama pembuktian dalam hukum Islam adalah untuk mengungkap kebenaran dan menegakkan keadilan.</w:t>
      </w:r>
      <w:r>
        <w:rPr>
          <w:rFonts w:asciiTheme="majorBidi" w:hAnsiTheme="majorBidi" w:cstheme="majorBidi"/>
        </w:rPr>
        <w:t xml:space="preserve"> </w:t>
      </w:r>
      <w:r w:rsidRPr="00CB082F">
        <w:rPr>
          <w:rFonts w:asciiTheme="majorBidi" w:hAnsiTheme="majorBidi" w:cstheme="majorBidi"/>
          <w:lang w:val="en-US"/>
        </w:rPr>
        <w:t xml:space="preserve">Ayat </w:t>
      </w:r>
      <w:r>
        <w:rPr>
          <w:rFonts w:asciiTheme="majorBidi" w:hAnsiTheme="majorBidi" w:cstheme="majorBidi"/>
          <w:lang w:val="en-US"/>
        </w:rPr>
        <w:t xml:space="preserve">diatas </w:t>
      </w:r>
      <w:r w:rsidRPr="00CB082F">
        <w:rPr>
          <w:rFonts w:asciiTheme="majorBidi" w:hAnsiTheme="majorBidi" w:cstheme="majorBidi"/>
          <w:lang w:val="en-US"/>
        </w:rPr>
        <w:t>menegaskan bahwa dalam proses penyelesaian perkara atau perselisihan, setiap pihak diwajibkan untuk membuktikan haknya dengan menghadirkan saksi yang adil.</w:t>
      </w:r>
      <w:r w:rsidRPr="00A30DB3">
        <w:t xml:space="preserve"> </w:t>
      </w:r>
      <w:r w:rsidRPr="00A30DB3">
        <w:rPr>
          <w:rFonts w:asciiTheme="majorBidi" w:hAnsiTheme="majorBidi" w:cstheme="majorBidi"/>
        </w:rPr>
        <w:t>Konsep saksi yang adil dalam hukum Islam memiliki kaitan erat dengan prinsip kemaslahatan. Dengan menghadirkan saksi yang adil, diharapkan dapat tercipta suatu keputusan yang tidak hanya benar secara hukum, tetapi juga membawa manfaat bagi masyarakat secara keseluruhan. Hal ini menunjukkan bahwa keadilan dalam Islam tidak hanya sebatas pada aspek individual, melainkan juga mencakup dimensi sosial yang lebih luas.</w:t>
      </w:r>
      <w:r w:rsidRPr="00CB082F">
        <w:rPr>
          <w:rStyle w:val="FootnoteReference"/>
          <w:rFonts w:asciiTheme="majorBidi" w:hAnsiTheme="majorBidi" w:cstheme="majorBidi"/>
          <w:lang w:val="en-US"/>
        </w:rPr>
        <w:footnoteReference w:id="92"/>
      </w:r>
    </w:p>
    <w:p w14:paraId="7E5AC03A" w14:textId="77777777" w:rsidR="008D372B" w:rsidRPr="00CB082F" w:rsidRDefault="008D372B" w:rsidP="003933F9">
      <w:pPr>
        <w:pStyle w:val="ListParagraph"/>
        <w:numPr>
          <w:ilvl w:val="0"/>
          <w:numId w:val="20"/>
        </w:numPr>
        <w:spacing w:line="276" w:lineRule="auto"/>
        <w:ind w:left="567" w:hanging="283"/>
        <w:jc w:val="both"/>
        <w:rPr>
          <w:rFonts w:asciiTheme="majorBidi" w:hAnsiTheme="majorBidi" w:cstheme="majorBidi"/>
          <w:lang w:val="en-US"/>
        </w:rPr>
      </w:pPr>
      <w:r w:rsidRPr="00CB082F">
        <w:rPr>
          <w:rFonts w:asciiTheme="majorBidi" w:hAnsiTheme="majorBidi" w:cstheme="majorBidi"/>
          <w:lang w:val="en-US"/>
        </w:rPr>
        <w:t xml:space="preserve">Macam Macam Alat Bukti dalam Peradilan Islam </w:t>
      </w:r>
    </w:p>
    <w:p w14:paraId="7A8D67AE" w14:textId="77777777" w:rsidR="008D372B" w:rsidRPr="00CB082F" w:rsidRDefault="008D372B" w:rsidP="003933F9">
      <w:pPr>
        <w:pStyle w:val="ListParagraph"/>
        <w:spacing w:line="276" w:lineRule="auto"/>
        <w:ind w:left="567" w:firstLine="284"/>
        <w:jc w:val="both"/>
        <w:rPr>
          <w:rFonts w:asciiTheme="majorBidi" w:hAnsiTheme="majorBidi" w:cstheme="majorBidi"/>
        </w:rPr>
      </w:pPr>
      <w:r w:rsidRPr="00CB082F">
        <w:rPr>
          <w:rFonts w:asciiTheme="majorBidi" w:hAnsiTheme="majorBidi" w:cstheme="majorBidi"/>
        </w:rPr>
        <w:t>Dalam</w:t>
      </w:r>
      <w:r>
        <w:rPr>
          <w:rFonts w:asciiTheme="majorBidi" w:hAnsiTheme="majorBidi" w:cstheme="majorBidi"/>
        </w:rPr>
        <w:t xml:space="preserve"> </w:t>
      </w:r>
      <w:r w:rsidRPr="00CB082F">
        <w:rPr>
          <w:rFonts w:asciiTheme="majorBidi" w:hAnsiTheme="majorBidi" w:cstheme="majorBidi"/>
        </w:rPr>
        <w:t>peradilan Islam, alat bukti memegang peran penting dalam proses penyelesaian perkara. Para ulama memiliki pendapat yang berbeda-beda terkait jenis dan rincian alat bukti yang sah. Berdasarkan pendapat mayoritas ahli fiqih, terdapat tujuh jenis alat bukti yang diakui sah dalam peradilan Islam. Alat bukti tersebut, secara berurutan, adalah sebagai berikut:</w:t>
      </w:r>
      <w:r w:rsidRPr="00CB082F">
        <w:rPr>
          <w:rStyle w:val="FootnoteReference"/>
          <w:rFonts w:asciiTheme="majorBidi" w:hAnsiTheme="majorBidi" w:cstheme="majorBidi"/>
        </w:rPr>
        <w:footnoteReference w:id="93"/>
      </w:r>
    </w:p>
    <w:p w14:paraId="1DCF6CBC" w14:textId="77777777" w:rsidR="008D372B" w:rsidRPr="00CB082F" w:rsidRDefault="008D372B" w:rsidP="003933F9">
      <w:pPr>
        <w:pStyle w:val="ListParagraph"/>
        <w:numPr>
          <w:ilvl w:val="0"/>
          <w:numId w:val="25"/>
        </w:numPr>
        <w:spacing w:line="276" w:lineRule="auto"/>
        <w:ind w:left="851" w:hanging="284"/>
        <w:jc w:val="both"/>
        <w:rPr>
          <w:rFonts w:asciiTheme="majorBidi" w:hAnsiTheme="majorBidi" w:cstheme="majorBidi"/>
          <w:lang w:val="en-US"/>
        </w:rPr>
      </w:pPr>
      <w:r w:rsidRPr="00CB082F">
        <w:rPr>
          <w:rFonts w:asciiTheme="majorBidi" w:hAnsiTheme="majorBidi" w:cstheme="majorBidi"/>
        </w:rPr>
        <w:t>Pengakuan (</w:t>
      </w:r>
      <w:r w:rsidRPr="00F231B8">
        <w:rPr>
          <w:rFonts w:asciiTheme="majorBidi" w:hAnsiTheme="majorBidi" w:cstheme="majorBidi"/>
          <w:i/>
          <w:iCs/>
        </w:rPr>
        <w:t>iqrar)</w:t>
      </w:r>
      <w:r w:rsidRPr="00CB082F">
        <w:rPr>
          <w:rFonts w:asciiTheme="majorBidi" w:hAnsiTheme="majorBidi" w:cstheme="majorBidi"/>
        </w:rPr>
        <w:t xml:space="preserve"> </w:t>
      </w:r>
    </w:p>
    <w:p w14:paraId="398B18C7" w14:textId="77777777" w:rsidR="008D372B" w:rsidRPr="00CB082F" w:rsidRDefault="008D372B" w:rsidP="003933F9">
      <w:pPr>
        <w:pStyle w:val="ListParagraph"/>
        <w:numPr>
          <w:ilvl w:val="0"/>
          <w:numId w:val="25"/>
        </w:numPr>
        <w:spacing w:line="276" w:lineRule="auto"/>
        <w:ind w:left="851" w:hanging="284"/>
        <w:jc w:val="both"/>
        <w:rPr>
          <w:rFonts w:asciiTheme="majorBidi" w:hAnsiTheme="majorBidi" w:cstheme="majorBidi"/>
        </w:rPr>
      </w:pPr>
      <w:r w:rsidRPr="00CB082F">
        <w:rPr>
          <w:rFonts w:asciiTheme="majorBidi" w:hAnsiTheme="majorBidi" w:cstheme="majorBidi"/>
        </w:rPr>
        <w:t xml:space="preserve">Kesaksian </w:t>
      </w:r>
      <w:r w:rsidRPr="00F231B8">
        <w:rPr>
          <w:rFonts w:asciiTheme="majorBidi" w:hAnsiTheme="majorBidi" w:cstheme="majorBidi"/>
          <w:i/>
          <w:iCs/>
        </w:rPr>
        <w:t>(shahadah</w:t>
      </w:r>
      <w:r w:rsidRPr="00CB082F">
        <w:rPr>
          <w:rFonts w:asciiTheme="majorBidi" w:hAnsiTheme="majorBidi" w:cstheme="majorBidi"/>
        </w:rPr>
        <w:t xml:space="preserve">) </w:t>
      </w:r>
    </w:p>
    <w:p w14:paraId="284251C7" w14:textId="77777777" w:rsidR="008D372B" w:rsidRPr="00CB082F" w:rsidRDefault="008D372B" w:rsidP="003933F9">
      <w:pPr>
        <w:pStyle w:val="ListParagraph"/>
        <w:numPr>
          <w:ilvl w:val="0"/>
          <w:numId w:val="25"/>
        </w:numPr>
        <w:spacing w:line="276" w:lineRule="auto"/>
        <w:ind w:left="851" w:hanging="284"/>
        <w:jc w:val="both"/>
        <w:rPr>
          <w:rFonts w:asciiTheme="majorBidi" w:hAnsiTheme="majorBidi" w:cstheme="majorBidi"/>
        </w:rPr>
      </w:pPr>
      <w:r w:rsidRPr="00CB082F">
        <w:rPr>
          <w:rFonts w:asciiTheme="majorBidi" w:hAnsiTheme="majorBidi" w:cstheme="majorBidi"/>
        </w:rPr>
        <w:t xml:space="preserve"> Sumpah (</w:t>
      </w:r>
      <w:r w:rsidRPr="00F231B8">
        <w:rPr>
          <w:rFonts w:asciiTheme="majorBidi" w:hAnsiTheme="majorBidi" w:cstheme="majorBidi"/>
          <w:i/>
          <w:iCs/>
        </w:rPr>
        <w:t>yamin</w:t>
      </w:r>
      <w:r w:rsidRPr="00CB082F">
        <w:rPr>
          <w:rFonts w:asciiTheme="majorBidi" w:hAnsiTheme="majorBidi" w:cstheme="majorBidi"/>
        </w:rPr>
        <w:t>)</w:t>
      </w:r>
    </w:p>
    <w:p w14:paraId="1347FDB6" w14:textId="77777777" w:rsidR="008D372B" w:rsidRPr="00CB082F" w:rsidRDefault="008D372B" w:rsidP="003933F9">
      <w:pPr>
        <w:pStyle w:val="ListParagraph"/>
        <w:numPr>
          <w:ilvl w:val="0"/>
          <w:numId w:val="25"/>
        </w:numPr>
        <w:spacing w:line="276" w:lineRule="auto"/>
        <w:ind w:left="851" w:hanging="284"/>
        <w:jc w:val="both"/>
        <w:rPr>
          <w:rFonts w:asciiTheme="majorBidi" w:hAnsiTheme="majorBidi" w:cstheme="majorBidi"/>
        </w:rPr>
      </w:pPr>
      <w:r w:rsidRPr="00CB082F">
        <w:rPr>
          <w:rFonts w:asciiTheme="majorBidi" w:hAnsiTheme="majorBidi" w:cstheme="majorBidi"/>
        </w:rPr>
        <w:t>Penolakan sumpah (</w:t>
      </w:r>
      <w:r w:rsidRPr="00F231B8">
        <w:rPr>
          <w:rFonts w:asciiTheme="majorBidi" w:hAnsiTheme="majorBidi" w:cstheme="majorBidi"/>
          <w:i/>
          <w:iCs/>
        </w:rPr>
        <w:t>nukul)</w:t>
      </w:r>
    </w:p>
    <w:p w14:paraId="4BDCEE5B" w14:textId="77777777" w:rsidR="008D372B" w:rsidRPr="00CB082F" w:rsidRDefault="008D372B" w:rsidP="003933F9">
      <w:pPr>
        <w:pStyle w:val="ListParagraph"/>
        <w:numPr>
          <w:ilvl w:val="0"/>
          <w:numId w:val="25"/>
        </w:numPr>
        <w:spacing w:line="276" w:lineRule="auto"/>
        <w:ind w:left="851" w:hanging="284"/>
        <w:jc w:val="both"/>
        <w:rPr>
          <w:rFonts w:asciiTheme="majorBidi" w:hAnsiTheme="majorBidi" w:cstheme="majorBidi"/>
        </w:rPr>
      </w:pPr>
      <w:r w:rsidRPr="00CB082F">
        <w:rPr>
          <w:rFonts w:asciiTheme="majorBidi" w:hAnsiTheme="majorBidi" w:cstheme="majorBidi"/>
        </w:rPr>
        <w:lastRenderedPageBreak/>
        <w:t>Sumpah oleh orang banyak (</w:t>
      </w:r>
      <w:r w:rsidRPr="00F231B8">
        <w:rPr>
          <w:rFonts w:asciiTheme="majorBidi" w:hAnsiTheme="majorBidi" w:cstheme="majorBidi"/>
          <w:i/>
          <w:iCs/>
        </w:rPr>
        <w:t>qasamah</w:t>
      </w:r>
      <w:r w:rsidRPr="00CB082F">
        <w:rPr>
          <w:rFonts w:asciiTheme="majorBidi" w:hAnsiTheme="majorBidi" w:cstheme="majorBidi"/>
        </w:rPr>
        <w:t xml:space="preserve">), </w:t>
      </w:r>
    </w:p>
    <w:p w14:paraId="75B0FE95" w14:textId="77777777" w:rsidR="008D372B" w:rsidRPr="00CB082F" w:rsidRDefault="008D372B" w:rsidP="003933F9">
      <w:pPr>
        <w:pStyle w:val="ListParagraph"/>
        <w:numPr>
          <w:ilvl w:val="0"/>
          <w:numId w:val="25"/>
        </w:numPr>
        <w:spacing w:line="276" w:lineRule="auto"/>
        <w:ind w:left="851" w:hanging="284"/>
        <w:jc w:val="both"/>
        <w:rPr>
          <w:rFonts w:asciiTheme="majorBidi" w:hAnsiTheme="majorBidi" w:cstheme="majorBidi"/>
        </w:rPr>
      </w:pPr>
      <w:r w:rsidRPr="00CB082F">
        <w:rPr>
          <w:rFonts w:asciiTheme="majorBidi" w:hAnsiTheme="majorBidi" w:cstheme="majorBidi"/>
        </w:rPr>
        <w:t xml:space="preserve">Pengetahuan hakim </w:t>
      </w:r>
      <w:r w:rsidRPr="00F231B8">
        <w:rPr>
          <w:rFonts w:asciiTheme="majorBidi" w:hAnsiTheme="majorBidi" w:cstheme="majorBidi"/>
          <w:i/>
          <w:iCs/>
        </w:rPr>
        <w:t>(‘ilm al-qadi</w:t>
      </w:r>
      <w:r w:rsidRPr="00CB082F">
        <w:rPr>
          <w:rFonts w:asciiTheme="majorBidi" w:hAnsiTheme="majorBidi" w:cstheme="majorBidi"/>
        </w:rPr>
        <w:t xml:space="preserve">) </w:t>
      </w:r>
    </w:p>
    <w:p w14:paraId="22239F0E" w14:textId="77777777" w:rsidR="008D372B" w:rsidRPr="00CB082F" w:rsidRDefault="008D372B" w:rsidP="003933F9">
      <w:pPr>
        <w:pStyle w:val="ListParagraph"/>
        <w:numPr>
          <w:ilvl w:val="0"/>
          <w:numId w:val="25"/>
        </w:numPr>
        <w:spacing w:line="276" w:lineRule="auto"/>
        <w:ind w:left="851" w:hanging="284"/>
        <w:jc w:val="both"/>
        <w:rPr>
          <w:rFonts w:asciiTheme="majorBidi" w:hAnsiTheme="majorBidi" w:cstheme="majorBidi"/>
        </w:rPr>
      </w:pPr>
      <w:r w:rsidRPr="00CB082F">
        <w:rPr>
          <w:rFonts w:asciiTheme="majorBidi" w:hAnsiTheme="majorBidi" w:cstheme="majorBidi"/>
        </w:rPr>
        <w:t>Tanda atau petunjuk (</w:t>
      </w:r>
      <w:r w:rsidRPr="00F231B8">
        <w:rPr>
          <w:rFonts w:asciiTheme="majorBidi" w:hAnsiTheme="majorBidi" w:cstheme="majorBidi"/>
          <w:i/>
          <w:iCs/>
        </w:rPr>
        <w:t>qarinah)</w:t>
      </w:r>
    </w:p>
    <w:p w14:paraId="4B99988D" w14:textId="3725BCE5" w:rsidR="008D372B" w:rsidRPr="00CB082F" w:rsidRDefault="008D372B" w:rsidP="003933F9">
      <w:pPr>
        <w:pStyle w:val="ListParagraph"/>
        <w:spacing w:line="276" w:lineRule="auto"/>
        <w:ind w:left="567" w:firstLine="284"/>
        <w:jc w:val="both"/>
        <w:rPr>
          <w:rFonts w:asciiTheme="majorBidi" w:hAnsiTheme="majorBidi" w:cstheme="majorBidi"/>
        </w:rPr>
      </w:pPr>
      <w:r w:rsidRPr="00CB082F">
        <w:rPr>
          <w:rFonts w:asciiTheme="majorBidi" w:hAnsiTheme="majorBidi" w:cstheme="majorBidi"/>
        </w:rPr>
        <w:t>Hasbi Ash S</w:t>
      </w:r>
      <w:r w:rsidR="006730EC">
        <w:rPr>
          <w:rFonts w:asciiTheme="majorBidi" w:hAnsiTheme="majorBidi" w:cstheme="majorBidi"/>
        </w:rPr>
        <w:t>h</w:t>
      </w:r>
      <w:r w:rsidRPr="00CB082F">
        <w:rPr>
          <w:rFonts w:asciiTheme="majorBidi" w:hAnsiTheme="majorBidi" w:cstheme="majorBidi"/>
        </w:rPr>
        <w:t xml:space="preserve">iddieqy dalam bukunya </w:t>
      </w:r>
      <w:r w:rsidRPr="00CB082F">
        <w:rPr>
          <w:rFonts w:asciiTheme="majorBidi" w:hAnsiTheme="majorBidi" w:cstheme="majorBidi"/>
          <w:i/>
          <w:iCs/>
        </w:rPr>
        <w:t>Peradilan Dan Hukum Acara Islam</w:t>
      </w:r>
      <w:r w:rsidRPr="00CB082F">
        <w:rPr>
          <w:rFonts w:asciiTheme="majorBidi" w:hAnsiTheme="majorBidi" w:cstheme="majorBidi"/>
        </w:rPr>
        <w:t xml:space="preserve"> membagi alat bukti yang terpokok atau hujjah hujjah syariah menjadi tiga  yaitu:</w:t>
      </w:r>
      <w:r w:rsidRPr="00CB082F">
        <w:rPr>
          <w:rStyle w:val="FootnoteReference"/>
          <w:rFonts w:asciiTheme="majorBidi" w:hAnsiTheme="majorBidi" w:cstheme="majorBidi"/>
        </w:rPr>
        <w:footnoteReference w:id="94"/>
      </w:r>
    </w:p>
    <w:p w14:paraId="5E7E4977" w14:textId="77777777" w:rsidR="008D372B" w:rsidRPr="00CB082F" w:rsidRDefault="008D372B" w:rsidP="003933F9">
      <w:pPr>
        <w:pStyle w:val="ListParagraph"/>
        <w:numPr>
          <w:ilvl w:val="0"/>
          <w:numId w:val="28"/>
        </w:numPr>
        <w:spacing w:line="276" w:lineRule="auto"/>
        <w:ind w:left="851" w:hanging="284"/>
        <w:jc w:val="both"/>
        <w:rPr>
          <w:rFonts w:asciiTheme="majorBidi" w:hAnsiTheme="majorBidi" w:cstheme="majorBidi"/>
        </w:rPr>
      </w:pPr>
      <w:r w:rsidRPr="00F231B8">
        <w:rPr>
          <w:rFonts w:asciiTheme="majorBidi" w:hAnsiTheme="majorBidi" w:cstheme="majorBidi"/>
          <w:i/>
          <w:iCs/>
        </w:rPr>
        <w:t>Iqrar</w:t>
      </w:r>
      <w:r w:rsidRPr="00CB082F">
        <w:rPr>
          <w:rFonts w:asciiTheme="majorBidi" w:hAnsiTheme="majorBidi" w:cstheme="majorBidi"/>
        </w:rPr>
        <w:t xml:space="preserve"> ( pengakuan)</w:t>
      </w:r>
    </w:p>
    <w:p w14:paraId="2DD537D1" w14:textId="77777777" w:rsidR="008D372B" w:rsidRPr="00CB082F" w:rsidRDefault="008D372B" w:rsidP="003933F9">
      <w:pPr>
        <w:pStyle w:val="ListParagraph"/>
        <w:numPr>
          <w:ilvl w:val="0"/>
          <w:numId w:val="28"/>
        </w:numPr>
        <w:spacing w:line="276" w:lineRule="auto"/>
        <w:ind w:left="851" w:hanging="284"/>
        <w:jc w:val="both"/>
        <w:rPr>
          <w:rFonts w:asciiTheme="majorBidi" w:hAnsiTheme="majorBidi" w:cstheme="majorBidi"/>
        </w:rPr>
      </w:pPr>
      <w:r w:rsidRPr="00F231B8">
        <w:rPr>
          <w:rFonts w:asciiTheme="majorBidi" w:hAnsiTheme="majorBidi" w:cstheme="majorBidi"/>
          <w:i/>
          <w:iCs/>
        </w:rPr>
        <w:t>Syahadah (</w:t>
      </w:r>
      <w:r w:rsidRPr="00CB082F">
        <w:rPr>
          <w:rFonts w:asciiTheme="majorBidi" w:hAnsiTheme="majorBidi" w:cstheme="majorBidi"/>
        </w:rPr>
        <w:t xml:space="preserve">kesaksian). </w:t>
      </w:r>
    </w:p>
    <w:p w14:paraId="67CB21BE" w14:textId="77777777" w:rsidR="008D372B" w:rsidRPr="00CB082F" w:rsidRDefault="008D372B" w:rsidP="003933F9">
      <w:pPr>
        <w:pStyle w:val="ListParagraph"/>
        <w:numPr>
          <w:ilvl w:val="0"/>
          <w:numId w:val="28"/>
        </w:numPr>
        <w:spacing w:line="276" w:lineRule="auto"/>
        <w:ind w:left="851" w:hanging="284"/>
        <w:jc w:val="both"/>
        <w:rPr>
          <w:rFonts w:asciiTheme="majorBidi" w:hAnsiTheme="majorBidi" w:cstheme="majorBidi"/>
        </w:rPr>
      </w:pPr>
      <w:r w:rsidRPr="00F231B8">
        <w:rPr>
          <w:rFonts w:asciiTheme="majorBidi" w:hAnsiTheme="majorBidi" w:cstheme="majorBidi"/>
          <w:i/>
          <w:iCs/>
        </w:rPr>
        <w:t>Yamin</w:t>
      </w:r>
      <w:r w:rsidRPr="00CB082F">
        <w:rPr>
          <w:rFonts w:asciiTheme="majorBidi" w:hAnsiTheme="majorBidi" w:cstheme="majorBidi"/>
        </w:rPr>
        <w:t xml:space="preserve"> (sumpah). </w:t>
      </w:r>
    </w:p>
    <w:p w14:paraId="76DA6789" w14:textId="6821BE06" w:rsidR="008D372B" w:rsidRPr="00CB082F" w:rsidRDefault="008D372B" w:rsidP="003933F9">
      <w:pPr>
        <w:pStyle w:val="ListParagraph"/>
        <w:spacing w:line="276" w:lineRule="auto"/>
        <w:ind w:left="567" w:firstLine="284"/>
        <w:jc w:val="both"/>
        <w:rPr>
          <w:rFonts w:asciiTheme="majorBidi" w:hAnsiTheme="majorBidi" w:cstheme="majorBidi"/>
        </w:rPr>
      </w:pPr>
      <w:r w:rsidRPr="00CB082F">
        <w:rPr>
          <w:rFonts w:asciiTheme="majorBidi" w:hAnsiTheme="majorBidi" w:cstheme="majorBidi"/>
        </w:rPr>
        <w:t>Ibnu Rus</w:t>
      </w:r>
      <w:r w:rsidR="006730EC">
        <w:rPr>
          <w:rFonts w:asciiTheme="majorBidi" w:hAnsiTheme="majorBidi" w:cstheme="majorBidi"/>
        </w:rPr>
        <w:t>y</w:t>
      </w:r>
      <w:r w:rsidRPr="00CB082F">
        <w:rPr>
          <w:rFonts w:asciiTheme="majorBidi" w:hAnsiTheme="majorBidi" w:cstheme="majorBidi"/>
        </w:rPr>
        <w:t xml:space="preserve">d dalam kitab </w:t>
      </w:r>
      <w:r w:rsidRPr="00CB082F">
        <w:rPr>
          <w:rFonts w:asciiTheme="majorBidi" w:hAnsiTheme="majorBidi" w:cstheme="majorBidi"/>
          <w:i/>
          <w:iCs/>
        </w:rPr>
        <w:t xml:space="preserve">Bidayah al-Mujtahid </w:t>
      </w:r>
      <w:r w:rsidRPr="00CB082F">
        <w:rPr>
          <w:rFonts w:asciiTheme="majorBidi" w:hAnsiTheme="majorBidi" w:cstheme="majorBidi"/>
        </w:rPr>
        <w:t>meringkas alat bukti menjadi empat jenis dengan urutan, yaitu:</w:t>
      </w:r>
      <w:r w:rsidRPr="00CB082F">
        <w:rPr>
          <w:rStyle w:val="FootnoteReference"/>
          <w:rFonts w:asciiTheme="majorBidi" w:hAnsiTheme="majorBidi" w:cstheme="majorBidi"/>
        </w:rPr>
        <w:footnoteReference w:id="95"/>
      </w:r>
    </w:p>
    <w:p w14:paraId="33C2FA17" w14:textId="77777777" w:rsidR="008D372B" w:rsidRPr="00CB082F" w:rsidRDefault="008D372B" w:rsidP="003933F9">
      <w:pPr>
        <w:pStyle w:val="ListParagraph"/>
        <w:numPr>
          <w:ilvl w:val="0"/>
          <w:numId w:val="26"/>
        </w:numPr>
        <w:spacing w:line="276" w:lineRule="auto"/>
        <w:ind w:left="851" w:hanging="284"/>
        <w:jc w:val="both"/>
        <w:rPr>
          <w:rFonts w:asciiTheme="majorBidi" w:hAnsiTheme="majorBidi" w:cstheme="majorBidi"/>
        </w:rPr>
      </w:pPr>
      <w:r w:rsidRPr="00CB082F">
        <w:rPr>
          <w:rFonts w:asciiTheme="majorBidi" w:hAnsiTheme="majorBidi" w:cstheme="majorBidi"/>
        </w:rPr>
        <w:t xml:space="preserve">Kesaksian </w:t>
      </w:r>
      <w:r w:rsidRPr="00F231B8">
        <w:rPr>
          <w:rFonts w:asciiTheme="majorBidi" w:hAnsiTheme="majorBidi" w:cstheme="majorBidi"/>
          <w:i/>
          <w:iCs/>
        </w:rPr>
        <w:t>(syahadah</w:t>
      </w:r>
      <w:r w:rsidRPr="00CB082F">
        <w:rPr>
          <w:rFonts w:asciiTheme="majorBidi" w:hAnsiTheme="majorBidi" w:cstheme="majorBidi"/>
        </w:rPr>
        <w:t xml:space="preserve">) </w:t>
      </w:r>
    </w:p>
    <w:p w14:paraId="5A011FFE" w14:textId="77777777" w:rsidR="008D372B" w:rsidRPr="00CB082F" w:rsidRDefault="008D372B" w:rsidP="003933F9">
      <w:pPr>
        <w:pStyle w:val="ListParagraph"/>
        <w:numPr>
          <w:ilvl w:val="0"/>
          <w:numId w:val="26"/>
        </w:numPr>
        <w:spacing w:line="276" w:lineRule="auto"/>
        <w:ind w:left="851" w:hanging="284"/>
        <w:jc w:val="both"/>
        <w:rPr>
          <w:rFonts w:asciiTheme="majorBidi" w:hAnsiTheme="majorBidi" w:cstheme="majorBidi"/>
        </w:rPr>
      </w:pPr>
      <w:r w:rsidRPr="00CB082F">
        <w:rPr>
          <w:rFonts w:asciiTheme="majorBidi" w:hAnsiTheme="majorBidi" w:cstheme="majorBidi"/>
        </w:rPr>
        <w:t>Sumpah (</w:t>
      </w:r>
      <w:r w:rsidRPr="00F231B8">
        <w:rPr>
          <w:rFonts w:asciiTheme="majorBidi" w:hAnsiTheme="majorBidi" w:cstheme="majorBidi"/>
          <w:i/>
          <w:iCs/>
        </w:rPr>
        <w:t>yamin)</w:t>
      </w:r>
      <w:r w:rsidRPr="00CB082F">
        <w:rPr>
          <w:rFonts w:asciiTheme="majorBidi" w:hAnsiTheme="majorBidi" w:cstheme="majorBidi"/>
        </w:rPr>
        <w:t xml:space="preserve"> </w:t>
      </w:r>
    </w:p>
    <w:p w14:paraId="783532BB" w14:textId="77777777" w:rsidR="008D372B" w:rsidRPr="00CB082F" w:rsidRDefault="008D372B" w:rsidP="003933F9">
      <w:pPr>
        <w:pStyle w:val="ListParagraph"/>
        <w:numPr>
          <w:ilvl w:val="0"/>
          <w:numId w:val="26"/>
        </w:numPr>
        <w:spacing w:line="276" w:lineRule="auto"/>
        <w:ind w:left="851" w:hanging="284"/>
        <w:jc w:val="both"/>
        <w:rPr>
          <w:rFonts w:asciiTheme="majorBidi" w:hAnsiTheme="majorBidi" w:cstheme="majorBidi"/>
        </w:rPr>
      </w:pPr>
      <w:r w:rsidRPr="00CB082F">
        <w:rPr>
          <w:rFonts w:asciiTheme="majorBidi" w:hAnsiTheme="majorBidi" w:cstheme="majorBidi"/>
        </w:rPr>
        <w:t>Penolakan sumpah (</w:t>
      </w:r>
      <w:r w:rsidRPr="00F231B8">
        <w:rPr>
          <w:rFonts w:asciiTheme="majorBidi" w:hAnsiTheme="majorBidi" w:cstheme="majorBidi"/>
          <w:i/>
          <w:iCs/>
        </w:rPr>
        <w:t>nukul)</w:t>
      </w:r>
      <w:r w:rsidRPr="00CB082F">
        <w:rPr>
          <w:rFonts w:asciiTheme="majorBidi" w:hAnsiTheme="majorBidi" w:cstheme="majorBidi"/>
        </w:rPr>
        <w:t xml:space="preserve"> </w:t>
      </w:r>
    </w:p>
    <w:p w14:paraId="2BE81982" w14:textId="77777777" w:rsidR="008D372B" w:rsidRPr="00CB082F" w:rsidRDefault="008D372B" w:rsidP="003933F9">
      <w:pPr>
        <w:pStyle w:val="ListParagraph"/>
        <w:numPr>
          <w:ilvl w:val="0"/>
          <w:numId w:val="26"/>
        </w:numPr>
        <w:spacing w:line="276" w:lineRule="auto"/>
        <w:ind w:left="851" w:hanging="284"/>
        <w:jc w:val="both"/>
        <w:rPr>
          <w:rFonts w:asciiTheme="majorBidi" w:hAnsiTheme="majorBidi" w:cstheme="majorBidi"/>
        </w:rPr>
      </w:pPr>
      <w:r w:rsidRPr="00CB082F">
        <w:rPr>
          <w:rFonts w:asciiTheme="majorBidi" w:hAnsiTheme="majorBidi" w:cstheme="majorBidi"/>
        </w:rPr>
        <w:t>Pengakuan (</w:t>
      </w:r>
      <w:r w:rsidRPr="00F231B8">
        <w:rPr>
          <w:rFonts w:asciiTheme="majorBidi" w:hAnsiTheme="majorBidi" w:cstheme="majorBidi"/>
          <w:i/>
          <w:iCs/>
        </w:rPr>
        <w:t>iqrar)</w:t>
      </w:r>
    </w:p>
    <w:p w14:paraId="02276786" w14:textId="77777777" w:rsidR="008D372B" w:rsidRPr="00CB082F" w:rsidRDefault="008D372B" w:rsidP="003933F9">
      <w:pPr>
        <w:pStyle w:val="ListParagraph"/>
        <w:spacing w:line="276" w:lineRule="auto"/>
        <w:ind w:left="567" w:firstLine="284"/>
        <w:jc w:val="both"/>
        <w:rPr>
          <w:rFonts w:asciiTheme="majorBidi" w:hAnsiTheme="majorBidi" w:cstheme="majorBidi"/>
        </w:rPr>
      </w:pPr>
      <w:r w:rsidRPr="00CB082F">
        <w:rPr>
          <w:rFonts w:asciiTheme="majorBidi" w:hAnsiTheme="majorBidi" w:cstheme="majorBidi"/>
        </w:rPr>
        <w:t xml:space="preserve">Sementara itu, Ahmad Fathi Bahansi dalam bukunya </w:t>
      </w:r>
      <w:r w:rsidRPr="00CB082F">
        <w:rPr>
          <w:rFonts w:asciiTheme="majorBidi" w:hAnsiTheme="majorBidi" w:cstheme="majorBidi"/>
          <w:i/>
          <w:iCs/>
        </w:rPr>
        <w:t>Nazariyah al-Ithbit fi al-Fiqh al-Jinayi al-Islami,</w:t>
      </w:r>
      <w:r w:rsidRPr="00CB082F">
        <w:rPr>
          <w:rFonts w:asciiTheme="majorBidi" w:hAnsiTheme="majorBidi" w:cstheme="majorBidi"/>
        </w:rPr>
        <w:t xml:space="preserve"> menjelaskan alat bukti secara lebih rinci  yaitu:</w:t>
      </w:r>
      <w:r w:rsidRPr="00CB082F">
        <w:rPr>
          <w:rStyle w:val="FootnoteReference"/>
          <w:rFonts w:asciiTheme="majorBidi" w:hAnsiTheme="majorBidi" w:cstheme="majorBidi"/>
        </w:rPr>
        <w:footnoteReference w:id="96"/>
      </w:r>
    </w:p>
    <w:p w14:paraId="3CBB243F" w14:textId="77777777" w:rsidR="008D372B" w:rsidRPr="00CB082F" w:rsidRDefault="008D372B" w:rsidP="003933F9">
      <w:pPr>
        <w:pStyle w:val="ListParagraph"/>
        <w:numPr>
          <w:ilvl w:val="0"/>
          <w:numId w:val="27"/>
        </w:numPr>
        <w:spacing w:line="276" w:lineRule="auto"/>
        <w:ind w:left="851" w:hanging="284"/>
        <w:jc w:val="both"/>
        <w:rPr>
          <w:rFonts w:asciiTheme="majorBidi" w:hAnsiTheme="majorBidi" w:cstheme="majorBidi"/>
        </w:rPr>
      </w:pPr>
      <w:r w:rsidRPr="00CB082F">
        <w:rPr>
          <w:rFonts w:asciiTheme="majorBidi" w:hAnsiTheme="majorBidi" w:cstheme="majorBidi"/>
        </w:rPr>
        <w:t>Kesaksian (</w:t>
      </w:r>
      <w:r w:rsidRPr="00F231B8">
        <w:rPr>
          <w:rFonts w:asciiTheme="majorBidi" w:hAnsiTheme="majorBidi" w:cstheme="majorBidi"/>
          <w:i/>
          <w:iCs/>
        </w:rPr>
        <w:t>syahadah)</w:t>
      </w:r>
      <w:r w:rsidRPr="00CB082F">
        <w:rPr>
          <w:rFonts w:asciiTheme="majorBidi" w:hAnsiTheme="majorBidi" w:cstheme="majorBidi"/>
        </w:rPr>
        <w:t xml:space="preserve"> </w:t>
      </w:r>
    </w:p>
    <w:p w14:paraId="726A50F0" w14:textId="77777777" w:rsidR="008D372B" w:rsidRPr="00CB082F" w:rsidRDefault="008D372B" w:rsidP="003933F9">
      <w:pPr>
        <w:pStyle w:val="ListParagraph"/>
        <w:numPr>
          <w:ilvl w:val="0"/>
          <w:numId w:val="27"/>
        </w:numPr>
        <w:spacing w:line="276" w:lineRule="auto"/>
        <w:ind w:left="851" w:hanging="284"/>
        <w:jc w:val="both"/>
        <w:rPr>
          <w:rFonts w:asciiTheme="majorBidi" w:hAnsiTheme="majorBidi" w:cstheme="majorBidi"/>
        </w:rPr>
      </w:pPr>
      <w:r w:rsidRPr="00CB082F">
        <w:rPr>
          <w:rFonts w:asciiTheme="majorBidi" w:hAnsiTheme="majorBidi" w:cstheme="majorBidi"/>
        </w:rPr>
        <w:t>Pengakuan (</w:t>
      </w:r>
      <w:r w:rsidRPr="00F231B8">
        <w:rPr>
          <w:rFonts w:asciiTheme="majorBidi" w:hAnsiTheme="majorBidi" w:cstheme="majorBidi"/>
          <w:i/>
          <w:iCs/>
        </w:rPr>
        <w:t>iqrar)</w:t>
      </w:r>
      <w:r w:rsidRPr="00CB082F">
        <w:rPr>
          <w:rFonts w:asciiTheme="majorBidi" w:hAnsiTheme="majorBidi" w:cstheme="majorBidi"/>
        </w:rPr>
        <w:t xml:space="preserve"> </w:t>
      </w:r>
    </w:p>
    <w:p w14:paraId="73B0060A" w14:textId="77777777" w:rsidR="008D372B" w:rsidRPr="00CB082F" w:rsidRDefault="008D372B" w:rsidP="003933F9">
      <w:pPr>
        <w:pStyle w:val="ListParagraph"/>
        <w:numPr>
          <w:ilvl w:val="0"/>
          <w:numId w:val="27"/>
        </w:numPr>
        <w:spacing w:line="276" w:lineRule="auto"/>
        <w:ind w:left="851" w:hanging="284"/>
        <w:jc w:val="both"/>
        <w:rPr>
          <w:rFonts w:asciiTheme="majorBidi" w:hAnsiTheme="majorBidi" w:cstheme="majorBidi"/>
        </w:rPr>
      </w:pPr>
      <w:r w:rsidRPr="00CB082F">
        <w:rPr>
          <w:rFonts w:asciiTheme="majorBidi" w:hAnsiTheme="majorBidi" w:cstheme="majorBidi"/>
        </w:rPr>
        <w:t>Tanda atau petunjuk (</w:t>
      </w:r>
      <w:r w:rsidRPr="00F231B8">
        <w:rPr>
          <w:rFonts w:asciiTheme="majorBidi" w:hAnsiTheme="majorBidi" w:cstheme="majorBidi"/>
          <w:i/>
          <w:iCs/>
        </w:rPr>
        <w:t>qarinah)</w:t>
      </w:r>
    </w:p>
    <w:p w14:paraId="42E49B67" w14:textId="77777777" w:rsidR="008D372B" w:rsidRPr="00CB082F" w:rsidRDefault="008D372B" w:rsidP="003933F9">
      <w:pPr>
        <w:pStyle w:val="ListParagraph"/>
        <w:numPr>
          <w:ilvl w:val="0"/>
          <w:numId w:val="27"/>
        </w:numPr>
        <w:spacing w:line="276" w:lineRule="auto"/>
        <w:ind w:left="851" w:hanging="284"/>
        <w:jc w:val="both"/>
        <w:rPr>
          <w:rFonts w:asciiTheme="majorBidi" w:hAnsiTheme="majorBidi" w:cstheme="majorBidi"/>
        </w:rPr>
      </w:pPr>
      <w:r w:rsidRPr="00CB082F">
        <w:rPr>
          <w:rFonts w:asciiTheme="majorBidi" w:hAnsiTheme="majorBidi" w:cstheme="majorBidi"/>
        </w:rPr>
        <w:t xml:space="preserve">Pendapat ahli </w:t>
      </w:r>
    </w:p>
    <w:p w14:paraId="572A9C4D" w14:textId="77777777" w:rsidR="008D372B" w:rsidRPr="00CB082F" w:rsidRDefault="008D372B" w:rsidP="003933F9">
      <w:pPr>
        <w:pStyle w:val="ListParagraph"/>
        <w:numPr>
          <w:ilvl w:val="0"/>
          <w:numId w:val="27"/>
        </w:numPr>
        <w:spacing w:line="276" w:lineRule="auto"/>
        <w:ind w:left="851" w:hanging="284"/>
        <w:jc w:val="both"/>
        <w:rPr>
          <w:rFonts w:asciiTheme="majorBidi" w:hAnsiTheme="majorBidi" w:cstheme="majorBidi"/>
        </w:rPr>
      </w:pPr>
      <w:r w:rsidRPr="00CB082F">
        <w:rPr>
          <w:rFonts w:asciiTheme="majorBidi" w:hAnsiTheme="majorBidi" w:cstheme="majorBidi"/>
        </w:rPr>
        <w:t xml:space="preserve">Pengetahuan hakim (ilmu qadhi) </w:t>
      </w:r>
    </w:p>
    <w:p w14:paraId="18BB26AB" w14:textId="77777777" w:rsidR="008D372B" w:rsidRPr="00CB082F" w:rsidRDefault="008D372B" w:rsidP="003933F9">
      <w:pPr>
        <w:pStyle w:val="ListParagraph"/>
        <w:numPr>
          <w:ilvl w:val="0"/>
          <w:numId w:val="27"/>
        </w:numPr>
        <w:spacing w:line="276" w:lineRule="auto"/>
        <w:ind w:left="851" w:hanging="284"/>
        <w:jc w:val="both"/>
        <w:rPr>
          <w:rFonts w:asciiTheme="majorBidi" w:hAnsiTheme="majorBidi" w:cstheme="majorBidi"/>
        </w:rPr>
      </w:pPr>
      <w:r w:rsidRPr="00CB082F">
        <w:rPr>
          <w:rFonts w:asciiTheme="majorBidi" w:hAnsiTheme="majorBidi" w:cstheme="majorBidi"/>
        </w:rPr>
        <w:t>Tulisan/Surat (</w:t>
      </w:r>
      <w:r w:rsidRPr="00F231B8">
        <w:rPr>
          <w:rFonts w:asciiTheme="majorBidi" w:hAnsiTheme="majorBidi" w:cstheme="majorBidi"/>
          <w:i/>
          <w:iCs/>
        </w:rPr>
        <w:t>kitabah)</w:t>
      </w:r>
      <w:r w:rsidRPr="00CB082F">
        <w:rPr>
          <w:rFonts w:asciiTheme="majorBidi" w:hAnsiTheme="majorBidi" w:cstheme="majorBidi"/>
        </w:rPr>
        <w:t xml:space="preserve"> </w:t>
      </w:r>
    </w:p>
    <w:p w14:paraId="5EC728CA" w14:textId="77777777" w:rsidR="008D372B" w:rsidRPr="00CB082F" w:rsidRDefault="008D372B" w:rsidP="003933F9">
      <w:pPr>
        <w:pStyle w:val="ListParagraph"/>
        <w:numPr>
          <w:ilvl w:val="0"/>
          <w:numId w:val="27"/>
        </w:numPr>
        <w:spacing w:line="276" w:lineRule="auto"/>
        <w:ind w:left="851" w:hanging="284"/>
        <w:jc w:val="both"/>
        <w:rPr>
          <w:rFonts w:asciiTheme="majorBidi" w:hAnsiTheme="majorBidi" w:cstheme="majorBidi"/>
        </w:rPr>
      </w:pPr>
      <w:r w:rsidRPr="00CB082F">
        <w:rPr>
          <w:rFonts w:asciiTheme="majorBidi" w:hAnsiTheme="majorBidi" w:cstheme="majorBidi"/>
        </w:rPr>
        <w:t>Sumpah (</w:t>
      </w:r>
      <w:r w:rsidRPr="00F231B8">
        <w:rPr>
          <w:rFonts w:asciiTheme="majorBidi" w:hAnsiTheme="majorBidi" w:cstheme="majorBidi"/>
          <w:i/>
          <w:iCs/>
        </w:rPr>
        <w:t>yamin)</w:t>
      </w:r>
      <w:r w:rsidRPr="00CB082F">
        <w:rPr>
          <w:rFonts w:asciiTheme="majorBidi" w:hAnsiTheme="majorBidi" w:cstheme="majorBidi"/>
        </w:rPr>
        <w:t xml:space="preserve"> </w:t>
      </w:r>
    </w:p>
    <w:p w14:paraId="1974AFD7" w14:textId="6B559130" w:rsidR="008D372B" w:rsidRPr="00CB082F" w:rsidRDefault="008D372B" w:rsidP="003933F9">
      <w:pPr>
        <w:pStyle w:val="ListParagraph"/>
        <w:numPr>
          <w:ilvl w:val="0"/>
          <w:numId w:val="27"/>
        </w:numPr>
        <w:spacing w:line="276" w:lineRule="auto"/>
        <w:ind w:left="851" w:hanging="284"/>
        <w:jc w:val="both"/>
        <w:rPr>
          <w:rFonts w:asciiTheme="majorBidi" w:hAnsiTheme="majorBidi" w:cstheme="majorBidi"/>
        </w:rPr>
      </w:pPr>
      <w:r w:rsidRPr="00CB082F">
        <w:rPr>
          <w:rFonts w:asciiTheme="majorBidi" w:hAnsiTheme="majorBidi" w:cstheme="majorBidi"/>
        </w:rPr>
        <w:t>Sumpah oleh 50 orang (</w:t>
      </w:r>
      <w:r w:rsidRPr="00F231B8">
        <w:rPr>
          <w:rFonts w:asciiTheme="majorBidi" w:hAnsiTheme="majorBidi" w:cstheme="majorBidi"/>
          <w:i/>
          <w:iCs/>
        </w:rPr>
        <w:t>qismah)</w:t>
      </w:r>
      <w:r w:rsidRPr="00CB082F">
        <w:rPr>
          <w:rFonts w:asciiTheme="majorBidi" w:hAnsiTheme="majorBidi" w:cstheme="majorBidi"/>
        </w:rPr>
        <w:t xml:space="preserve"> </w:t>
      </w:r>
    </w:p>
    <w:p w14:paraId="2C8A9882" w14:textId="77777777" w:rsidR="008D372B" w:rsidRPr="00F231B8" w:rsidRDefault="008D372B" w:rsidP="003933F9">
      <w:pPr>
        <w:pStyle w:val="ListParagraph"/>
        <w:numPr>
          <w:ilvl w:val="0"/>
          <w:numId w:val="27"/>
        </w:numPr>
        <w:spacing w:line="276" w:lineRule="auto"/>
        <w:ind w:left="851" w:hanging="284"/>
        <w:jc w:val="both"/>
        <w:rPr>
          <w:rFonts w:asciiTheme="majorBidi" w:hAnsiTheme="majorBidi" w:cstheme="majorBidi"/>
          <w:i/>
          <w:iCs/>
        </w:rPr>
      </w:pPr>
      <w:r w:rsidRPr="00F231B8">
        <w:rPr>
          <w:rFonts w:asciiTheme="majorBidi" w:hAnsiTheme="majorBidi" w:cstheme="majorBidi"/>
          <w:i/>
          <w:iCs/>
        </w:rPr>
        <w:t>Li'an</w:t>
      </w:r>
    </w:p>
    <w:p w14:paraId="5C097F0D" w14:textId="77777777" w:rsidR="008D372B" w:rsidRPr="008B7DCF" w:rsidRDefault="008D372B" w:rsidP="003933F9">
      <w:pPr>
        <w:pStyle w:val="ListParagraph"/>
        <w:spacing w:line="276" w:lineRule="auto"/>
        <w:ind w:left="567" w:firstLine="284"/>
        <w:jc w:val="both"/>
        <w:rPr>
          <w:rFonts w:asciiTheme="majorBidi" w:hAnsiTheme="majorBidi" w:cstheme="majorBidi"/>
        </w:rPr>
      </w:pPr>
      <w:r w:rsidRPr="008B7DCF">
        <w:rPr>
          <w:rFonts w:asciiTheme="majorBidi" w:hAnsiTheme="majorBidi" w:cstheme="majorBidi"/>
        </w:rPr>
        <w:lastRenderedPageBreak/>
        <w:t>Berbeda dengan sistem peradilan Islam pada umumnya, Qanun Aceh Nomor 7 Tahun 2013 tentang Hukum Acara Jinayat mengklasifikasikan alat bukti yang digunakan dalam persidangan sebagai berikut:</w:t>
      </w:r>
      <w:r w:rsidRPr="00CB082F">
        <w:rPr>
          <w:rStyle w:val="FootnoteReference"/>
          <w:rFonts w:asciiTheme="majorBidi" w:hAnsiTheme="majorBidi" w:cstheme="majorBidi"/>
        </w:rPr>
        <w:footnoteReference w:id="97"/>
      </w:r>
    </w:p>
    <w:p w14:paraId="735C0F07" w14:textId="77777777" w:rsidR="008D372B" w:rsidRPr="00CB082F" w:rsidRDefault="008D372B" w:rsidP="003933F9">
      <w:pPr>
        <w:pStyle w:val="ListParagraph"/>
        <w:numPr>
          <w:ilvl w:val="0"/>
          <w:numId w:val="76"/>
        </w:numPr>
        <w:spacing w:line="276" w:lineRule="auto"/>
        <w:ind w:left="851" w:hanging="284"/>
        <w:jc w:val="both"/>
        <w:rPr>
          <w:rFonts w:asciiTheme="majorBidi" w:hAnsiTheme="majorBidi" w:cstheme="majorBidi"/>
        </w:rPr>
      </w:pPr>
      <w:r w:rsidRPr="00CB082F">
        <w:rPr>
          <w:rFonts w:asciiTheme="majorBidi" w:hAnsiTheme="majorBidi" w:cstheme="majorBidi"/>
        </w:rPr>
        <w:t xml:space="preserve">Keterangan saksi </w:t>
      </w:r>
    </w:p>
    <w:p w14:paraId="2DB982AB" w14:textId="77777777" w:rsidR="008D372B" w:rsidRPr="00CB082F" w:rsidRDefault="008D372B" w:rsidP="003933F9">
      <w:pPr>
        <w:pStyle w:val="ListParagraph"/>
        <w:numPr>
          <w:ilvl w:val="0"/>
          <w:numId w:val="76"/>
        </w:numPr>
        <w:spacing w:line="276" w:lineRule="auto"/>
        <w:ind w:left="851" w:hanging="284"/>
        <w:jc w:val="both"/>
        <w:rPr>
          <w:rFonts w:asciiTheme="majorBidi" w:hAnsiTheme="majorBidi" w:cstheme="majorBidi"/>
        </w:rPr>
      </w:pPr>
      <w:r w:rsidRPr="00CB082F">
        <w:rPr>
          <w:rFonts w:asciiTheme="majorBidi" w:hAnsiTheme="majorBidi" w:cstheme="majorBidi"/>
        </w:rPr>
        <w:t>Keterangan ahli</w:t>
      </w:r>
    </w:p>
    <w:p w14:paraId="40D6AF2A" w14:textId="77777777" w:rsidR="008D372B" w:rsidRPr="00CB082F" w:rsidRDefault="008D372B" w:rsidP="003933F9">
      <w:pPr>
        <w:pStyle w:val="ListParagraph"/>
        <w:numPr>
          <w:ilvl w:val="0"/>
          <w:numId w:val="76"/>
        </w:numPr>
        <w:spacing w:line="276" w:lineRule="auto"/>
        <w:ind w:left="851" w:hanging="284"/>
        <w:jc w:val="both"/>
        <w:rPr>
          <w:rFonts w:asciiTheme="majorBidi" w:hAnsiTheme="majorBidi" w:cstheme="majorBidi"/>
        </w:rPr>
      </w:pPr>
      <w:r w:rsidRPr="00CB082F">
        <w:rPr>
          <w:rFonts w:asciiTheme="majorBidi" w:hAnsiTheme="majorBidi" w:cstheme="majorBidi"/>
        </w:rPr>
        <w:t xml:space="preserve">Barang bukti </w:t>
      </w:r>
    </w:p>
    <w:p w14:paraId="070ABE52" w14:textId="77777777" w:rsidR="008D372B" w:rsidRPr="00CB082F" w:rsidRDefault="008D372B" w:rsidP="003933F9">
      <w:pPr>
        <w:pStyle w:val="ListParagraph"/>
        <w:numPr>
          <w:ilvl w:val="0"/>
          <w:numId w:val="76"/>
        </w:numPr>
        <w:spacing w:line="276" w:lineRule="auto"/>
        <w:ind w:left="851" w:hanging="284"/>
        <w:jc w:val="both"/>
        <w:rPr>
          <w:rFonts w:asciiTheme="majorBidi" w:hAnsiTheme="majorBidi" w:cstheme="majorBidi"/>
        </w:rPr>
      </w:pPr>
      <w:r w:rsidRPr="00CB082F">
        <w:rPr>
          <w:rFonts w:asciiTheme="majorBidi" w:hAnsiTheme="majorBidi" w:cstheme="majorBidi"/>
        </w:rPr>
        <w:t>Surat</w:t>
      </w:r>
    </w:p>
    <w:p w14:paraId="4233FE05" w14:textId="77777777" w:rsidR="008D372B" w:rsidRPr="00CB082F" w:rsidRDefault="008D372B" w:rsidP="003933F9">
      <w:pPr>
        <w:pStyle w:val="ListParagraph"/>
        <w:numPr>
          <w:ilvl w:val="0"/>
          <w:numId w:val="76"/>
        </w:numPr>
        <w:spacing w:line="276" w:lineRule="auto"/>
        <w:ind w:left="851" w:hanging="284"/>
        <w:jc w:val="both"/>
        <w:rPr>
          <w:rFonts w:asciiTheme="majorBidi" w:hAnsiTheme="majorBidi" w:cstheme="majorBidi"/>
        </w:rPr>
      </w:pPr>
      <w:r w:rsidRPr="00CB082F">
        <w:rPr>
          <w:rFonts w:asciiTheme="majorBidi" w:hAnsiTheme="majorBidi" w:cstheme="majorBidi"/>
        </w:rPr>
        <w:t>Bukti elektronik</w:t>
      </w:r>
    </w:p>
    <w:p w14:paraId="5FA4E26D" w14:textId="77777777" w:rsidR="008D372B" w:rsidRPr="00CB082F" w:rsidRDefault="008D372B" w:rsidP="003933F9">
      <w:pPr>
        <w:pStyle w:val="ListParagraph"/>
        <w:numPr>
          <w:ilvl w:val="0"/>
          <w:numId w:val="76"/>
        </w:numPr>
        <w:spacing w:line="276" w:lineRule="auto"/>
        <w:ind w:left="851" w:hanging="284"/>
        <w:jc w:val="both"/>
        <w:rPr>
          <w:rFonts w:asciiTheme="majorBidi" w:hAnsiTheme="majorBidi" w:cstheme="majorBidi"/>
        </w:rPr>
      </w:pPr>
      <w:r w:rsidRPr="00CB082F">
        <w:rPr>
          <w:rFonts w:asciiTheme="majorBidi" w:hAnsiTheme="majorBidi" w:cstheme="majorBidi"/>
        </w:rPr>
        <w:t>Pengakuan terdakwa</w:t>
      </w:r>
    </w:p>
    <w:p w14:paraId="538F5CEB" w14:textId="77777777" w:rsidR="008D372B" w:rsidRPr="00CB082F" w:rsidRDefault="008D372B" w:rsidP="003933F9">
      <w:pPr>
        <w:pStyle w:val="ListParagraph"/>
        <w:numPr>
          <w:ilvl w:val="0"/>
          <w:numId w:val="76"/>
        </w:numPr>
        <w:spacing w:line="276" w:lineRule="auto"/>
        <w:ind w:left="851" w:hanging="284"/>
        <w:jc w:val="both"/>
        <w:rPr>
          <w:rFonts w:asciiTheme="majorBidi" w:hAnsiTheme="majorBidi" w:cstheme="majorBidi"/>
        </w:rPr>
      </w:pPr>
      <w:r w:rsidRPr="00CB082F">
        <w:rPr>
          <w:rFonts w:asciiTheme="majorBidi" w:hAnsiTheme="majorBidi" w:cstheme="majorBidi"/>
        </w:rPr>
        <w:t xml:space="preserve">Keterangan terdakwa </w:t>
      </w:r>
    </w:p>
    <w:p w14:paraId="3DEC7DBC" w14:textId="77777777" w:rsidR="008D372B" w:rsidRPr="00CB082F" w:rsidRDefault="008D372B" w:rsidP="003933F9">
      <w:pPr>
        <w:pStyle w:val="ListParagraph"/>
        <w:numPr>
          <w:ilvl w:val="0"/>
          <w:numId w:val="20"/>
        </w:numPr>
        <w:spacing w:line="276" w:lineRule="auto"/>
        <w:ind w:left="567" w:hanging="283"/>
        <w:jc w:val="both"/>
        <w:rPr>
          <w:rFonts w:asciiTheme="majorBidi" w:hAnsiTheme="majorBidi" w:cstheme="majorBidi"/>
        </w:rPr>
      </w:pPr>
      <w:r w:rsidRPr="00CB082F">
        <w:rPr>
          <w:rFonts w:asciiTheme="majorBidi" w:hAnsiTheme="majorBidi" w:cstheme="majorBidi"/>
        </w:rPr>
        <w:t xml:space="preserve">Kesaksian menurut Hukum Acara Jinayat </w:t>
      </w:r>
    </w:p>
    <w:p w14:paraId="34A07162" w14:textId="4CAFCCA8" w:rsidR="008D372B" w:rsidRPr="00CB082F" w:rsidRDefault="008D372B" w:rsidP="003933F9">
      <w:pPr>
        <w:pStyle w:val="ListParagraph"/>
        <w:spacing w:line="276" w:lineRule="auto"/>
        <w:ind w:left="567" w:firstLine="284"/>
        <w:jc w:val="both"/>
        <w:rPr>
          <w:rFonts w:asciiTheme="majorBidi" w:hAnsiTheme="majorBidi" w:cstheme="majorBidi"/>
        </w:rPr>
      </w:pPr>
      <w:r w:rsidRPr="00A30DB3">
        <w:rPr>
          <w:rFonts w:asciiTheme="majorBidi" w:hAnsiTheme="majorBidi" w:cstheme="majorBidi"/>
        </w:rPr>
        <w:t>Kesaksian merupakan salah satu alat bukti yang paling sering digunakan dalam proses peradilan. Dalam banyak kasus pidana, keterangan saksi menjadi faktor penentu dalam membuktikan terjadinya suatu tindak pidana</w:t>
      </w:r>
      <w:r>
        <w:rPr>
          <w:rFonts w:asciiTheme="majorBidi" w:hAnsiTheme="majorBidi" w:cstheme="majorBidi"/>
        </w:rPr>
        <w:t>/ jarimah</w:t>
      </w:r>
      <w:r w:rsidRPr="00A30DB3">
        <w:rPr>
          <w:rFonts w:asciiTheme="majorBidi" w:hAnsiTheme="majorBidi" w:cstheme="majorBidi"/>
        </w:rPr>
        <w:t>.</w:t>
      </w:r>
      <w:r>
        <w:rPr>
          <w:rFonts w:asciiTheme="majorBidi" w:hAnsiTheme="majorBidi" w:cstheme="majorBidi"/>
        </w:rPr>
        <w:t xml:space="preserve"> </w:t>
      </w:r>
      <w:r w:rsidRPr="00CB082F">
        <w:rPr>
          <w:rFonts w:asciiTheme="majorBidi" w:hAnsiTheme="majorBidi" w:cstheme="majorBidi"/>
        </w:rPr>
        <w:t xml:space="preserve">Kesaksian dalam bahasa Arab disebut dengan </w:t>
      </w:r>
      <w:r w:rsidRPr="00A30DB3">
        <w:rPr>
          <w:rFonts w:asciiTheme="majorBidi" w:hAnsiTheme="majorBidi" w:cstheme="majorBidi"/>
          <w:i/>
          <w:iCs/>
        </w:rPr>
        <w:t>asy-syahaadah</w:t>
      </w:r>
      <w:r w:rsidRPr="00CB082F">
        <w:rPr>
          <w:rFonts w:asciiTheme="majorBidi" w:hAnsiTheme="majorBidi" w:cstheme="majorBidi"/>
        </w:rPr>
        <w:t xml:space="preserve"> (</w:t>
      </w:r>
      <w:r w:rsidRPr="00A30DB3">
        <w:rPr>
          <w:rFonts w:ascii="Traditional Arabic" w:hAnsi="Traditional Arabic" w:cs="Traditional Arabic"/>
          <w:sz w:val="28"/>
          <w:szCs w:val="28"/>
          <w:rtl/>
        </w:rPr>
        <w:t>الشهادة</w:t>
      </w:r>
      <w:r w:rsidRPr="00A30DB3">
        <w:rPr>
          <w:rFonts w:ascii="Traditional Arabic" w:hAnsi="Traditional Arabic" w:cs="Traditional Arabic"/>
          <w:sz w:val="28"/>
          <w:szCs w:val="28"/>
        </w:rPr>
        <w:t xml:space="preserve">) </w:t>
      </w:r>
      <w:r w:rsidRPr="00CB082F">
        <w:rPr>
          <w:rFonts w:asciiTheme="majorBidi" w:hAnsiTheme="majorBidi" w:cstheme="majorBidi"/>
        </w:rPr>
        <w:t xml:space="preserve">yang memiliki arti hadir. Secara bahasa, kata </w:t>
      </w:r>
      <w:r w:rsidRPr="00CB082F">
        <w:rPr>
          <w:rFonts w:asciiTheme="majorBidi" w:hAnsiTheme="majorBidi" w:cstheme="majorBidi"/>
          <w:i/>
          <w:iCs/>
        </w:rPr>
        <w:t>asy-syahaadah</w:t>
      </w:r>
      <w:r w:rsidRPr="00CB082F">
        <w:rPr>
          <w:rFonts w:asciiTheme="majorBidi" w:hAnsiTheme="majorBidi" w:cstheme="majorBidi"/>
        </w:rPr>
        <w:t xml:space="preserve"> berarti berita atau informasi yang pasti. Sedangkan menurut istilah syara', </w:t>
      </w:r>
      <w:r w:rsidRPr="00A30DB3">
        <w:rPr>
          <w:rFonts w:asciiTheme="majorBidi" w:hAnsiTheme="majorBidi" w:cstheme="majorBidi"/>
          <w:i/>
          <w:iCs/>
        </w:rPr>
        <w:t>asy-syahaadah</w:t>
      </w:r>
      <w:r w:rsidRPr="00CB082F">
        <w:rPr>
          <w:rFonts w:asciiTheme="majorBidi" w:hAnsiTheme="majorBidi" w:cstheme="majorBidi"/>
        </w:rPr>
        <w:t xml:space="preserve"> didefinisikan sebagai informasi yang diberikan oleh orang yang jujur untuk menetapkan suatu hak dengan menggunakan kata bersaksi/menyaksikan di depan majelis hakim dalam persidangan.</w:t>
      </w:r>
      <w:r w:rsidRPr="00CB082F">
        <w:rPr>
          <w:rStyle w:val="FootnoteReference"/>
          <w:rFonts w:asciiTheme="majorBidi" w:hAnsiTheme="majorBidi" w:cstheme="majorBidi"/>
        </w:rPr>
        <w:footnoteReference w:id="98"/>
      </w:r>
      <w:r w:rsidRPr="00CB082F">
        <w:rPr>
          <w:rFonts w:asciiTheme="majorBidi" w:hAnsiTheme="majorBidi" w:cstheme="majorBidi"/>
        </w:rPr>
        <w:t xml:space="preserve"> Kesaksian atau </w:t>
      </w:r>
      <w:r w:rsidRPr="00CB082F">
        <w:rPr>
          <w:rFonts w:asciiTheme="majorBidi" w:hAnsiTheme="majorBidi" w:cstheme="majorBidi"/>
          <w:i/>
          <w:iCs/>
        </w:rPr>
        <w:t>syahadah</w:t>
      </w:r>
      <w:r w:rsidRPr="00CB082F">
        <w:rPr>
          <w:rFonts w:asciiTheme="majorBidi" w:hAnsiTheme="majorBidi" w:cstheme="majorBidi"/>
        </w:rPr>
        <w:t xml:space="preserve"> didefinisikan sebagai keterangan orang yang dapat dipercaya di depan persidangan dengan mengucapkan lafal kesaksian untuk menetapkan hak orang lain.</w:t>
      </w:r>
      <w:r w:rsidRPr="00CB082F">
        <w:rPr>
          <w:rStyle w:val="FootnoteReference"/>
          <w:rFonts w:asciiTheme="majorBidi" w:hAnsiTheme="majorBidi" w:cstheme="majorBidi"/>
        </w:rPr>
        <w:footnoteReference w:id="99"/>
      </w:r>
    </w:p>
    <w:p w14:paraId="0A2A9F83" w14:textId="77777777" w:rsidR="008D372B" w:rsidRPr="00CB082F" w:rsidRDefault="008D372B" w:rsidP="003933F9">
      <w:pPr>
        <w:pStyle w:val="ListParagraph"/>
        <w:spacing w:line="276" w:lineRule="auto"/>
        <w:ind w:left="567" w:firstLine="284"/>
        <w:jc w:val="both"/>
        <w:rPr>
          <w:rFonts w:asciiTheme="majorBidi" w:hAnsiTheme="majorBidi" w:cstheme="majorBidi"/>
        </w:rPr>
      </w:pPr>
      <w:r w:rsidRPr="008960F8">
        <w:rPr>
          <w:rFonts w:asciiTheme="majorBidi" w:hAnsiTheme="majorBidi" w:cstheme="majorBidi"/>
        </w:rPr>
        <w:lastRenderedPageBreak/>
        <w:t xml:space="preserve">Pasal 31 Qanun Aceh tentang Hukum Acara Jinayat mendefinisikan saksi </w:t>
      </w:r>
      <w:bookmarkStart w:id="26" w:name="_Hlk185938370"/>
      <w:r w:rsidRPr="008960F8">
        <w:rPr>
          <w:rFonts w:asciiTheme="majorBidi" w:hAnsiTheme="majorBidi" w:cstheme="majorBidi"/>
        </w:rPr>
        <w:t>sebagai individu yang mampu memberikan keterangan langsung terkait suatu tindak pidana. Keterangan tersebut harus bersumber dari pengalaman pribadi saksi, baik itu melalui penglihatan, pendengaran, maupun pengalaman langsung</w:t>
      </w:r>
      <w:bookmarkEnd w:id="26"/>
      <w:r w:rsidRPr="00CB082F">
        <w:rPr>
          <w:rFonts w:asciiTheme="majorBidi" w:hAnsiTheme="majorBidi" w:cstheme="majorBidi"/>
        </w:rPr>
        <w:t>.</w:t>
      </w:r>
      <w:r>
        <w:rPr>
          <w:rStyle w:val="FootnoteReference"/>
          <w:rFonts w:asciiTheme="majorBidi" w:hAnsiTheme="majorBidi" w:cstheme="majorBidi"/>
        </w:rPr>
        <w:footnoteReference w:id="100"/>
      </w:r>
      <w:r w:rsidRPr="00CB082F">
        <w:rPr>
          <w:rFonts w:asciiTheme="majorBidi" w:hAnsiTheme="majorBidi" w:cstheme="majorBidi"/>
        </w:rPr>
        <w:t xml:space="preserve"> Dengan demikian, jelas bahwa keterangan saksi merupakan alat bukti dalam perkara pidana yang berupa keterangan dari saksi mengenai suatu peristiwa pidana yang ia dengar, lihat, dan alami sendiri.</w:t>
      </w:r>
      <w:r w:rsidRPr="00CB082F">
        <w:rPr>
          <w:rStyle w:val="FootnoteReference"/>
          <w:rFonts w:asciiTheme="majorBidi" w:hAnsiTheme="majorBidi" w:cstheme="majorBidi"/>
        </w:rPr>
        <w:footnoteReference w:id="101"/>
      </w:r>
    </w:p>
    <w:p w14:paraId="20360F14" w14:textId="77777777" w:rsidR="008D372B" w:rsidRPr="00CB082F" w:rsidRDefault="008D372B" w:rsidP="003933F9">
      <w:pPr>
        <w:pStyle w:val="ListParagraph"/>
        <w:spacing w:line="276" w:lineRule="auto"/>
        <w:ind w:left="567" w:firstLine="284"/>
        <w:jc w:val="both"/>
        <w:rPr>
          <w:rFonts w:asciiTheme="majorBidi" w:hAnsiTheme="majorBidi" w:cstheme="majorBidi"/>
        </w:rPr>
      </w:pPr>
      <w:r w:rsidRPr="00CB082F">
        <w:rPr>
          <w:rFonts w:asciiTheme="majorBidi" w:hAnsiTheme="majorBidi" w:cstheme="majorBidi"/>
        </w:rPr>
        <w:t xml:space="preserve">Dasar hukum dalam memberikan kesaksian adalah </w:t>
      </w:r>
      <w:r w:rsidRPr="00CB082F">
        <w:rPr>
          <w:rFonts w:asciiTheme="majorBidi" w:hAnsiTheme="majorBidi" w:cstheme="majorBidi"/>
          <w:i/>
          <w:iCs/>
        </w:rPr>
        <w:t>fardhu kifayah</w:t>
      </w:r>
      <w:r w:rsidRPr="00CB082F">
        <w:rPr>
          <w:rFonts w:asciiTheme="majorBidi" w:hAnsiTheme="majorBidi" w:cstheme="majorBidi"/>
        </w:rPr>
        <w:t>, artinya jika dua orang telah memberikan kesaksian, maka kewajiban semua orang lainnya telah gugur. Namun, jika semua orang menolak dan tidak ada yang mau menjadi saksi, maka semua orang berdosa. Akan tetapi, hukumnya dapat berubah menjadi fardhu ain, jika tidak ada lagi orang lain selain mereka berdua yang mengetahui suatu kasus tersebut.</w:t>
      </w:r>
      <w:r w:rsidRPr="00CB082F">
        <w:rPr>
          <w:rStyle w:val="FootnoteReference"/>
          <w:rFonts w:asciiTheme="majorBidi" w:hAnsiTheme="majorBidi" w:cstheme="majorBidi"/>
        </w:rPr>
        <w:footnoteReference w:id="102"/>
      </w:r>
    </w:p>
    <w:p w14:paraId="54ED255E" w14:textId="2F8FC6D1" w:rsidR="008D372B" w:rsidRPr="00CB082F" w:rsidRDefault="008D372B" w:rsidP="003933F9">
      <w:pPr>
        <w:pStyle w:val="ListParagraph"/>
        <w:spacing w:line="276" w:lineRule="auto"/>
        <w:ind w:left="567" w:firstLine="284"/>
        <w:jc w:val="both"/>
        <w:rPr>
          <w:rFonts w:asciiTheme="majorBidi" w:hAnsiTheme="majorBidi" w:cstheme="majorBidi"/>
        </w:rPr>
      </w:pPr>
      <w:r w:rsidRPr="00CB082F">
        <w:rPr>
          <w:rFonts w:asciiTheme="majorBidi" w:hAnsiTheme="majorBidi" w:cstheme="majorBidi"/>
        </w:rPr>
        <w:t xml:space="preserve">Anshoruddin dalam bukunya </w:t>
      </w:r>
      <w:r>
        <w:rPr>
          <w:rFonts w:asciiTheme="majorBidi" w:hAnsiTheme="majorBidi" w:cstheme="majorBidi"/>
        </w:rPr>
        <w:t xml:space="preserve">berjudul </w:t>
      </w:r>
      <w:r w:rsidRPr="00CB082F">
        <w:rPr>
          <w:rFonts w:asciiTheme="majorBidi" w:hAnsiTheme="majorBidi" w:cstheme="majorBidi"/>
          <w:i/>
          <w:iCs/>
        </w:rPr>
        <w:t xml:space="preserve">Hukum Pembuktian </w:t>
      </w:r>
      <w:r>
        <w:rPr>
          <w:rFonts w:asciiTheme="majorBidi" w:hAnsiTheme="majorBidi" w:cstheme="majorBidi"/>
          <w:i/>
          <w:iCs/>
        </w:rPr>
        <w:t>d</w:t>
      </w:r>
      <w:r w:rsidRPr="00CB082F">
        <w:rPr>
          <w:rFonts w:asciiTheme="majorBidi" w:hAnsiTheme="majorBidi" w:cstheme="majorBidi"/>
          <w:i/>
          <w:iCs/>
        </w:rPr>
        <w:t xml:space="preserve">alam Peradilan Islam dan Hukum Positif </w:t>
      </w:r>
      <w:r w:rsidRPr="00CB082F">
        <w:rPr>
          <w:rFonts w:asciiTheme="majorBidi" w:hAnsiTheme="majorBidi" w:cstheme="majorBidi"/>
        </w:rPr>
        <w:t>memberikan penjelasan tentang permasalahan</w:t>
      </w:r>
      <w:r>
        <w:rPr>
          <w:rFonts w:asciiTheme="majorBidi" w:hAnsiTheme="majorBidi" w:cstheme="majorBidi"/>
        </w:rPr>
        <w:t xml:space="preserve">-permasalahan </w:t>
      </w:r>
      <w:r w:rsidRPr="00CB082F">
        <w:rPr>
          <w:rFonts w:asciiTheme="majorBidi" w:hAnsiTheme="majorBidi" w:cstheme="majorBidi"/>
        </w:rPr>
        <w:t xml:space="preserve">kesaksian yang dirasa cukup penting terhadap perkembangan zaman, </w:t>
      </w:r>
      <w:r>
        <w:rPr>
          <w:rFonts w:asciiTheme="majorBidi" w:hAnsiTheme="majorBidi" w:cstheme="majorBidi"/>
        </w:rPr>
        <w:t xml:space="preserve">terutama erat kaitanya dengan hukum </w:t>
      </w:r>
      <w:r w:rsidR="00A30D45">
        <w:rPr>
          <w:rFonts w:asciiTheme="majorBidi" w:hAnsiTheme="majorBidi" w:cstheme="majorBidi"/>
        </w:rPr>
        <w:t>I</w:t>
      </w:r>
      <w:r>
        <w:rPr>
          <w:rFonts w:asciiTheme="majorBidi" w:hAnsiTheme="majorBidi" w:cstheme="majorBidi"/>
        </w:rPr>
        <w:t xml:space="preserve">slam dan hukum positif. </w:t>
      </w:r>
      <w:r w:rsidRPr="00CB082F">
        <w:rPr>
          <w:rFonts w:asciiTheme="majorBidi" w:hAnsiTheme="majorBidi" w:cstheme="majorBidi"/>
        </w:rPr>
        <w:t>Permasalahan mengenai kesaksian tersebut antara lain:</w:t>
      </w:r>
      <w:r w:rsidRPr="00CB082F">
        <w:rPr>
          <w:rStyle w:val="FootnoteReference"/>
          <w:rFonts w:asciiTheme="majorBidi" w:hAnsiTheme="majorBidi" w:cstheme="majorBidi"/>
        </w:rPr>
        <w:footnoteReference w:id="103"/>
      </w:r>
    </w:p>
    <w:p w14:paraId="28BF5C58" w14:textId="77777777" w:rsidR="008D372B" w:rsidRPr="00CB082F" w:rsidRDefault="008D372B" w:rsidP="003933F9">
      <w:pPr>
        <w:pStyle w:val="ListParagraph"/>
        <w:numPr>
          <w:ilvl w:val="0"/>
          <w:numId w:val="34"/>
        </w:numPr>
        <w:spacing w:line="276" w:lineRule="auto"/>
        <w:ind w:left="851" w:hanging="284"/>
        <w:jc w:val="both"/>
        <w:rPr>
          <w:rFonts w:asciiTheme="majorBidi" w:hAnsiTheme="majorBidi" w:cstheme="majorBidi"/>
        </w:rPr>
      </w:pPr>
      <w:r w:rsidRPr="00CB082F">
        <w:rPr>
          <w:rFonts w:asciiTheme="majorBidi" w:hAnsiTheme="majorBidi" w:cstheme="majorBidi"/>
        </w:rPr>
        <w:lastRenderedPageBreak/>
        <w:t>Saksi satu orang laki laki tanpa dikuatkan dengan sumpah salah satu pihak berperkara</w:t>
      </w:r>
    </w:p>
    <w:p w14:paraId="50466399" w14:textId="77777777" w:rsidR="008D372B" w:rsidRPr="00CB082F" w:rsidRDefault="008D372B" w:rsidP="003933F9">
      <w:pPr>
        <w:pStyle w:val="ListParagraph"/>
        <w:numPr>
          <w:ilvl w:val="0"/>
          <w:numId w:val="34"/>
        </w:numPr>
        <w:spacing w:line="276" w:lineRule="auto"/>
        <w:ind w:left="851" w:hanging="284"/>
        <w:jc w:val="both"/>
        <w:rPr>
          <w:rFonts w:asciiTheme="majorBidi" w:hAnsiTheme="majorBidi" w:cstheme="majorBidi"/>
        </w:rPr>
      </w:pPr>
      <w:r w:rsidRPr="00CB082F">
        <w:rPr>
          <w:rFonts w:asciiTheme="majorBidi" w:hAnsiTheme="majorBidi" w:cstheme="majorBidi"/>
        </w:rPr>
        <w:t xml:space="preserve">Saksi satu orang laki laki dikuatkan dengan sumpah </w:t>
      </w:r>
    </w:p>
    <w:p w14:paraId="3767D74C" w14:textId="77777777" w:rsidR="008D372B" w:rsidRPr="00CB082F" w:rsidRDefault="008D372B" w:rsidP="003933F9">
      <w:pPr>
        <w:pStyle w:val="ListParagraph"/>
        <w:numPr>
          <w:ilvl w:val="0"/>
          <w:numId w:val="34"/>
        </w:numPr>
        <w:spacing w:line="276" w:lineRule="auto"/>
        <w:ind w:left="851" w:hanging="284"/>
        <w:jc w:val="both"/>
        <w:rPr>
          <w:rFonts w:asciiTheme="majorBidi" w:hAnsiTheme="majorBidi" w:cstheme="majorBidi"/>
        </w:rPr>
      </w:pPr>
      <w:r w:rsidRPr="00CB082F">
        <w:rPr>
          <w:rFonts w:asciiTheme="majorBidi" w:hAnsiTheme="majorBidi" w:cstheme="majorBidi"/>
        </w:rPr>
        <w:t xml:space="preserve">Saksi non muslim </w:t>
      </w:r>
    </w:p>
    <w:p w14:paraId="25BB5BF9" w14:textId="77777777" w:rsidR="008D372B" w:rsidRPr="00CB082F" w:rsidRDefault="008D372B" w:rsidP="003933F9">
      <w:pPr>
        <w:pStyle w:val="ListParagraph"/>
        <w:numPr>
          <w:ilvl w:val="0"/>
          <w:numId w:val="34"/>
        </w:numPr>
        <w:spacing w:line="276" w:lineRule="auto"/>
        <w:ind w:left="851" w:hanging="284"/>
        <w:jc w:val="both"/>
        <w:rPr>
          <w:rFonts w:asciiTheme="majorBidi" w:hAnsiTheme="majorBidi" w:cstheme="majorBidi"/>
        </w:rPr>
      </w:pPr>
      <w:r w:rsidRPr="00CB082F">
        <w:rPr>
          <w:rFonts w:asciiTheme="majorBidi" w:hAnsiTheme="majorBidi" w:cstheme="majorBidi"/>
        </w:rPr>
        <w:t xml:space="preserve">Saksi </w:t>
      </w:r>
      <w:r w:rsidRPr="008671C3">
        <w:rPr>
          <w:rFonts w:asciiTheme="majorBidi" w:hAnsiTheme="majorBidi" w:cstheme="majorBidi"/>
          <w:i/>
          <w:iCs/>
        </w:rPr>
        <w:t>al istifadah/testimonium de auditu</w:t>
      </w:r>
      <w:r w:rsidRPr="00CB082F">
        <w:rPr>
          <w:rFonts w:asciiTheme="majorBidi" w:hAnsiTheme="majorBidi" w:cstheme="majorBidi"/>
        </w:rPr>
        <w:t xml:space="preserve"> </w:t>
      </w:r>
    </w:p>
    <w:p w14:paraId="1FC41F60" w14:textId="77777777" w:rsidR="008D372B" w:rsidRPr="00CB082F" w:rsidRDefault="008D372B" w:rsidP="003933F9">
      <w:pPr>
        <w:pStyle w:val="ListParagraph"/>
        <w:numPr>
          <w:ilvl w:val="0"/>
          <w:numId w:val="34"/>
        </w:numPr>
        <w:spacing w:line="276" w:lineRule="auto"/>
        <w:ind w:left="851" w:hanging="284"/>
        <w:jc w:val="both"/>
        <w:rPr>
          <w:rFonts w:asciiTheme="majorBidi" w:hAnsiTheme="majorBidi" w:cstheme="majorBidi"/>
        </w:rPr>
      </w:pPr>
      <w:r w:rsidRPr="00CB082F">
        <w:rPr>
          <w:rFonts w:asciiTheme="majorBidi" w:hAnsiTheme="majorBidi" w:cstheme="majorBidi"/>
        </w:rPr>
        <w:t xml:space="preserve">Saksi wanita </w:t>
      </w:r>
    </w:p>
    <w:p w14:paraId="41F45707" w14:textId="77777777" w:rsidR="008D372B" w:rsidRPr="00CB082F" w:rsidRDefault="008D372B" w:rsidP="003933F9">
      <w:pPr>
        <w:pStyle w:val="ListParagraph"/>
        <w:numPr>
          <w:ilvl w:val="0"/>
          <w:numId w:val="20"/>
        </w:numPr>
        <w:spacing w:line="276" w:lineRule="auto"/>
        <w:ind w:left="567" w:hanging="283"/>
        <w:jc w:val="both"/>
        <w:rPr>
          <w:rFonts w:asciiTheme="majorBidi" w:hAnsiTheme="majorBidi" w:cstheme="majorBidi"/>
        </w:rPr>
      </w:pPr>
      <w:r w:rsidRPr="00CB082F">
        <w:rPr>
          <w:rFonts w:asciiTheme="majorBidi" w:hAnsiTheme="majorBidi" w:cstheme="majorBidi"/>
        </w:rPr>
        <w:t>Syarat</w:t>
      </w:r>
      <w:r>
        <w:rPr>
          <w:rFonts w:asciiTheme="majorBidi" w:hAnsiTheme="majorBidi" w:cstheme="majorBidi"/>
        </w:rPr>
        <w:t>-S</w:t>
      </w:r>
      <w:r w:rsidRPr="00CB082F">
        <w:rPr>
          <w:rFonts w:asciiTheme="majorBidi" w:hAnsiTheme="majorBidi" w:cstheme="majorBidi"/>
        </w:rPr>
        <w:t xml:space="preserve">yarat </w:t>
      </w:r>
      <w:r>
        <w:rPr>
          <w:rFonts w:asciiTheme="majorBidi" w:hAnsiTheme="majorBidi" w:cstheme="majorBidi"/>
        </w:rPr>
        <w:t>S</w:t>
      </w:r>
      <w:r w:rsidRPr="00CB082F">
        <w:rPr>
          <w:rFonts w:asciiTheme="majorBidi" w:hAnsiTheme="majorBidi" w:cstheme="majorBidi"/>
        </w:rPr>
        <w:t>aksi menurut Hukum Islam</w:t>
      </w:r>
    </w:p>
    <w:p w14:paraId="55BB8760" w14:textId="77777777" w:rsidR="008D372B" w:rsidRPr="00CB082F" w:rsidRDefault="008D372B" w:rsidP="003933F9">
      <w:pPr>
        <w:pStyle w:val="ListParagraph"/>
        <w:spacing w:line="276" w:lineRule="auto"/>
        <w:ind w:left="567" w:firstLine="284"/>
        <w:jc w:val="both"/>
        <w:rPr>
          <w:rFonts w:asciiTheme="majorBidi" w:hAnsiTheme="majorBidi" w:cstheme="majorBidi"/>
        </w:rPr>
      </w:pPr>
      <w:r w:rsidRPr="00CB082F">
        <w:rPr>
          <w:rFonts w:asciiTheme="majorBidi" w:hAnsiTheme="majorBidi" w:cstheme="majorBidi"/>
        </w:rPr>
        <w:t>Terdapat dua jenis persyaratan yang berkaitan dengan kesaksian, yaitu persyaratan umum yang mencakup semua jenis kesaksian dan persyaratan khusus yang berhubungan dengan berbagai bentuk kesaksian yang berbeda.</w:t>
      </w:r>
      <w:r w:rsidRPr="00CB082F">
        <w:rPr>
          <w:rStyle w:val="FootnoteReference"/>
          <w:rFonts w:asciiTheme="majorBidi" w:hAnsiTheme="majorBidi" w:cstheme="majorBidi"/>
        </w:rPr>
        <w:footnoteReference w:id="104"/>
      </w:r>
    </w:p>
    <w:p w14:paraId="164553EE" w14:textId="77777777" w:rsidR="008D372B" w:rsidRPr="00CB082F" w:rsidRDefault="008D372B" w:rsidP="003933F9">
      <w:pPr>
        <w:pStyle w:val="ListParagraph"/>
        <w:numPr>
          <w:ilvl w:val="0"/>
          <w:numId w:val="30"/>
        </w:numPr>
        <w:spacing w:line="276" w:lineRule="auto"/>
        <w:ind w:left="851" w:hanging="284"/>
        <w:jc w:val="both"/>
        <w:rPr>
          <w:rFonts w:asciiTheme="majorBidi" w:hAnsiTheme="majorBidi" w:cstheme="majorBidi"/>
        </w:rPr>
      </w:pPr>
      <w:r w:rsidRPr="00CB082F">
        <w:rPr>
          <w:rFonts w:asciiTheme="majorBidi" w:hAnsiTheme="majorBidi" w:cstheme="majorBidi"/>
        </w:rPr>
        <w:t xml:space="preserve">Syarat syarat umum </w:t>
      </w:r>
    </w:p>
    <w:p w14:paraId="448EBB98" w14:textId="77777777" w:rsidR="003933F9" w:rsidRDefault="008D372B" w:rsidP="003933F9">
      <w:pPr>
        <w:pStyle w:val="ListParagraph"/>
        <w:numPr>
          <w:ilvl w:val="0"/>
          <w:numId w:val="31"/>
        </w:numPr>
        <w:spacing w:line="276" w:lineRule="auto"/>
        <w:ind w:left="1134" w:hanging="283"/>
        <w:jc w:val="both"/>
        <w:rPr>
          <w:rFonts w:asciiTheme="majorBidi" w:hAnsiTheme="majorBidi" w:cstheme="majorBidi"/>
        </w:rPr>
      </w:pPr>
      <w:r w:rsidRPr="00CB082F">
        <w:rPr>
          <w:rFonts w:asciiTheme="majorBidi" w:hAnsiTheme="majorBidi" w:cstheme="majorBidi"/>
        </w:rPr>
        <w:t>Berakal dan baligh</w:t>
      </w:r>
    </w:p>
    <w:p w14:paraId="438A62BC" w14:textId="4066D88F" w:rsidR="008D372B" w:rsidRPr="003933F9" w:rsidRDefault="008D372B" w:rsidP="003933F9">
      <w:pPr>
        <w:pStyle w:val="ListParagraph"/>
        <w:spacing w:line="276" w:lineRule="auto"/>
        <w:ind w:left="1134" w:firstLine="284"/>
        <w:jc w:val="both"/>
        <w:rPr>
          <w:rFonts w:asciiTheme="majorBidi" w:hAnsiTheme="majorBidi" w:cstheme="majorBidi"/>
        </w:rPr>
      </w:pPr>
      <w:r w:rsidRPr="003933F9">
        <w:rPr>
          <w:rFonts w:asciiTheme="majorBidi" w:hAnsiTheme="majorBidi" w:cstheme="majorBidi"/>
        </w:rPr>
        <w:t xml:space="preserve">Dalam hukum Islam, kesaksian diakui sebagai salah satu alat bukti yang penting. Namun, tidak semua orang dapat memberikan kesaksian. Para ahli hukum Islam telah menetapkan kualifikasi tertentu bagi seorang saksi, di antaranya adalah syarat dewasa dan memiliki kapasitas mental yang memadai. Penetapan kualifikasi ini didasarkan pada pemahaman bahwa hanya individu yang memenuhi syarat tersebut yang mampu memberikan keterangan yang benar, jujur, dan dapat dipertanggungjawabkan secara hukum.  Akibatnya, keterangan yang diperoleh dari individu yang tidak memenuhi syarat sebagai saksi, seperti orang yang mengalami gangguan jiwa, sedang dalam pengaruh alkohol, atau anak di bawah umur, </w:t>
      </w:r>
      <w:r w:rsidRPr="003933F9">
        <w:rPr>
          <w:rFonts w:asciiTheme="majorBidi" w:hAnsiTheme="majorBidi" w:cstheme="majorBidi"/>
        </w:rPr>
        <w:lastRenderedPageBreak/>
        <w:t>umumnya tidak dapat dijadikan bukti yang sah dalam proses peradilan.</w:t>
      </w:r>
      <w:r>
        <w:rPr>
          <w:rStyle w:val="FootnoteReference"/>
          <w:rFonts w:asciiTheme="majorBidi" w:hAnsiTheme="majorBidi" w:cstheme="majorBidi"/>
        </w:rPr>
        <w:footnoteReference w:id="105"/>
      </w:r>
    </w:p>
    <w:p w14:paraId="2EFAAB3A" w14:textId="77777777" w:rsidR="008D372B" w:rsidRPr="00CB082F" w:rsidRDefault="008D372B" w:rsidP="003933F9">
      <w:pPr>
        <w:pStyle w:val="ListParagraph"/>
        <w:numPr>
          <w:ilvl w:val="0"/>
          <w:numId w:val="31"/>
        </w:numPr>
        <w:spacing w:line="276" w:lineRule="auto"/>
        <w:ind w:left="1134" w:hanging="283"/>
        <w:jc w:val="both"/>
        <w:rPr>
          <w:rFonts w:asciiTheme="majorBidi" w:hAnsiTheme="majorBidi" w:cstheme="majorBidi"/>
        </w:rPr>
      </w:pPr>
      <w:r w:rsidRPr="00CB082F">
        <w:rPr>
          <w:rFonts w:asciiTheme="majorBidi" w:hAnsiTheme="majorBidi" w:cstheme="majorBidi"/>
        </w:rPr>
        <w:t xml:space="preserve">Merdeka </w:t>
      </w:r>
    </w:p>
    <w:p w14:paraId="61879D3F" w14:textId="77777777" w:rsidR="008D372B" w:rsidRDefault="008D372B" w:rsidP="003933F9">
      <w:pPr>
        <w:pStyle w:val="ListParagraph"/>
        <w:spacing w:line="276" w:lineRule="auto"/>
        <w:ind w:left="1134" w:firstLine="284"/>
        <w:jc w:val="both"/>
        <w:rPr>
          <w:rFonts w:asciiTheme="majorBidi" w:hAnsiTheme="majorBidi" w:cstheme="majorBidi"/>
        </w:rPr>
      </w:pPr>
      <w:r w:rsidRPr="009C0C16">
        <w:rPr>
          <w:rFonts w:asciiTheme="majorBidi" w:hAnsiTheme="majorBidi" w:cstheme="majorBidi"/>
        </w:rPr>
        <w:t>Pandangan mazhab Hanafi, Maliki, dan Syafi'i mengenai syarat kemerdekaan bagi seorang saksi didasarkan pada prinsip bahwa kesaksian merupakan bentuk partisipasi dalam penegakan hukum yang menuntut adanya tanggung jawab dan kewenangan penuh. Oleh karena itu, hanya orang merdeka yang dianggap memiliki kapasitas untuk menjalankan fungsi tersebut. Sementara itu, mazhab Hanbali dan Zhahiri berargumen bahwa prinsip kesetaraan di hadapan hukum berlaku universal, termasuk bagi budak, sehingga mereka berhak untuk memberikan kesaksian.</w:t>
      </w:r>
    </w:p>
    <w:p w14:paraId="2AA8572D" w14:textId="77777777" w:rsidR="008D372B" w:rsidRPr="00CB082F" w:rsidRDefault="008D372B" w:rsidP="003933F9">
      <w:pPr>
        <w:pStyle w:val="ListParagraph"/>
        <w:numPr>
          <w:ilvl w:val="0"/>
          <w:numId w:val="31"/>
        </w:numPr>
        <w:spacing w:line="276" w:lineRule="auto"/>
        <w:ind w:left="1134" w:hanging="283"/>
        <w:jc w:val="both"/>
        <w:rPr>
          <w:rFonts w:asciiTheme="majorBidi" w:hAnsiTheme="majorBidi" w:cstheme="majorBidi"/>
        </w:rPr>
      </w:pPr>
      <w:r w:rsidRPr="00CB082F">
        <w:rPr>
          <w:rFonts w:asciiTheme="majorBidi" w:hAnsiTheme="majorBidi" w:cstheme="majorBidi"/>
        </w:rPr>
        <w:t xml:space="preserve">Islam </w:t>
      </w:r>
    </w:p>
    <w:p w14:paraId="1725124C" w14:textId="51A509C0" w:rsidR="008D372B" w:rsidRPr="00CB082F" w:rsidRDefault="008D372B" w:rsidP="003933F9">
      <w:pPr>
        <w:pStyle w:val="ListParagraph"/>
        <w:spacing w:line="276" w:lineRule="auto"/>
        <w:ind w:left="1134" w:firstLine="284"/>
        <w:jc w:val="both"/>
        <w:rPr>
          <w:rFonts w:asciiTheme="majorBidi" w:hAnsiTheme="majorBidi" w:cstheme="majorBidi"/>
        </w:rPr>
      </w:pPr>
      <w:r w:rsidRPr="0099503A">
        <w:rPr>
          <w:rFonts w:asciiTheme="majorBidi" w:hAnsiTheme="majorBidi" w:cstheme="majorBidi"/>
        </w:rPr>
        <w:t>Dalam hukum Islam terdapat</w:t>
      </w:r>
      <w:r>
        <w:rPr>
          <w:rFonts w:asciiTheme="majorBidi" w:hAnsiTheme="majorBidi" w:cstheme="majorBidi"/>
        </w:rPr>
        <w:t xml:space="preserve"> kesepakatan </w:t>
      </w:r>
      <w:r w:rsidRPr="0099503A">
        <w:rPr>
          <w:rFonts w:asciiTheme="majorBidi" w:hAnsiTheme="majorBidi" w:cstheme="majorBidi"/>
        </w:rPr>
        <w:t xml:space="preserve">di kalangan ulama bahwa syarat mutlak bagi seorang saksi adalah beriman kepada Allah SWT. Hal ini didasarkan pada keyakinan bahwa hanya individu yang memiliki komitmen terhadap nilai-nilai Islam yang dapat memberikan kesaksian yang adil dan terpercaya. Meskipun demikian, terdapat perbedaan pendapat mengenai status kesaksian non-Muslim. Beberapa ulama, seperti Imam Hanafi dan Imam Hanbali, memberikan pengecualian dalam situasi tertentu, seperti kasus wasiat yang terjadi dalam perjalanan atau kasus yang melibatkan non-Muslim yang telah membuat perjanjian damai dengan negara </w:t>
      </w:r>
      <w:r w:rsidRPr="0099503A">
        <w:rPr>
          <w:rFonts w:asciiTheme="majorBidi" w:hAnsiTheme="majorBidi" w:cstheme="majorBidi"/>
        </w:rPr>
        <w:lastRenderedPageBreak/>
        <w:t>Islam. Ibnu Q</w:t>
      </w:r>
      <w:r w:rsidR="006730EC">
        <w:rPr>
          <w:rFonts w:asciiTheme="majorBidi" w:hAnsiTheme="majorBidi" w:cstheme="majorBidi"/>
        </w:rPr>
        <w:t>a</w:t>
      </w:r>
      <w:r w:rsidRPr="0099503A">
        <w:rPr>
          <w:rFonts w:asciiTheme="majorBidi" w:hAnsiTheme="majorBidi" w:cstheme="majorBidi"/>
        </w:rPr>
        <w:t>yyim bahkan berpendapat bahwa kemampuan untuk mengungkapkan kebenaran merupakan syarat utama bagi seorang saksi, terlepas dari agama yang dianutnya</w:t>
      </w:r>
      <w:r w:rsidRPr="00CB082F">
        <w:rPr>
          <w:rFonts w:asciiTheme="majorBidi" w:hAnsiTheme="majorBidi" w:cstheme="majorBidi"/>
        </w:rPr>
        <w:t>.</w:t>
      </w:r>
      <w:r w:rsidRPr="00CB082F">
        <w:rPr>
          <w:rStyle w:val="FootnoteReference"/>
          <w:rFonts w:asciiTheme="majorBidi" w:hAnsiTheme="majorBidi" w:cstheme="majorBidi"/>
        </w:rPr>
        <w:footnoteReference w:id="106"/>
      </w:r>
    </w:p>
    <w:p w14:paraId="043BA2E3" w14:textId="77777777" w:rsidR="008D372B" w:rsidRPr="00CB082F" w:rsidRDefault="008D372B" w:rsidP="003933F9">
      <w:pPr>
        <w:pStyle w:val="ListParagraph"/>
        <w:numPr>
          <w:ilvl w:val="0"/>
          <w:numId w:val="31"/>
        </w:numPr>
        <w:spacing w:line="276" w:lineRule="auto"/>
        <w:ind w:left="1134" w:hanging="283"/>
        <w:jc w:val="both"/>
        <w:rPr>
          <w:rFonts w:asciiTheme="majorBidi" w:hAnsiTheme="majorBidi" w:cstheme="majorBidi"/>
        </w:rPr>
      </w:pPr>
      <w:r w:rsidRPr="00CB082F">
        <w:rPr>
          <w:rFonts w:asciiTheme="majorBidi" w:hAnsiTheme="majorBidi" w:cstheme="majorBidi"/>
        </w:rPr>
        <w:t xml:space="preserve">Melihat </w:t>
      </w:r>
    </w:p>
    <w:p w14:paraId="7EE4978F" w14:textId="77777777" w:rsidR="008D372B" w:rsidRDefault="008D372B" w:rsidP="003933F9">
      <w:pPr>
        <w:pStyle w:val="ListParagraph"/>
        <w:spacing w:line="276" w:lineRule="auto"/>
        <w:ind w:left="1134" w:firstLine="284"/>
        <w:jc w:val="both"/>
        <w:rPr>
          <w:rFonts w:asciiTheme="majorBidi" w:hAnsiTheme="majorBidi" w:cstheme="majorBidi"/>
        </w:rPr>
      </w:pPr>
      <w:r w:rsidRPr="009B35B1">
        <w:rPr>
          <w:rFonts w:asciiTheme="majorBidi" w:hAnsiTheme="majorBidi" w:cstheme="majorBidi"/>
        </w:rPr>
        <w:t>Syarat kemampuan melihat merupakan salah satu syarat sahnya kesaksian dalam hukum Islam. Syarat ini didasarkan pada pertimbangan bahwa penglihatan merupakan indera yang paling utama dalam memperoleh informasi tentang suatu peristiwa. Meskipun demikian, terdapat perbedaan pendapat di antara para ulama mengenai status kesaksian orang buta. Beberapa ulama berpendapat bahwa kesaksian orang buta dapat diterima jika memenuhi syarat-syarat tertentu, seperti keyakinan yang kuat terhadap informasi yang diperolehnya.</w:t>
      </w:r>
    </w:p>
    <w:p w14:paraId="22973286" w14:textId="77777777" w:rsidR="008D372B" w:rsidRPr="00CB082F" w:rsidRDefault="008D372B" w:rsidP="003933F9">
      <w:pPr>
        <w:pStyle w:val="ListParagraph"/>
        <w:numPr>
          <w:ilvl w:val="0"/>
          <w:numId w:val="31"/>
        </w:numPr>
        <w:spacing w:line="276" w:lineRule="auto"/>
        <w:ind w:left="1134" w:hanging="283"/>
        <w:jc w:val="both"/>
        <w:rPr>
          <w:rFonts w:asciiTheme="majorBidi" w:hAnsiTheme="majorBidi" w:cstheme="majorBidi"/>
        </w:rPr>
      </w:pPr>
      <w:r w:rsidRPr="00CB082F">
        <w:rPr>
          <w:rFonts w:asciiTheme="majorBidi" w:hAnsiTheme="majorBidi" w:cstheme="majorBidi"/>
        </w:rPr>
        <w:t xml:space="preserve">Bisa berbicara </w:t>
      </w:r>
    </w:p>
    <w:p w14:paraId="1D7A15F9" w14:textId="77777777" w:rsidR="008D372B" w:rsidRDefault="008D372B" w:rsidP="003933F9">
      <w:pPr>
        <w:pStyle w:val="ListParagraph"/>
        <w:spacing w:line="276" w:lineRule="auto"/>
        <w:ind w:left="1134" w:firstLine="284"/>
        <w:jc w:val="both"/>
        <w:rPr>
          <w:rFonts w:asciiTheme="majorBidi" w:hAnsiTheme="majorBidi" w:cstheme="majorBidi"/>
        </w:rPr>
      </w:pPr>
      <w:r w:rsidRPr="009B35B1">
        <w:rPr>
          <w:rFonts w:asciiTheme="majorBidi" w:hAnsiTheme="majorBidi" w:cstheme="majorBidi"/>
        </w:rPr>
        <w:t>Syarat kemampuan berbicara merupakan salah satu syarat sahnya kesaksian dalam hukum Islam. Syarat ini didasarkan pada pertimbangan bahwa ucapan merupakan bentuk ekspresi yang paling jelas dan dapat diandalkan untuk menyampaikan informasi. Meskipun demikian, terdapat perbedaan pendapat di antara para ulama mengenai status kesaksian orang bisu. Mazhab Maliki, misalnya, memberikan pengecualian bagi orang bisu yang mampu menyampaikan kesaksiannya dengan bahasa isyarat yang jelas dan dapat dipahami.</w:t>
      </w:r>
    </w:p>
    <w:p w14:paraId="6FA9BC62" w14:textId="77777777" w:rsidR="008D372B" w:rsidRPr="00CB082F" w:rsidRDefault="008D372B" w:rsidP="003933F9">
      <w:pPr>
        <w:pStyle w:val="ListParagraph"/>
        <w:numPr>
          <w:ilvl w:val="0"/>
          <w:numId w:val="31"/>
        </w:numPr>
        <w:spacing w:line="276" w:lineRule="auto"/>
        <w:ind w:left="1134" w:hanging="283"/>
        <w:jc w:val="both"/>
        <w:rPr>
          <w:rFonts w:asciiTheme="majorBidi" w:hAnsiTheme="majorBidi" w:cstheme="majorBidi"/>
        </w:rPr>
      </w:pPr>
      <w:r w:rsidRPr="00CB082F">
        <w:rPr>
          <w:rFonts w:asciiTheme="majorBidi" w:hAnsiTheme="majorBidi" w:cstheme="majorBidi"/>
        </w:rPr>
        <w:t xml:space="preserve">Adil </w:t>
      </w:r>
    </w:p>
    <w:p w14:paraId="5DACEE04" w14:textId="77777777" w:rsidR="008D372B" w:rsidRDefault="008D372B" w:rsidP="003933F9">
      <w:pPr>
        <w:pStyle w:val="ListParagraph"/>
        <w:spacing w:line="276" w:lineRule="auto"/>
        <w:ind w:left="1134" w:firstLine="284"/>
        <w:jc w:val="both"/>
        <w:rPr>
          <w:rFonts w:asciiTheme="majorBidi" w:hAnsiTheme="majorBidi" w:cstheme="majorBidi"/>
        </w:rPr>
      </w:pPr>
      <w:r w:rsidRPr="00CB082F">
        <w:rPr>
          <w:rFonts w:asciiTheme="majorBidi" w:hAnsiTheme="majorBidi" w:cstheme="majorBidi"/>
        </w:rPr>
        <w:lastRenderedPageBreak/>
        <w:t>Salah satu syarat utama seorang saksi adalah keadilan (</w:t>
      </w:r>
      <w:r w:rsidRPr="00AE247E">
        <w:rPr>
          <w:rFonts w:asciiTheme="majorBidi" w:hAnsiTheme="majorBidi" w:cstheme="majorBidi"/>
          <w:i/>
          <w:iCs/>
        </w:rPr>
        <w:t>al-'adalah</w:t>
      </w:r>
      <w:r w:rsidRPr="00CB082F">
        <w:rPr>
          <w:rFonts w:asciiTheme="majorBidi" w:hAnsiTheme="majorBidi" w:cstheme="majorBidi"/>
        </w:rPr>
        <w:t xml:space="preserve">). </w:t>
      </w:r>
      <w:r w:rsidRPr="000F08E6">
        <w:rPr>
          <w:rFonts w:asciiTheme="majorBidi" w:hAnsiTheme="majorBidi" w:cstheme="majorBidi"/>
        </w:rPr>
        <w:t>Allah SWT dengan tegas memerintahkan umat manusia untuk senantiasa menjunjung tinggi nilai keadilan dalam memberikan kesaksian, tanpa terpengaruh oleh kepentingan pribadi atau kelompok.</w:t>
      </w:r>
      <w:r>
        <w:rPr>
          <w:rFonts w:asciiTheme="majorBidi" w:hAnsiTheme="majorBidi" w:cstheme="majorBidi"/>
        </w:rPr>
        <w:t xml:space="preserve"> Sebagaimana firman Allah dalam Q.S </w:t>
      </w:r>
      <w:r w:rsidRPr="00FC3CFE">
        <w:rPr>
          <w:rFonts w:asciiTheme="majorBidi" w:hAnsiTheme="majorBidi" w:cstheme="majorBidi"/>
        </w:rPr>
        <w:t>Al-Maidah ayat 8</w:t>
      </w:r>
      <w:r>
        <w:rPr>
          <w:rFonts w:asciiTheme="majorBidi" w:hAnsiTheme="majorBidi" w:cstheme="majorBidi"/>
        </w:rPr>
        <w:t xml:space="preserve">: </w:t>
      </w:r>
      <w:r>
        <w:rPr>
          <w:rStyle w:val="FootnoteReference"/>
          <w:rFonts w:asciiTheme="majorBidi" w:hAnsiTheme="majorBidi" w:cstheme="majorBidi"/>
        </w:rPr>
        <w:footnoteReference w:id="107"/>
      </w:r>
    </w:p>
    <w:p w14:paraId="4E33F761" w14:textId="77777777" w:rsidR="008D372B" w:rsidRPr="00FC3CFE" w:rsidRDefault="008D372B" w:rsidP="00350FBA">
      <w:pPr>
        <w:pStyle w:val="ListParagraph"/>
        <w:spacing w:line="240" w:lineRule="auto"/>
        <w:ind w:left="1800" w:firstLine="360"/>
        <w:jc w:val="right"/>
        <w:rPr>
          <w:rFonts w:ascii="Traditional Arabic" w:hAnsi="Traditional Arabic" w:cs="Traditional Arabic"/>
          <w:sz w:val="32"/>
          <w:szCs w:val="32"/>
        </w:rPr>
      </w:pPr>
      <w:r w:rsidRPr="00FC3CFE">
        <w:rPr>
          <w:rFonts w:ascii="Traditional Arabic" w:hAnsi="Traditional Arabic" w:cs="Traditional Arabic"/>
          <w:sz w:val="32"/>
          <w:szCs w:val="32"/>
          <w:rtl/>
        </w:rPr>
        <w:t>يَٰٓأَيُّهَا ٱلَّذِينَ ءَامَنُوا۟ كُونُوا۟ قَوَّٰمِينَ لِلَّهِ شُهَدَآءَ بِٱلْقِسْطِ ۖ وَلَا يَجْرِمَنَّكُمْ شَنَـَٔانُ قَوْمٍ عَلَىٰٓ أَلَّا تَعْدِلُوا۟ ۚ ٱعْدِلُوا۟ هُوَ أَقْرَبُ لِلتَّقْوَىٰ ۖ وَٱتَّقُوا۟ ٱللَّهَ ۚ إِنَّ ٱللَّهَ خَبِيرٌۢ بِمَا تَعْمَلُونَ</w:t>
      </w:r>
    </w:p>
    <w:p w14:paraId="3AA61B9B" w14:textId="21E7A0A8" w:rsidR="008D372B" w:rsidRDefault="008D372B" w:rsidP="00350FBA">
      <w:pPr>
        <w:pStyle w:val="ListParagraph"/>
        <w:spacing w:line="240" w:lineRule="auto"/>
        <w:ind w:left="1800"/>
        <w:jc w:val="both"/>
        <w:rPr>
          <w:rFonts w:asciiTheme="majorBidi" w:hAnsiTheme="majorBidi" w:cstheme="majorBidi"/>
          <w:i/>
          <w:iCs/>
        </w:rPr>
      </w:pPr>
      <w:r>
        <w:rPr>
          <w:rFonts w:asciiTheme="majorBidi" w:hAnsiTheme="majorBidi" w:cstheme="majorBidi"/>
          <w:i/>
          <w:iCs/>
        </w:rPr>
        <w:t>“</w:t>
      </w:r>
      <w:r w:rsidRPr="00FC3CFE">
        <w:rPr>
          <w:rFonts w:asciiTheme="majorBidi" w:hAnsiTheme="majorBidi" w:cstheme="majorBidi"/>
          <w:i/>
          <w:iCs/>
        </w:rPr>
        <w:t>Wahai orang-orang yang beriman, jadilah kamu penegak (kebenaran) karena Allah (dan) saksi-saksi (yang bertindak) dengan adil. Janganlah kebencianmu terhadap suatu kaum mendorong kamu untuk berlaku tidak adil. Berlakulah adil karena (adil) itu lebih dekat pada takwa. Bertakwalah kepada Allah. Sesungguhnya Allah Maha</w:t>
      </w:r>
      <w:r w:rsidR="006730EC">
        <w:rPr>
          <w:rFonts w:asciiTheme="majorBidi" w:hAnsiTheme="majorBidi" w:cstheme="majorBidi"/>
          <w:i/>
          <w:iCs/>
        </w:rPr>
        <w:t xml:space="preserve"> </w:t>
      </w:r>
      <w:r w:rsidRPr="00FC3CFE">
        <w:rPr>
          <w:rFonts w:asciiTheme="majorBidi" w:hAnsiTheme="majorBidi" w:cstheme="majorBidi"/>
          <w:i/>
          <w:iCs/>
        </w:rPr>
        <w:t>teliti terhadap apa yang kamu kerjakan</w:t>
      </w:r>
      <w:r>
        <w:rPr>
          <w:rFonts w:asciiTheme="majorBidi" w:hAnsiTheme="majorBidi" w:cstheme="majorBidi"/>
          <w:i/>
          <w:iCs/>
        </w:rPr>
        <w:t>.”</w:t>
      </w:r>
      <w:r w:rsidRPr="00FC3CFE">
        <w:rPr>
          <w:rFonts w:asciiTheme="majorBidi" w:hAnsiTheme="majorBidi" w:cstheme="majorBidi"/>
          <w:i/>
          <w:iCs/>
        </w:rPr>
        <w:t>(Q.S Al-Maidah</w:t>
      </w:r>
      <w:r w:rsidR="0094546B">
        <w:rPr>
          <w:rFonts w:asciiTheme="majorBidi" w:hAnsiTheme="majorBidi" w:cstheme="majorBidi"/>
          <w:i/>
          <w:iCs/>
        </w:rPr>
        <w:t>:</w:t>
      </w:r>
      <w:r w:rsidRPr="00FC3CFE">
        <w:rPr>
          <w:rFonts w:asciiTheme="majorBidi" w:hAnsiTheme="majorBidi" w:cstheme="majorBidi"/>
          <w:i/>
          <w:iCs/>
        </w:rPr>
        <w:t xml:space="preserve"> 8)</w:t>
      </w:r>
      <w:r w:rsidR="0094546B">
        <w:rPr>
          <w:rStyle w:val="FootnoteReference"/>
          <w:rFonts w:asciiTheme="majorBidi" w:hAnsiTheme="majorBidi" w:cstheme="majorBidi"/>
          <w:i/>
          <w:iCs/>
        </w:rPr>
        <w:footnoteReference w:id="108"/>
      </w:r>
    </w:p>
    <w:p w14:paraId="672E3AF1" w14:textId="77777777" w:rsidR="00350FBA" w:rsidRDefault="00350FBA" w:rsidP="00F231B8">
      <w:pPr>
        <w:pStyle w:val="ListParagraph"/>
        <w:spacing w:line="276" w:lineRule="auto"/>
        <w:ind w:left="1800" w:firstLine="360"/>
        <w:jc w:val="both"/>
        <w:rPr>
          <w:rFonts w:asciiTheme="majorBidi" w:hAnsiTheme="majorBidi" w:cstheme="majorBidi"/>
        </w:rPr>
      </w:pPr>
    </w:p>
    <w:p w14:paraId="117DDB35" w14:textId="797DB8FA" w:rsidR="008D372B" w:rsidRPr="00FC3CFE" w:rsidRDefault="008D372B" w:rsidP="003933F9">
      <w:pPr>
        <w:pStyle w:val="ListParagraph"/>
        <w:spacing w:line="276" w:lineRule="auto"/>
        <w:ind w:left="1134" w:firstLine="284"/>
        <w:jc w:val="both"/>
        <w:rPr>
          <w:rFonts w:asciiTheme="majorBidi" w:hAnsiTheme="majorBidi" w:cstheme="majorBidi"/>
          <w:i/>
          <w:iCs/>
        </w:rPr>
      </w:pPr>
      <w:r w:rsidRPr="00FC3CFE">
        <w:rPr>
          <w:rFonts w:asciiTheme="majorBidi" w:hAnsiTheme="majorBidi" w:cstheme="majorBidi"/>
        </w:rPr>
        <w:t xml:space="preserve">Para ulama mazhab Syafi'i dan Hanafi memiliki perbedaan pandangan dalam menentukan kriteria </w:t>
      </w:r>
      <w:r w:rsidRPr="00FC3CFE">
        <w:rPr>
          <w:rFonts w:asciiTheme="majorBidi" w:hAnsiTheme="majorBidi" w:cstheme="majorBidi"/>
          <w:i/>
          <w:iCs/>
        </w:rPr>
        <w:t>al-'adalah</w:t>
      </w:r>
      <w:r w:rsidRPr="00FC3CFE">
        <w:rPr>
          <w:rFonts w:asciiTheme="majorBidi" w:hAnsiTheme="majorBidi" w:cstheme="majorBidi"/>
        </w:rPr>
        <w:t xml:space="preserve">. Mazhab Syafi'i menetapkan kriteria </w:t>
      </w:r>
      <w:r w:rsidRPr="00FC3CFE">
        <w:rPr>
          <w:rFonts w:asciiTheme="majorBidi" w:hAnsiTheme="majorBidi" w:cstheme="majorBidi"/>
          <w:i/>
          <w:iCs/>
        </w:rPr>
        <w:t>al-'adalah</w:t>
      </w:r>
      <w:r w:rsidRPr="00FC3CFE">
        <w:rPr>
          <w:rFonts w:asciiTheme="majorBidi" w:hAnsiTheme="majorBidi" w:cstheme="majorBidi"/>
        </w:rPr>
        <w:t xml:space="preserve"> yang lebih ketat. Seorang saksi harus menjauhi dosa-dosa besar, tidak berterusan melakukan dosa-dosa kecil, memiliki akidah yang lurus, mampu mengendalikan diri saat marah, dan </w:t>
      </w:r>
      <w:r w:rsidRPr="00FC3CFE">
        <w:rPr>
          <w:rFonts w:asciiTheme="majorBidi" w:hAnsiTheme="majorBidi" w:cstheme="majorBidi"/>
        </w:rPr>
        <w:lastRenderedPageBreak/>
        <w:t xml:space="preserve">menjaga kehormatan diri. Kriteria ini mencerminkan nilai-nilai moral dan ketaatan seorang saksi kepada Allah SWT. Di sisi lain, mazhab Hanafi berpandangan bahwa kriteria al-'adalah cukup dilihat dari sisi lahiriah keislaman seseorang. Artinya, seorang saksi yang beragama Islam secara lahiriah dianggap sudah memenuhi syarat untuk menjadi saksi, kecuali jika lawan perkara mempertanyakan ke-'adaalah-annya. </w:t>
      </w:r>
      <w:r>
        <w:rPr>
          <w:rStyle w:val="FootnoteReference"/>
          <w:rFonts w:asciiTheme="majorBidi" w:hAnsiTheme="majorBidi" w:cstheme="majorBidi"/>
        </w:rPr>
        <w:footnoteReference w:id="109"/>
      </w:r>
    </w:p>
    <w:p w14:paraId="244F4830" w14:textId="77777777" w:rsidR="008D372B" w:rsidRPr="00CB082F" w:rsidRDefault="008D372B" w:rsidP="003933F9">
      <w:pPr>
        <w:pStyle w:val="ListParagraph"/>
        <w:numPr>
          <w:ilvl w:val="0"/>
          <w:numId w:val="31"/>
        </w:numPr>
        <w:spacing w:line="276" w:lineRule="auto"/>
        <w:ind w:left="1134" w:hanging="283"/>
        <w:jc w:val="both"/>
        <w:rPr>
          <w:rFonts w:asciiTheme="majorBidi" w:hAnsiTheme="majorBidi" w:cstheme="majorBidi"/>
        </w:rPr>
      </w:pPr>
      <w:r w:rsidRPr="00CB082F">
        <w:rPr>
          <w:rFonts w:asciiTheme="majorBidi" w:hAnsiTheme="majorBidi" w:cstheme="majorBidi"/>
        </w:rPr>
        <w:t xml:space="preserve">Tidak dicurigai tidak objektif </w:t>
      </w:r>
    </w:p>
    <w:p w14:paraId="10911B4D" w14:textId="77777777" w:rsidR="008D372B" w:rsidRPr="00CB082F" w:rsidRDefault="008D372B" w:rsidP="003933F9">
      <w:pPr>
        <w:pStyle w:val="ListParagraph"/>
        <w:spacing w:line="276" w:lineRule="auto"/>
        <w:ind w:left="1134" w:firstLine="284"/>
        <w:jc w:val="both"/>
        <w:rPr>
          <w:rFonts w:asciiTheme="majorBidi" w:hAnsiTheme="majorBidi" w:cstheme="majorBidi"/>
        </w:rPr>
      </w:pPr>
      <w:r w:rsidRPr="00CB082F">
        <w:rPr>
          <w:rFonts w:asciiTheme="majorBidi" w:hAnsiTheme="majorBidi" w:cstheme="majorBidi"/>
        </w:rPr>
        <w:t xml:space="preserve">Dalam hukum Islam, kesaksian merupakan elemen penting untuk menegakkan keadilan. Namun, tidak semua orang dapat menjadi saksi. Para pakar hukum Islam sepakat bahwa individu yang diduga tidak netral tidak dapat diterima kesaksiannya. Hal ini dikarenakan individu tersebut kemungkinan besar akan berpihak dan memberikan keuntungan atau menjelekkan terdakwa. Oleh karena itu, seseorang tidak boleh menjadi saksi atas perkara yang menimpa anaknya, cucunya, kedua orang tuanya, atau kakek-neneknya. Selain itu, seorang al-khoshm (individu yang sedang bersengketa untuk merebutkan hak) juga tidak dapat dijadikan saksi bagi lawannya. Wali (wakil) pun tidak dapat menjadi saksi atas perkara yang menimpa individu yang memberinya kuasa. Bahkan, individu yang mendapatkan wasiat dan anak yatim yang diwasiatkan untuk diasuh juga tidak boleh menjadi saksi atas perkara yang menimpa si mayit. Rekan kerja pun tidak dapat menjadi saksi rekannya yang lain dalam masalah yang mereka kerjakan bersama. Hal ini dikarenakan jika terjadi, ia berarti </w:t>
      </w:r>
      <w:r w:rsidRPr="00CB082F">
        <w:rPr>
          <w:rFonts w:asciiTheme="majorBidi" w:hAnsiTheme="majorBidi" w:cstheme="majorBidi"/>
        </w:rPr>
        <w:lastRenderedPageBreak/>
        <w:t>memberikan kesaksian kepada dirinya sendiri. Peraturan ini dibuat untuk memastikan keadilan dan objektivitas dalam proses persidangan. Dengan demikian, hak-hak semua pihak yang terlibat dapat terjaga dengan baik.</w:t>
      </w:r>
    </w:p>
    <w:p w14:paraId="29D125DA" w14:textId="77777777" w:rsidR="008D372B" w:rsidRPr="00CB082F" w:rsidRDefault="008D372B" w:rsidP="003933F9">
      <w:pPr>
        <w:pStyle w:val="ListParagraph"/>
        <w:numPr>
          <w:ilvl w:val="0"/>
          <w:numId w:val="31"/>
        </w:numPr>
        <w:spacing w:line="276" w:lineRule="auto"/>
        <w:ind w:left="1134" w:hanging="283"/>
        <w:jc w:val="both"/>
        <w:rPr>
          <w:rFonts w:asciiTheme="majorBidi" w:hAnsiTheme="majorBidi" w:cstheme="majorBidi"/>
        </w:rPr>
      </w:pPr>
      <w:r w:rsidRPr="00CB082F">
        <w:rPr>
          <w:rFonts w:asciiTheme="majorBidi" w:hAnsiTheme="majorBidi" w:cstheme="majorBidi"/>
        </w:rPr>
        <w:t>Tidak ada penghalang kesaksian yaitu:</w:t>
      </w:r>
      <w:r w:rsidRPr="00CB082F">
        <w:rPr>
          <w:rStyle w:val="FootnoteReference"/>
          <w:rFonts w:asciiTheme="majorBidi" w:hAnsiTheme="majorBidi" w:cstheme="majorBidi"/>
        </w:rPr>
        <w:footnoteReference w:id="110"/>
      </w:r>
      <w:r w:rsidRPr="00CB082F">
        <w:rPr>
          <w:rFonts w:asciiTheme="majorBidi" w:hAnsiTheme="majorBidi" w:cstheme="majorBidi"/>
        </w:rPr>
        <w:t xml:space="preserve"> </w:t>
      </w:r>
    </w:p>
    <w:p w14:paraId="57A5DD9B" w14:textId="77777777" w:rsidR="008D372B" w:rsidRPr="00CB082F" w:rsidRDefault="008D372B" w:rsidP="003933F9">
      <w:pPr>
        <w:pStyle w:val="ListParagraph"/>
        <w:numPr>
          <w:ilvl w:val="0"/>
          <w:numId w:val="35"/>
        </w:numPr>
        <w:spacing w:line="276" w:lineRule="auto"/>
        <w:ind w:left="1418" w:hanging="284"/>
        <w:jc w:val="both"/>
        <w:rPr>
          <w:rFonts w:asciiTheme="majorBidi" w:hAnsiTheme="majorBidi" w:cstheme="majorBidi"/>
        </w:rPr>
      </w:pPr>
      <w:r w:rsidRPr="00CB082F">
        <w:rPr>
          <w:rFonts w:asciiTheme="majorBidi" w:hAnsiTheme="majorBidi" w:cstheme="majorBidi"/>
        </w:rPr>
        <w:t>Hubungan keluarga, Kesaksian orang tua atas anaknya atau anak atas orang tuanya tidak dapat diterima karena adanya hubungan keluarga yang erat.</w:t>
      </w:r>
    </w:p>
    <w:p w14:paraId="1133731B" w14:textId="4E0B2419" w:rsidR="008D372B" w:rsidRPr="00CB082F" w:rsidRDefault="008D372B" w:rsidP="003933F9">
      <w:pPr>
        <w:pStyle w:val="ListParagraph"/>
        <w:numPr>
          <w:ilvl w:val="0"/>
          <w:numId w:val="35"/>
        </w:numPr>
        <w:spacing w:line="276" w:lineRule="auto"/>
        <w:ind w:left="1418" w:hanging="284"/>
        <w:jc w:val="both"/>
        <w:rPr>
          <w:rFonts w:asciiTheme="majorBidi" w:hAnsiTheme="majorBidi" w:cstheme="majorBidi"/>
        </w:rPr>
      </w:pPr>
      <w:r w:rsidRPr="00F231B8">
        <w:rPr>
          <w:rStyle w:val="Strong"/>
          <w:rFonts w:asciiTheme="majorBidi" w:hAnsiTheme="majorBidi" w:cstheme="majorBidi"/>
          <w:b w:val="0"/>
          <w:bCs w:val="0"/>
        </w:rPr>
        <w:t>Konflik</w:t>
      </w:r>
      <w:r w:rsidRPr="00CB082F">
        <w:rPr>
          <w:rStyle w:val="Strong"/>
          <w:rFonts w:asciiTheme="majorBidi" w:hAnsiTheme="majorBidi" w:cstheme="majorBidi"/>
        </w:rPr>
        <w:t>,</w:t>
      </w:r>
      <w:r w:rsidRPr="00CB082F">
        <w:rPr>
          <w:rFonts w:asciiTheme="majorBidi" w:hAnsiTheme="majorBidi" w:cstheme="majorBidi"/>
        </w:rPr>
        <w:t xml:space="preserve"> Kesaksian antara orang yang sedang bermusuhan tidak diterima karena adanya konflik yang dapat mem</w:t>
      </w:r>
      <w:r w:rsidR="006730EC">
        <w:rPr>
          <w:rFonts w:asciiTheme="majorBidi" w:hAnsiTheme="majorBidi" w:cstheme="majorBidi"/>
        </w:rPr>
        <w:t>p</w:t>
      </w:r>
      <w:r w:rsidRPr="00CB082F">
        <w:rPr>
          <w:rFonts w:asciiTheme="majorBidi" w:hAnsiTheme="majorBidi" w:cstheme="majorBidi"/>
        </w:rPr>
        <w:t>engaruhi kebenaran testimoni.</w:t>
      </w:r>
    </w:p>
    <w:p w14:paraId="7DD38695" w14:textId="77777777" w:rsidR="008D372B" w:rsidRPr="00CB082F" w:rsidRDefault="008D372B" w:rsidP="003933F9">
      <w:pPr>
        <w:pStyle w:val="ListParagraph"/>
        <w:numPr>
          <w:ilvl w:val="0"/>
          <w:numId w:val="35"/>
        </w:numPr>
        <w:spacing w:line="276" w:lineRule="auto"/>
        <w:ind w:left="1418" w:hanging="284"/>
        <w:jc w:val="both"/>
        <w:rPr>
          <w:rFonts w:asciiTheme="majorBidi" w:hAnsiTheme="majorBidi" w:cstheme="majorBidi"/>
        </w:rPr>
      </w:pPr>
      <w:r w:rsidRPr="00F231B8">
        <w:rPr>
          <w:rStyle w:val="Strong"/>
          <w:rFonts w:asciiTheme="majorBidi" w:hAnsiTheme="majorBidi" w:cstheme="majorBidi"/>
          <w:b w:val="0"/>
          <w:bCs w:val="0"/>
        </w:rPr>
        <w:t>Kecurigaan manipulasi</w:t>
      </w:r>
      <w:r w:rsidRPr="00CB082F">
        <w:rPr>
          <w:rStyle w:val="Strong"/>
          <w:rFonts w:asciiTheme="majorBidi" w:hAnsiTheme="majorBidi" w:cstheme="majorBidi"/>
        </w:rPr>
        <w:t>,</w:t>
      </w:r>
      <w:r w:rsidRPr="00CB082F">
        <w:rPr>
          <w:rFonts w:asciiTheme="majorBidi" w:hAnsiTheme="majorBidi" w:cstheme="majorBidi"/>
        </w:rPr>
        <w:t xml:space="preserve"> Kesaksian yang dicurigai sebagai upaya manipulasi untuk menguntungkan atau merugikan pihak tertentu tidak sah karena dikhawatirkan adanya manipulasi fakta.</w:t>
      </w:r>
    </w:p>
    <w:p w14:paraId="36DEEFAD" w14:textId="77777777" w:rsidR="008D372B" w:rsidRPr="00CB082F" w:rsidRDefault="008D372B" w:rsidP="0022706D">
      <w:pPr>
        <w:pStyle w:val="ListParagraph"/>
        <w:numPr>
          <w:ilvl w:val="0"/>
          <w:numId w:val="30"/>
        </w:numPr>
        <w:spacing w:line="276" w:lineRule="auto"/>
        <w:jc w:val="both"/>
        <w:rPr>
          <w:rFonts w:asciiTheme="majorBidi" w:hAnsiTheme="majorBidi" w:cstheme="majorBidi"/>
        </w:rPr>
      </w:pPr>
      <w:r w:rsidRPr="00CB082F">
        <w:rPr>
          <w:rFonts w:asciiTheme="majorBidi" w:hAnsiTheme="majorBidi" w:cstheme="majorBidi"/>
        </w:rPr>
        <w:t>Syarat syarat khusus</w:t>
      </w:r>
    </w:p>
    <w:p w14:paraId="219D88E8" w14:textId="77777777" w:rsidR="008D372B" w:rsidRPr="00CB082F" w:rsidRDefault="008D372B" w:rsidP="0022706D">
      <w:pPr>
        <w:pStyle w:val="ListParagraph"/>
        <w:numPr>
          <w:ilvl w:val="0"/>
          <w:numId w:val="32"/>
        </w:numPr>
        <w:spacing w:line="276" w:lineRule="auto"/>
        <w:jc w:val="both"/>
        <w:rPr>
          <w:rFonts w:asciiTheme="majorBidi" w:hAnsiTheme="majorBidi" w:cstheme="majorBidi"/>
        </w:rPr>
      </w:pPr>
      <w:r w:rsidRPr="00CB082F">
        <w:rPr>
          <w:rFonts w:asciiTheme="majorBidi" w:hAnsiTheme="majorBidi" w:cstheme="majorBidi"/>
        </w:rPr>
        <w:t xml:space="preserve">Persyaratan jumlah dalam kesaksian terhadap masalah yang biasanya diketahui oleh kaum lelaki. </w:t>
      </w:r>
    </w:p>
    <w:p w14:paraId="3399E394" w14:textId="77777777" w:rsidR="008D372B" w:rsidRPr="00CB082F" w:rsidRDefault="008D372B" w:rsidP="0022706D">
      <w:pPr>
        <w:pStyle w:val="ListParagraph"/>
        <w:numPr>
          <w:ilvl w:val="0"/>
          <w:numId w:val="32"/>
        </w:numPr>
        <w:spacing w:line="276" w:lineRule="auto"/>
        <w:jc w:val="both"/>
        <w:rPr>
          <w:rFonts w:asciiTheme="majorBidi" w:hAnsiTheme="majorBidi" w:cstheme="majorBidi"/>
        </w:rPr>
      </w:pPr>
      <w:r w:rsidRPr="00CB082F">
        <w:rPr>
          <w:rFonts w:asciiTheme="majorBidi" w:hAnsiTheme="majorBidi" w:cstheme="majorBidi"/>
        </w:rPr>
        <w:t xml:space="preserve">Adanya kesesuaian antara dua kesaksian jika memang kesaksian tersebut lebih dari satu saksi. </w:t>
      </w:r>
    </w:p>
    <w:p w14:paraId="76004795" w14:textId="77777777" w:rsidR="003933F9" w:rsidRDefault="008D372B" w:rsidP="003933F9">
      <w:pPr>
        <w:pStyle w:val="ListParagraph"/>
        <w:numPr>
          <w:ilvl w:val="0"/>
          <w:numId w:val="30"/>
        </w:numPr>
        <w:spacing w:line="276" w:lineRule="auto"/>
        <w:ind w:left="851" w:hanging="284"/>
        <w:jc w:val="both"/>
        <w:rPr>
          <w:rFonts w:asciiTheme="majorBidi" w:hAnsiTheme="majorBidi" w:cstheme="majorBidi"/>
        </w:rPr>
      </w:pPr>
      <w:r w:rsidRPr="00CB082F">
        <w:rPr>
          <w:rFonts w:asciiTheme="majorBidi" w:hAnsiTheme="majorBidi" w:cstheme="majorBidi"/>
        </w:rPr>
        <w:t xml:space="preserve">Syarat syarat kesaksian </w:t>
      </w:r>
    </w:p>
    <w:p w14:paraId="279C8E9F" w14:textId="7D851840" w:rsidR="008D372B" w:rsidRPr="003933F9" w:rsidRDefault="008D372B" w:rsidP="003933F9">
      <w:pPr>
        <w:pStyle w:val="ListParagraph"/>
        <w:spacing w:line="276" w:lineRule="auto"/>
        <w:ind w:left="851" w:firstLine="283"/>
        <w:jc w:val="both"/>
        <w:rPr>
          <w:rFonts w:asciiTheme="majorBidi" w:hAnsiTheme="majorBidi" w:cstheme="majorBidi"/>
        </w:rPr>
      </w:pPr>
      <w:r w:rsidRPr="003933F9">
        <w:rPr>
          <w:rFonts w:asciiTheme="majorBidi" w:hAnsiTheme="majorBidi" w:cstheme="majorBidi"/>
        </w:rPr>
        <w:t xml:space="preserve">Menurut Wahbah  Az-Zuhaili dalam karyanya kitab </w:t>
      </w:r>
      <w:r w:rsidRPr="003933F9">
        <w:rPr>
          <w:rFonts w:asciiTheme="majorBidi" w:hAnsiTheme="majorBidi" w:cstheme="majorBidi"/>
          <w:i/>
          <w:iCs/>
        </w:rPr>
        <w:t>fiqh al islami wa adillatuhu</w:t>
      </w:r>
      <w:r w:rsidRPr="003933F9">
        <w:rPr>
          <w:rFonts w:asciiTheme="majorBidi" w:hAnsiTheme="majorBidi" w:cstheme="majorBidi"/>
        </w:rPr>
        <w:t xml:space="preserve"> memberikan syarat syarat terhadap kesaksian seorang saksi, antara lain:</w:t>
      </w:r>
      <w:r w:rsidRPr="00CB082F">
        <w:rPr>
          <w:rStyle w:val="FootnoteReference"/>
          <w:rFonts w:asciiTheme="majorBidi" w:hAnsiTheme="majorBidi" w:cstheme="majorBidi"/>
        </w:rPr>
        <w:footnoteReference w:id="111"/>
      </w:r>
    </w:p>
    <w:p w14:paraId="3C1824BB" w14:textId="77777777" w:rsidR="008D372B" w:rsidRPr="00CB082F" w:rsidRDefault="008D372B" w:rsidP="003933F9">
      <w:pPr>
        <w:pStyle w:val="ListParagraph"/>
        <w:numPr>
          <w:ilvl w:val="0"/>
          <w:numId w:val="33"/>
        </w:numPr>
        <w:spacing w:line="276" w:lineRule="auto"/>
        <w:ind w:left="1134" w:hanging="283"/>
        <w:jc w:val="both"/>
        <w:rPr>
          <w:rFonts w:asciiTheme="majorBidi" w:hAnsiTheme="majorBidi" w:cstheme="majorBidi"/>
        </w:rPr>
      </w:pPr>
      <w:r w:rsidRPr="00CB082F">
        <w:rPr>
          <w:rFonts w:asciiTheme="majorBidi" w:hAnsiTheme="majorBidi" w:cstheme="majorBidi"/>
        </w:rPr>
        <w:lastRenderedPageBreak/>
        <w:t xml:space="preserve">Diksi dan ketegasan, dalam memberikan kesaksian, seorang saksi dianjurkan untuk menggunakan frasa "saya bersaksi" (asy syahadah) untuk menegaskan kebenaran dan keabsahan kesaksiannya. Pernyataan seperti </w:t>
      </w:r>
      <w:r>
        <w:rPr>
          <w:rFonts w:asciiTheme="majorBidi" w:hAnsiTheme="majorBidi" w:cstheme="majorBidi"/>
        </w:rPr>
        <w:t>“</w:t>
      </w:r>
      <w:r w:rsidRPr="00CB082F">
        <w:rPr>
          <w:rFonts w:asciiTheme="majorBidi" w:hAnsiTheme="majorBidi" w:cstheme="majorBidi"/>
        </w:rPr>
        <w:t>saya mengetahui</w:t>
      </w:r>
      <w:r>
        <w:rPr>
          <w:rFonts w:asciiTheme="majorBidi" w:hAnsiTheme="majorBidi" w:cstheme="majorBidi"/>
        </w:rPr>
        <w:t>”</w:t>
      </w:r>
      <w:r w:rsidRPr="00CB082F">
        <w:rPr>
          <w:rFonts w:asciiTheme="majorBidi" w:hAnsiTheme="majorBidi" w:cstheme="majorBidi"/>
        </w:rPr>
        <w:t xml:space="preserve"> (a'lam) atau "saya yakin" (atayaqqan) dianggap kurang kuat dan tidak dapat diterima sebagai bukti.</w:t>
      </w:r>
    </w:p>
    <w:p w14:paraId="0545F1E7" w14:textId="77777777" w:rsidR="008D372B" w:rsidRPr="00CB082F" w:rsidRDefault="008D372B" w:rsidP="003933F9">
      <w:pPr>
        <w:pStyle w:val="ListParagraph"/>
        <w:numPr>
          <w:ilvl w:val="0"/>
          <w:numId w:val="33"/>
        </w:numPr>
        <w:spacing w:line="276" w:lineRule="auto"/>
        <w:ind w:left="1134" w:hanging="283"/>
        <w:jc w:val="both"/>
        <w:rPr>
          <w:rFonts w:asciiTheme="majorBidi" w:hAnsiTheme="majorBidi" w:cstheme="majorBidi"/>
        </w:rPr>
      </w:pPr>
      <w:r w:rsidRPr="00CB082F">
        <w:rPr>
          <w:rFonts w:asciiTheme="majorBidi" w:hAnsiTheme="majorBidi" w:cstheme="majorBidi"/>
        </w:rPr>
        <w:t>Koherensi kesaksian, dalam memberikan kesaksian, kesaksian yang diberikan harus selaras dengan tuduhan yang diajukan. Jika kesaksian berlawanan dengan tuduhan, kesaksian tersebut tidak dapat diterima. Namun, jika terdapat kesesuaian sebagian dan dimungkinkan untuk dikompromikan, kesaksian dapat diterima dengan catatan bahwa terdapat elemen kompromi di dalamnya.</w:t>
      </w:r>
    </w:p>
    <w:p w14:paraId="61C5A912" w14:textId="77777777" w:rsidR="00086C9B" w:rsidRDefault="008D372B" w:rsidP="00086C9B">
      <w:pPr>
        <w:pStyle w:val="ListParagraph"/>
        <w:numPr>
          <w:ilvl w:val="0"/>
          <w:numId w:val="30"/>
        </w:numPr>
        <w:spacing w:line="276" w:lineRule="auto"/>
        <w:ind w:left="851" w:hanging="284"/>
        <w:jc w:val="both"/>
        <w:rPr>
          <w:rFonts w:asciiTheme="majorBidi" w:hAnsiTheme="majorBidi" w:cstheme="majorBidi"/>
        </w:rPr>
      </w:pPr>
      <w:r w:rsidRPr="00CB082F">
        <w:rPr>
          <w:rFonts w:asciiTheme="majorBidi" w:hAnsiTheme="majorBidi" w:cstheme="majorBidi"/>
        </w:rPr>
        <w:t>Syarat kesaksi</w:t>
      </w:r>
      <w:r w:rsidR="006730EC">
        <w:rPr>
          <w:rFonts w:asciiTheme="majorBidi" w:hAnsiTheme="majorBidi" w:cstheme="majorBidi"/>
        </w:rPr>
        <w:t>a</w:t>
      </w:r>
      <w:r w:rsidRPr="00CB082F">
        <w:rPr>
          <w:rFonts w:asciiTheme="majorBidi" w:hAnsiTheme="majorBidi" w:cstheme="majorBidi"/>
        </w:rPr>
        <w:t>n menurut Qanun A</w:t>
      </w:r>
      <w:r w:rsidR="00D940A8">
        <w:rPr>
          <w:rFonts w:asciiTheme="majorBidi" w:hAnsiTheme="majorBidi" w:cstheme="majorBidi"/>
        </w:rPr>
        <w:t>cara</w:t>
      </w:r>
      <w:r w:rsidRPr="00CB082F">
        <w:rPr>
          <w:rFonts w:asciiTheme="majorBidi" w:hAnsiTheme="majorBidi" w:cstheme="majorBidi"/>
        </w:rPr>
        <w:t xml:space="preserve"> Jinayat </w:t>
      </w:r>
      <w:r w:rsidR="00D940A8">
        <w:rPr>
          <w:rFonts w:asciiTheme="majorBidi" w:hAnsiTheme="majorBidi" w:cstheme="majorBidi"/>
        </w:rPr>
        <w:t>(QHAJ) Aceh</w:t>
      </w:r>
    </w:p>
    <w:p w14:paraId="1893CA12" w14:textId="7338B6B1" w:rsidR="008D372B" w:rsidRPr="00086C9B" w:rsidRDefault="008D372B" w:rsidP="00086C9B">
      <w:pPr>
        <w:pStyle w:val="ListParagraph"/>
        <w:spacing w:line="276" w:lineRule="auto"/>
        <w:ind w:left="851" w:firstLine="283"/>
        <w:jc w:val="both"/>
        <w:rPr>
          <w:rFonts w:asciiTheme="majorBidi" w:hAnsiTheme="majorBidi" w:cstheme="majorBidi"/>
        </w:rPr>
      </w:pPr>
      <w:r w:rsidRPr="00086C9B">
        <w:rPr>
          <w:rFonts w:asciiTheme="majorBidi" w:hAnsiTheme="majorBidi" w:cstheme="majorBidi"/>
        </w:rPr>
        <w:t>Dalam Qanun Aceh Nomor 7 Tahun 2013 tentang Hukum Acara Jinayat, Keterangan saksi atau kesaksian memiliki nilai dan kekuatan pembuktian. Oleh karena itu, perlu diperhatikan beberapa pokok ketentuan yang harus dipenuhi oleh seorang saksi. Artinya, agar keterangan seorang saksi dapat dianggap sah sebagai alat bukti yang memiliki kekuatan pembuktian, harus memenuhi ketentuan sebagaimana diatur dalam Pasal 182. Yang berbunyi:</w:t>
      </w:r>
      <w:r w:rsidRPr="00CB082F">
        <w:rPr>
          <w:rStyle w:val="FootnoteReference"/>
          <w:rFonts w:asciiTheme="majorBidi" w:hAnsiTheme="majorBidi" w:cstheme="majorBidi"/>
        </w:rPr>
        <w:footnoteReference w:id="112"/>
      </w:r>
      <w:r w:rsidRPr="00086C9B">
        <w:rPr>
          <w:rFonts w:asciiTheme="majorBidi" w:hAnsiTheme="majorBidi" w:cstheme="majorBidi"/>
        </w:rPr>
        <w:t xml:space="preserve"> </w:t>
      </w:r>
    </w:p>
    <w:p w14:paraId="78BBD965" w14:textId="77777777" w:rsidR="008D372B" w:rsidRPr="00CB082F" w:rsidRDefault="008D372B" w:rsidP="00086C9B">
      <w:pPr>
        <w:pStyle w:val="ListParagraph"/>
        <w:numPr>
          <w:ilvl w:val="0"/>
          <w:numId w:val="95"/>
        </w:numPr>
        <w:spacing w:line="276" w:lineRule="auto"/>
        <w:ind w:left="1134" w:hanging="283"/>
        <w:jc w:val="both"/>
        <w:rPr>
          <w:rFonts w:asciiTheme="majorBidi" w:hAnsiTheme="majorBidi" w:cstheme="majorBidi"/>
        </w:rPr>
      </w:pPr>
      <w:r w:rsidRPr="00CB082F">
        <w:rPr>
          <w:rFonts w:asciiTheme="majorBidi" w:hAnsiTheme="majorBidi" w:cstheme="majorBidi"/>
        </w:rPr>
        <w:t>Kesaksian sebagai bukti sebagaimana dimaksud dalam Pasal 181 ayat (1) huruf a mencakup segala hal yang Saksi utarakan di persidangan.</w:t>
      </w:r>
    </w:p>
    <w:p w14:paraId="598FF51F" w14:textId="77777777" w:rsidR="008D372B" w:rsidRPr="00CB082F" w:rsidRDefault="008D372B" w:rsidP="00086C9B">
      <w:pPr>
        <w:pStyle w:val="ListParagraph"/>
        <w:numPr>
          <w:ilvl w:val="0"/>
          <w:numId w:val="95"/>
        </w:numPr>
        <w:spacing w:line="276" w:lineRule="auto"/>
        <w:ind w:left="1134" w:hanging="283"/>
        <w:jc w:val="both"/>
        <w:rPr>
          <w:rFonts w:asciiTheme="majorBidi" w:hAnsiTheme="majorBidi" w:cstheme="majorBidi"/>
        </w:rPr>
      </w:pPr>
      <w:r w:rsidRPr="00CB082F">
        <w:rPr>
          <w:rFonts w:asciiTheme="majorBidi" w:hAnsiTheme="majorBidi" w:cstheme="majorBidi"/>
        </w:rPr>
        <w:lastRenderedPageBreak/>
        <w:t>Kesaksian seorang Saksi saja tidak memadai untuk membuktikan bahwa Terdakwa bersalah atas perbuatan yang dituduhkan kepadanya.</w:t>
      </w:r>
    </w:p>
    <w:p w14:paraId="02BB82CD" w14:textId="77777777" w:rsidR="008D372B" w:rsidRPr="00CB082F" w:rsidRDefault="008D372B" w:rsidP="00086C9B">
      <w:pPr>
        <w:pStyle w:val="ListParagraph"/>
        <w:numPr>
          <w:ilvl w:val="0"/>
          <w:numId w:val="95"/>
        </w:numPr>
        <w:spacing w:line="276" w:lineRule="auto"/>
        <w:ind w:left="1134" w:hanging="283"/>
        <w:jc w:val="both"/>
        <w:rPr>
          <w:rFonts w:asciiTheme="majorBidi" w:hAnsiTheme="majorBidi" w:cstheme="majorBidi"/>
        </w:rPr>
      </w:pPr>
      <w:r w:rsidRPr="00CB082F">
        <w:rPr>
          <w:rFonts w:asciiTheme="majorBidi" w:hAnsiTheme="majorBidi" w:cstheme="majorBidi"/>
        </w:rPr>
        <w:t>Ketentuan sebagaimana dimaksud pada ayat (2) tidak berlaku jika disertai dengan bukti sah lainnya.</w:t>
      </w:r>
    </w:p>
    <w:p w14:paraId="6E95B275" w14:textId="77777777" w:rsidR="008D372B" w:rsidRPr="00CB082F" w:rsidRDefault="008D372B" w:rsidP="00086C9B">
      <w:pPr>
        <w:pStyle w:val="ListParagraph"/>
        <w:numPr>
          <w:ilvl w:val="0"/>
          <w:numId w:val="95"/>
        </w:numPr>
        <w:spacing w:line="276" w:lineRule="auto"/>
        <w:ind w:left="1134" w:hanging="283"/>
        <w:jc w:val="both"/>
        <w:rPr>
          <w:rFonts w:asciiTheme="majorBidi" w:hAnsiTheme="majorBidi" w:cstheme="majorBidi"/>
        </w:rPr>
      </w:pPr>
      <w:r w:rsidRPr="00CB082F">
        <w:rPr>
          <w:rFonts w:asciiTheme="majorBidi" w:hAnsiTheme="majorBidi" w:cstheme="majorBidi"/>
        </w:rPr>
        <w:t>Kesaksian beberapa Saksi yang berdiri sendiri-sendiri tentang suatu peristiwa atau kondisi dapat digunakan sebagai bukti yang sah jika kesaksian tersebut saling berkaitan sedemikian rupa, sehingga dapat menguatkan adanya suatu peristiwa atau kondisi tertentu secara meyakinkan.</w:t>
      </w:r>
    </w:p>
    <w:p w14:paraId="7FEC375A" w14:textId="77777777" w:rsidR="008D372B" w:rsidRPr="00CB082F" w:rsidRDefault="008D372B" w:rsidP="00086C9B">
      <w:pPr>
        <w:pStyle w:val="ListParagraph"/>
        <w:numPr>
          <w:ilvl w:val="0"/>
          <w:numId w:val="95"/>
        </w:numPr>
        <w:spacing w:line="276" w:lineRule="auto"/>
        <w:ind w:left="1134" w:hanging="283"/>
        <w:jc w:val="both"/>
        <w:rPr>
          <w:rFonts w:asciiTheme="majorBidi" w:hAnsiTheme="majorBidi" w:cstheme="majorBidi"/>
        </w:rPr>
      </w:pPr>
      <w:r w:rsidRPr="00CB082F">
        <w:rPr>
          <w:rFonts w:asciiTheme="majorBidi" w:hAnsiTheme="majorBidi" w:cstheme="majorBidi"/>
        </w:rPr>
        <w:t>Khusus pada kasus zina, pembuktian memerlukan 4 (empat) orang Saksi yang secara langsung melihat proses yang menunjukkan telah terjadi perbuatan zina pada waktu, tempat, dan orang yang sama.</w:t>
      </w:r>
    </w:p>
    <w:p w14:paraId="24146A6A" w14:textId="16889E75" w:rsidR="008D372B" w:rsidRPr="00CB082F" w:rsidRDefault="008D372B" w:rsidP="00086C9B">
      <w:pPr>
        <w:pStyle w:val="ListParagraph"/>
        <w:numPr>
          <w:ilvl w:val="0"/>
          <w:numId w:val="95"/>
        </w:numPr>
        <w:spacing w:line="276" w:lineRule="auto"/>
        <w:ind w:left="1134" w:hanging="283"/>
        <w:jc w:val="both"/>
        <w:rPr>
          <w:rFonts w:asciiTheme="majorBidi" w:hAnsiTheme="majorBidi" w:cstheme="majorBidi"/>
        </w:rPr>
      </w:pPr>
      <w:r w:rsidRPr="00CB082F">
        <w:rPr>
          <w:rFonts w:asciiTheme="majorBidi" w:hAnsiTheme="majorBidi" w:cstheme="majorBidi"/>
        </w:rPr>
        <w:t>Saksi zina yang memberikan keterangan palsu dapat dikenai hukuman Qa</w:t>
      </w:r>
      <w:r w:rsidR="006730EC">
        <w:rPr>
          <w:rFonts w:asciiTheme="majorBidi" w:hAnsiTheme="majorBidi" w:cstheme="majorBidi"/>
        </w:rPr>
        <w:t>d</w:t>
      </w:r>
      <w:r w:rsidRPr="00CB082F">
        <w:rPr>
          <w:rFonts w:asciiTheme="majorBidi" w:hAnsiTheme="majorBidi" w:cstheme="majorBidi"/>
        </w:rPr>
        <w:t xml:space="preserve">zaf. </w:t>
      </w:r>
    </w:p>
    <w:p w14:paraId="3E431B95" w14:textId="77777777" w:rsidR="008D372B" w:rsidRPr="00CB082F" w:rsidRDefault="008D372B" w:rsidP="00086C9B">
      <w:pPr>
        <w:pStyle w:val="ListParagraph"/>
        <w:numPr>
          <w:ilvl w:val="0"/>
          <w:numId w:val="95"/>
        </w:numPr>
        <w:spacing w:line="276" w:lineRule="auto"/>
        <w:ind w:left="1134" w:hanging="283"/>
        <w:jc w:val="both"/>
        <w:rPr>
          <w:rFonts w:asciiTheme="majorBidi" w:hAnsiTheme="majorBidi" w:cstheme="majorBidi"/>
        </w:rPr>
      </w:pPr>
      <w:r w:rsidRPr="00CB082F">
        <w:rPr>
          <w:rFonts w:asciiTheme="majorBidi" w:hAnsiTheme="majorBidi" w:cstheme="majorBidi"/>
        </w:rPr>
        <w:t>Pendapat atau anggapan yang diperoleh dari hasil pemikiran, bukan merupakan kesaksian.</w:t>
      </w:r>
    </w:p>
    <w:p w14:paraId="2F85EA03" w14:textId="77777777" w:rsidR="008D372B" w:rsidRPr="00CB082F" w:rsidRDefault="008D372B" w:rsidP="00086C9B">
      <w:pPr>
        <w:pStyle w:val="ListParagraph"/>
        <w:numPr>
          <w:ilvl w:val="0"/>
          <w:numId w:val="95"/>
        </w:numPr>
        <w:spacing w:line="276" w:lineRule="auto"/>
        <w:ind w:left="1134" w:hanging="283"/>
        <w:jc w:val="both"/>
        <w:rPr>
          <w:rFonts w:asciiTheme="majorBidi" w:hAnsiTheme="majorBidi" w:cstheme="majorBidi"/>
        </w:rPr>
      </w:pPr>
      <w:r w:rsidRPr="00CB082F">
        <w:rPr>
          <w:rFonts w:asciiTheme="majorBidi" w:hAnsiTheme="majorBidi" w:cstheme="majorBidi"/>
        </w:rPr>
        <w:t xml:space="preserve">Dalam menilai kebenaran kesaksian seorang Saksi, hakim harus cermat memperhatikan: </w:t>
      </w:r>
    </w:p>
    <w:p w14:paraId="3F6F487C" w14:textId="77777777" w:rsidR="008D372B" w:rsidRPr="00CB082F" w:rsidRDefault="008D372B" w:rsidP="00086C9B">
      <w:pPr>
        <w:pStyle w:val="ListParagraph"/>
        <w:numPr>
          <w:ilvl w:val="0"/>
          <w:numId w:val="98"/>
        </w:numPr>
        <w:spacing w:line="276" w:lineRule="auto"/>
        <w:ind w:left="1418" w:hanging="284"/>
        <w:jc w:val="both"/>
        <w:rPr>
          <w:rFonts w:asciiTheme="majorBidi" w:hAnsiTheme="majorBidi" w:cstheme="majorBidi"/>
        </w:rPr>
      </w:pPr>
      <w:r w:rsidRPr="00CB082F">
        <w:rPr>
          <w:rFonts w:asciiTheme="majorBidi" w:hAnsiTheme="majorBidi" w:cstheme="majorBidi"/>
        </w:rPr>
        <w:t>Integritas, perilaku, moral, dan segala sesuatu yang dapat mempengaruhi kredibilitas Saksi.</w:t>
      </w:r>
    </w:p>
    <w:p w14:paraId="2B3C9D42" w14:textId="77777777" w:rsidR="008D372B" w:rsidRPr="00CB082F" w:rsidRDefault="008D372B" w:rsidP="00086C9B">
      <w:pPr>
        <w:pStyle w:val="ListParagraph"/>
        <w:numPr>
          <w:ilvl w:val="0"/>
          <w:numId w:val="98"/>
        </w:numPr>
        <w:spacing w:line="276" w:lineRule="auto"/>
        <w:ind w:left="1418" w:hanging="284"/>
        <w:jc w:val="both"/>
        <w:rPr>
          <w:rFonts w:asciiTheme="majorBidi" w:hAnsiTheme="majorBidi" w:cstheme="majorBidi"/>
        </w:rPr>
      </w:pPr>
      <w:r w:rsidRPr="00CB082F">
        <w:rPr>
          <w:rFonts w:asciiTheme="majorBidi" w:hAnsiTheme="majorBidi" w:cstheme="majorBidi"/>
        </w:rPr>
        <w:t xml:space="preserve">kesesuaian antara kesaksian satu dengan yang lain. </w:t>
      </w:r>
    </w:p>
    <w:p w14:paraId="4F69A925" w14:textId="77777777" w:rsidR="008D372B" w:rsidRPr="00CB082F" w:rsidRDefault="008D372B" w:rsidP="00086C9B">
      <w:pPr>
        <w:pStyle w:val="ListParagraph"/>
        <w:numPr>
          <w:ilvl w:val="0"/>
          <w:numId w:val="98"/>
        </w:numPr>
        <w:spacing w:line="276" w:lineRule="auto"/>
        <w:ind w:left="1418" w:hanging="284"/>
        <w:jc w:val="both"/>
        <w:rPr>
          <w:rFonts w:asciiTheme="majorBidi" w:hAnsiTheme="majorBidi" w:cstheme="majorBidi"/>
        </w:rPr>
      </w:pPr>
      <w:r w:rsidRPr="00CB082F">
        <w:rPr>
          <w:rFonts w:asciiTheme="majorBidi" w:hAnsiTheme="majorBidi" w:cstheme="majorBidi"/>
        </w:rPr>
        <w:t xml:space="preserve">kesesuaian antara kesaksian dengan bukti lainnya. </w:t>
      </w:r>
    </w:p>
    <w:p w14:paraId="238AC4D0" w14:textId="77777777" w:rsidR="008D372B" w:rsidRPr="00CB082F" w:rsidRDefault="008D372B" w:rsidP="00086C9B">
      <w:pPr>
        <w:pStyle w:val="ListParagraph"/>
        <w:numPr>
          <w:ilvl w:val="0"/>
          <w:numId w:val="98"/>
        </w:numPr>
        <w:spacing w:line="276" w:lineRule="auto"/>
        <w:ind w:left="1418" w:hanging="284"/>
        <w:jc w:val="both"/>
        <w:rPr>
          <w:rFonts w:asciiTheme="majorBidi" w:hAnsiTheme="majorBidi" w:cstheme="majorBidi"/>
        </w:rPr>
      </w:pPr>
      <w:r w:rsidRPr="00CB082F">
        <w:rPr>
          <w:rFonts w:asciiTheme="majorBidi" w:hAnsiTheme="majorBidi" w:cstheme="majorBidi"/>
        </w:rPr>
        <w:t>motif yang mungkin mendorong Saksi untuk memberikan keterangan.</w:t>
      </w:r>
    </w:p>
    <w:p w14:paraId="1DAD2745" w14:textId="77777777" w:rsidR="008D372B" w:rsidRPr="00CB082F" w:rsidRDefault="008D372B" w:rsidP="00086C9B">
      <w:pPr>
        <w:pStyle w:val="ListParagraph"/>
        <w:numPr>
          <w:ilvl w:val="0"/>
          <w:numId w:val="95"/>
        </w:numPr>
        <w:spacing w:line="276" w:lineRule="auto"/>
        <w:ind w:left="1134" w:hanging="283"/>
        <w:jc w:val="both"/>
        <w:rPr>
          <w:rFonts w:asciiTheme="majorBidi" w:hAnsiTheme="majorBidi" w:cstheme="majorBidi"/>
        </w:rPr>
      </w:pPr>
      <w:r w:rsidRPr="00CB082F">
        <w:rPr>
          <w:rFonts w:asciiTheme="majorBidi" w:hAnsiTheme="majorBidi" w:cstheme="majorBidi"/>
        </w:rPr>
        <w:t>Kesaksian yang tidak disumpah meskipun konsisten satu dengan yang lain, bukan merupakan bukti, namun jika kesaksian tersebut sesuai dengan kesaksian yang disumpah dapat digunakan sebagai tambahan bukti sah lainnya.</w:t>
      </w:r>
    </w:p>
    <w:p w14:paraId="6A6D6012" w14:textId="77777777" w:rsidR="008D372B" w:rsidRDefault="008D372B" w:rsidP="000844D3">
      <w:pPr>
        <w:pStyle w:val="Heading1"/>
        <w:spacing w:line="360" w:lineRule="auto"/>
        <w:sectPr w:rsidR="008D372B" w:rsidSect="00463691">
          <w:footnotePr>
            <w:numRestart w:val="eachSect"/>
          </w:footnotePr>
          <w:pgSz w:w="8391" w:h="11906" w:code="11"/>
          <w:pgMar w:top="1134" w:right="1134" w:bottom="1134" w:left="1418" w:header="709" w:footer="709" w:gutter="0"/>
          <w:cols w:space="708"/>
          <w:titlePg/>
          <w:docGrid w:linePitch="360"/>
        </w:sectPr>
      </w:pPr>
      <w:bookmarkStart w:id="27" w:name="_Hlk169504578"/>
    </w:p>
    <w:p w14:paraId="010B7C6B" w14:textId="01AA4B62" w:rsidR="008D372B" w:rsidRPr="000844D3" w:rsidRDefault="008D372B" w:rsidP="000844D3">
      <w:pPr>
        <w:pStyle w:val="Heading1"/>
        <w:spacing w:line="360" w:lineRule="auto"/>
      </w:pPr>
      <w:bookmarkStart w:id="28" w:name="_Toc185961344"/>
      <w:r w:rsidRPr="00267A02">
        <w:lastRenderedPageBreak/>
        <w:t>BAB III</w:t>
      </w:r>
      <w:r>
        <w:t xml:space="preserve"> </w:t>
      </w:r>
      <w:r>
        <w:br/>
      </w:r>
      <w:r w:rsidR="006E40BC">
        <w:t xml:space="preserve">GAMBARAN UMUM </w:t>
      </w:r>
      <w:r w:rsidR="006E40BC" w:rsidRPr="00267A02">
        <w:t xml:space="preserve">KESAKSIAN </w:t>
      </w:r>
      <w:r w:rsidR="006E40BC" w:rsidRPr="000844D3">
        <w:rPr>
          <w:i/>
          <w:iCs/>
        </w:rPr>
        <w:t>TESTIMONIUM DE AUDITU</w:t>
      </w:r>
      <w:r w:rsidR="006E40BC" w:rsidRPr="00267A02">
        <w:t xml:space="preserve"> </w:t>
      </w:r>
      <w:r w:rsidR="006E40BC">
        <w:t xml:space="preserve"> PADA TINDAK PIDANA PELECEHAN SEKSUAL TERHADAP ANAK </w:t>
      </w:r>
      <w:r w:rsidR="006E40BC" w:rsidRPr="00267A02">
        <w:t>DALAM PUTUSAN MAHKAMAH SYARIAH TAKENGON NOMOR 9/JN/2023/MS.TKN</w:t>
      </w:r>
      <w:bookmarkEnd w:id="28"/>
    </w:p>
    <w:p w14:paraId="76C6DC93" w14:textId="25C32E8E" w:rsidR="006A65D8" w:rsidRPr="00771892" w:rsidRDefault="006E40BC" w:rsidP="00086C9B">
      <w:pPr>
        <w:pStyle w:val="Heading2"/>
        <w:numPr>
          <w:ilvl w:val="0"/>
          <w:numId w:val="102"/>
        </w:numPr>
        <w:spacing w:line="276" w:lineRule="auto"/>
        <w:ind w:left="284" w:hanging="284"/>
        <w:rPr>
          <w:i/>
          <w:iCs/>
        </w:rPr>
      </w:pPr>
      <w:bookmarkStart w:id="29" w:name="_Toc185961345"/>
      <w:r>
        <w:t xml:space="preserve">Kesaksian </w:t>
      </w:r>
      <w:r w:rsidR="006A65D8" w:rsidRPr="00771892">
        <w:rPr>
          <w:i/>
          <w:iCs/>
        </w:rPr>
        <w:t>Testimonium De Auditu/</w:t>
      </w:r>
      <w:r w:rsidR="006A65D8">
        <w:rPr>
          <w:i/>
          <w:iCs/>
        </w:rPr>
        <w:t xml:space="preserve"> </w:t>
      </w:r>
      <w:r w:rsidR="006A65D8" w:rsidRPr="00771892">
        <w:rPr>
          <w:i/>
          <w:iCs/>
        </w:rPr>
        <w:t>Syahadah Al</w:t>
      </w:r>
      <w:r w:rsidR="006A65D8">
        <w:rPr>
          <w:i/>
          <w:iCs/>
        </w:rPr>
        <w:t xml:space="preserve"> </w:t>
      </w:r>
      <w:r w:rsidR="006A65D8" w:rsidRPr="00771892">
        <w:rPr>
          <w:i/>
          <w:iCs/>
        </w:rPr>
        <w:t xml:space="preserve">Istifadah </w:t>
      </w:r>
      <w:r w:rsidR="006A65D8">
        <w:t>dalam Sistem Peradilan</w:t>
      </w:r>
      <w:bookmarkEnd w:id="29"/>
      <w:r w:rsidR="006A65D8">
        <w:t xml:space="preserve"> </w:t>
      </w:r>
    </w:p>
    <w:p w14:paraId="31D32A45" w14:textId="77777777" w:rsidR="00086C9B" w:rsidRDefault="00E07EB5" w:rsidP="00086C9B">
      <w:pPr>
        <w:pStyle w:val="ListParagraph"/>
        <w:numPr>
          <w:ilvl w:val="0"/>
          <w:numId w:val="53"/>
        </w:numPr>
        <w:spacing w:line="276" w:lineRule="auto"/>
        <w:ind w:left="567" w:hanging="283"/>
        <w:jc w:val="both"/>
        <w:rPr>
          <w:rFonts w:asciiTheme="majorBidi" w:hAnsiTheme="majorBidi" w:cstheme="majorBidi"/>
          <w:i/>
          <w:iCs/>
        </w:rPr>
      </w:pPr>
      <w:r>
        <w:rPr>
          <w:rFonts w:asciiTheme="majorBidi" w:hAnsiTheme="majorBidi" w:cstheme="majorBidi"/>
        </w:rPr>
        <w:t>Konsep</w:t>
      </w:r>
      <w:r w:rsidR="006A65D8" w:rsidRPr="00CB082F">
        <w:rPr>
          <w:rFonts w:asciiTheme="majorBidi" w:hAnsiTheme="majorBidi" w:cstheme="majorBidi"/>
        </w:rPr>
        <w:t xml:space="preserve"> </w:t>
      </w:r>
      <w:r w:rsidR="006A65D8" w:rsidRPr="00514D0C">
        <w:rPr>
          <w:rFonts w:asciiTheme="majorBidi" w:hAnsiTheme="majorBidi" w:cstheme="majorBidi"/>
          <w:i/>
          <w:iCs/>
        </w:rPr>
        <w:t>Testimonium De Auditu/Syahadah Al Istifadah</w:t>
      </w:r>
      <w:r>
        <w:rPr>
          <w:rFonts w:asciiTheme="majorBidi" w:hAnsiTheme="majorBidi" w:cstheme="majorBidi"/>
          <w:i/>
          <w:iCs/>
        </w:rPr>
        <w:t xml:space="preserve"> </w:t>
      </w:r>
      <w:r w:rsidRPr="00E07EB5">
        <w:rPr>
          <w:rFonts w:asciiTheme="majorBidi" w:hAnsiTheme="majorBidi" w:cstheme="majorBidi"/>
        </w:rPr>
        <w:t>dalam sistem peradilan</w:t>
      </w:r>
      <w:r>
        <w:rPr>
          <w:rFonts w:asciiTheme="majorBidi" w:hAnsiTheme="majorBidi" w:cstheme="majorBidi"/>
          <w:i/>
          <w:iCs/>
        </w:rPr>
        <w:t xml:space="preserve"> </w:t>
      </w:r>
    </w:p>
    <w:p w14:paraId="5D3D5818" w14:textId="3E111EB0" w:rsidR="006A65D8" w:rsidRPr="00086C9B" w:rsidRDefault="006A65D8" w:rsidP="00086C9B">
      <w:pPr>
        <w:pStyle w:val="ListParagraph"/>
        <w:spacing w:line="276" w:lineRule="auto"/>
        <w:ind w:left="567" w:firstLine="284"/>
        <w:jc w:val="both"/>
        <w:rPr>
          <w:rFonts w:asciiTheme="majorBidi" w:hAnsiTheme="majorBidi" w:cstheme="majorBidi"/>
          <w:i/>
          <w:iCs/>
        </w:rPr>
      </w:pPr>
      <w:r w:rsidRPr="00086C9B">
        <w:rPr>
          <w:rFonts w:asciiTheme="majorBidi" w:hAnsiTheme="majorBidi" w:cstheme="majorBidi"/>
        </w:rPr>
        <w:t xml:space="preserve">Dalam terminologi hukum populer, </w:t>
      </w:r>
      <w:r w:rsidRPr="00086C9B">
        <w:rPr>
          <w:rFonts w:asciiTheme="majorBidi" w:hAnsiTheme="majorBidi" w:cstheme="majorBidi"/>
          <w:i/>
          <w:iCs/>
        </w:rPr>
        <w:t>testimonium de auditu</w:t>
      </w:r>
      <w:r w:rsidRPr="00086C9B">
        <w:rPr>
          <w:rFonts w:asciiTheme="majorBidi" w:hAnsiTheme="majorBidi" w:cstheme="majorBidi"/>
        </w:rPr>
        <w:t xml:space="preserve"> mengacu pada kesaksian yang disampaikan di pengadilan yang bersumber dari informasi atau cerita yang diperoleh dari orang lain, bukan dari pengalaman atau pengetahuan langsung saksi</w:t>
      </w:r>
      <w:r w:rsidRPr="00086C9B">
        <w:rPr>
          <w:rFonts w:asciiTheme="majorBidi" w:hAnsiTheme="majorBidi" w:cstheme="majorBidi"/>
          <w:b/>
          <w:bCs/>
        </w:rPr>
        <w:t>.</w:t>
      </w:r>
      <w:r w:rsidRPr="00F231B8">
        <w:rPr>
          <w:rStyle w:val="FootnoteReference"/>
          <w:rFonts w:asciiTheme="majorBidi" w:hAnsiTheme="majorBidi" w:cstheme="majorBidi"/>
        </w:rPr>
        <w:footnoteReference w:id="113"/>
      </w:r>
      <w:r w:rsidRPr="00086C9B">
        <w:rPr>
          <w:rFonts w:asciiTheme="majorBidi" w:hAnsiTheme="majorBidi" w:cstheme="majorBidi"/>
        </w:rPr>
        <w:t xml:space="preserve"> </w:t>
      </w:r>
      <w:r w:rsidRPr="00086C9B">
        <w:rPr>
          <w:rFonts w:asciiTheme="majorBidi" w:hAnsiTheme="majorBidi" w:cstheme="majorBidi"/>
          <w:i/>
          <w:iCs/>
        </w:rPr>
        <w:t>Testimonium de auditu</w:t>
      </w:r>
      <w:r w:rsidRPr="00086C9B">
        <w:rPr>
          <w:rFonts w:asciiTheme="majorBidi" w:hAnsiTheme="majorBidi" w:cstheme="majorBidi"/>
        </w:rPr>
        <w:t>, sebagaimana didefinisikan dalam Buku II, mengacu pada keterangan yang diperoleh saksi dari pihak lain, bukan dari pengalaman atau pengetahuannya sendiri.</w:t>
      </w:r>
      <w:r w:rsidRPr="00086C9B">
        <w:rPr>
          <w:rFonts w:asciiTheme="majorBidi" w:hAnsiTheme="majorBidi" w:cstheme="majorBidi"/>
          <w:b/>
          <w:bCs/>
        </w:rPr>
        <w:t xml:space="preserve"> </w:t>
      </w:r>
      <w:r w:rsidRPr="00086C9B">
        <w:rPr>
          <w:rFonts w:asciiTheme="majorBidi" w:hAnsiTheme="majorBidi" w:cstheme="majorBidi"/>
        </w:rPr>
        <w:t xml:space="preserve">Murphy menyamakan </w:t>
      </w:r>
      <w:r w:rsidRPr="00086C9B">
        <w:rPr>
          <w:rFonts w:asciiTheme="majorBidi" w:hAnsiTheme="majorBidi" w:cstheme="majorBidi"/>
          <w:i/>
          <w:iCs/>
        </w:rPr>
        <w:t>testimonium de auditu</w:t>
      </w:r>
      <w:r w:rsidRPr="00086C9B">
        <w:rPr>
          <w:rFonts w:asciiTheme="majorBidi" w:hAnsiTheme="majorBidi" w:cstheme="majorBidi"/>
        </w:rPr>
        <w:t xml:space="preserve"> dengan </w:t>
      </w:r>
      <w:r w:rsidRPr="00086C9B">
        <w:rPr>
          <w:rFonts w:asciiTheme="majorBidi" w:hAnsiTheme="majorBidi" w:cstheme="majorBidi"/>
          <w:i/>
          <w:iCs/>
        </w:rPr>
        <w:t>hearsay witness</w:t>
      </w:r>
      <w:r w:rsidRPr="00086C9B">
        <w:rPr>
          <w:rFonts w:asciiTheme="majorBidi" w:hAnsiTheme="majorBidi" w:cstheme="majorBidi"/>
        </w:rPr>
        <w:t xml:space="preserve"> dalam hukum Common Law. Keduanya mengacu pada keterangan yang diberikan seseorang yang bersumber dari pernyataan orang lain, baik melalui lisan, tulisan, atau media lainnya. Dalam sistem hukum </w:t>
      </w:r>
      <w:r w:rsidRPr="00086C9B">
        <w:rPr>
          <w:rFonts w:asciiTheme="majorBidi" w:hAnsiTheme="majorBidi" w:cstheme="majorBidi"/>
          <w:i/>
          <w:iCs/>
        </w:rPr>
        <w:t>Common Law</w:t>
      </w:r>
      <w:r w:rsidRPr="00086C9B">
        <w:rPr>
          <w:rFonts w:asciiTheme="majorBidi" w:hAnsiTheme="majorBidi" w:cstheme="majorBidi"/>
        </w:rPr>
        <w:t xml:space="preserve"> umumnya tidak </w:t>
      </w:r>
      <w:r w:rsidRPr="00086C9B">
        <w:rPr>
          <w:rFonts w:asciiTheme="majorBidi" w:hAnsiTheme="majorBidi" w:cstheme="majorBidi"/>
        </w:rPr>
        <w:lastRenderedPageBreak/>
        <w:t>memperbolehkan jenis kesaksian ini sebagai alat bukti yang sah.</w:t>
      </w:r>
      <w:r w:rsidRPr="00F231B8">
        <w:rPr>
          <w:rStyle w:val="FootnoteReference"/>
          <w:rFonts w:asciiTheme="majorBidi" w:hAnsiTheme="majorBidi" w:cstheme="majorBidi"/>
        </w:rPr>
        <w:footnoteReference w:id="114"/>
      </w:r>
      <w:r w:rsidRPr="00086C9B">
        <w:rPr>
          <w:rFonts w:asciiTheme="majorBidi" w:hAnsiTheme="majorBidi" w:cstheme="majorBidi"/>
          <w:b/>
          <w:bCs/>
        </w:rPr>
        <w:t xml:space="preserve"> </w:t>
      </w:r>
    </w:p>
    <w:p w14:paraId="156989F5" w14:textId="32831F55" w:rsidR="006A65D8" w:rsidRPr="00CB082F" w:rsidRDefault="006A65D8" w:rsidP="00086C9B">
      <w:pPr>
        <w:pStyle w:val="ListParagraph"/>
        <w:spacing w:line="276" w:lineRule="auto"/>
        <w:ind w:left="567" w:firstLine="284"/>
        <w:jc w:val="both"/>
        <w:rPr>
          <w:rFonts w:asciiTheme="majorBidi" w:hAnsiTheme="majorBidi" w:cstheme="majorBidi"/>
        </w:rPr>
      </w:pPr>
      <w:r w:rsidRPr="00CB082F">
        <w:rPr>
          <w:rFonts w:asciiTheme="majorBidi" w:hAnsiTheme="majorBidi" w:cstheme="majorBidi"/>
        </w:rPr>
        <w:t xml:space="preserve">Namun, Munir Fuady dalam kajian </w:t>
      </w:r>
      <w:r>
        <w:rPr>
          <w:rFonts w:asciiTheme="majorBidi" w:hAnsiTheme="majorBidi" w:cstheme="majorBidi"/>
        </w:rPr>
        <w:t>“</w:t>
      </w:r>
      <w:r w:rsidR="00826066" w:rsidRPr="00CB082F">
        <w:rPr>
          <w:rFonts w:asciiTheme="majorBidi" w:hAnsiTheme="majorBidi" w:cstheme="majorBidi"/>
        </w:rPr>
        <w:t>Teori Pembuktiannya</w:t>
      </w:r>
      <w:r w:rsidR="00826066">
        <w:rPr>
          <w:rFonts w:asciiTheme="majorBidi" w:hAnsiTheme="majorBidi" w:cstheme="majorBidi"/>
        </w:rPr>
        <w:t>”</w:t>
      </w:r>
      <w:r w:rsidRPr="00CB082F">
        <w:rPr>
          <w:rFonts w:asciiTheme="majorBidi" w:hAnsiTheme="majorBidi" w:cstheme="majorBidi"/>
        </w:rPr>
        <w:t xml:space="preserve"> memberikan pandangan bahwa keterangan </w:t>
      </w:r>
      <w:r w:rsidRPr="00FB6159">
        <w:rPr>
          <w:rFonts w:asciiTheme="majorBidi" w:hAnsiTheme="majorBidi" w:cstheme="majorBidi"/>
          <w:i/>
          <w:iCs/>
        </w:rPr>
        <w:t>testimonium de auditu</w:t>
      </w:r>
      <w:r>
        <w:rPr>
          <w:rFonts w:asciiTheme="majorBidi" w:hAnsiTheme="majorBidi" w:cstheme="majorBidi"/>
        </w:rPr>
        <w:t xml:space="preserve"> </w:t>
      </w:r>
      <w:r w:rsidRPr="00CB082F">
        <w:rPr>
          <w:rFonts w:asciiTheme="majorBidi" w:hAnsiTheme="majorBidi" w:cstheme="majorBidi"/>
        </w:rPr>
        <w:t xml:space="preserve">dapat dijadikan sebagai alat bukti. Namun, penerimaan keterangan ini bersifat situasional dan sangat bergantung pada kekuatan bukti pendukung lainnya. Jika terdapat alasan yang kuat untuk meyakini kebenaran keterangan tersebut, maka keterangan saksi </w:t>
      </w:r>
      <w:r w:rsidR="00826066" w:rsidRPr="00826066">
        <w:rPr>
          <w:rFonts w:asciiTheme="majorBidi" w:hAnsiTheme="majorBidi" w:cstheme="majorBidi"/>
          <w:i/>
          <w:iCs/>
        </w:rPr>
        <w:t xml:space="preserve">testimonium </w:t>
      </w:r>
      <w:r w:rsidRPr="00826066">
        <w:rPr>
          <w:rFonts w:asciiTheme="majorBidi" w:hAnsiTheme="majorBidi" w:cstheme="majorBidi"/>
          <w:i/>
          <w:iCs/>
        </w:rPr>
        <w:t>de auditu</w:t>
      </w:r>
      <w:r w:rsidRPr="00CB082F">
        <w:rPr>
          <w:rFonts w:asciiTheme="majorBidi" w:hAnsiTheme="majorBidi" w:cstheme="majorBidi"/>
        </w:rPr>
        <w:t xml:space="preserve"> dapat berfungsi sebagai bukti petunjuk dalam proses peradilan.</w:t>
      </w:r>
      <w:r w:rsidRPr="00CB082F">
        <w:rPr>
          <w:rStyle w:val="FootnoteReference"/>
          <w:rFonts w:asciiTheme="majorBidi" w:hAnsiTheme="majorBidi" w:cstheme="majorBidi"/>
        </w:rPr>
        <w:footnoteReference w:id="115"/>
      </w:r>
    </w:p>
    <w:p w14:paraId="0CDE2B70" w14:textId="23D68496" w:rsidR="006A65D8" w:rsidRPr="00CB082F" w:rsidRDefault="006A65D8" w:rsidP="00086C9B">
      <w:pPr>
        <w:pStyle w:val="ListParagraph"/>
        <w:spacing w:line="276" w:lineRule="auto"/>
        <w:ind w:left="567" w:firstLine="284"/>
        <w:jc w:val="both"/>
        <w:rPr>
          <w:rFonts w:asciiTheme="majorBidi" w:hAnsiTheme="majorBidi" w:cstheme="majorBidi"/>
        </w:rPr>
      </w:pPr>
      <w:r w:rsidRPr="00CB082F">
        <w:rPr>
          <w:rFonts w:asciiTheme="majorBidi" w:hAnsiTheme="majorBidi" w:cstheme="majorBidi"/>
        </w:rPr>
        <w:t xml:space="preserve">Dalam sistem peradilan </w:t>
      </w:r>
      <w:r>
        <w:rPr>
          <w:rFonts w:asciiTheme="majorBidi" w:hAnsiTheme="majorBidi" w:cstheme="majorBidi"/>
        </w:rPr>
        <w:t>I</w:t>
      </w:r>
      <w:r w:rsidRPr="00CB082F">
        <w:rPr>
          <w:rFonts w:asciiTheme="majorBidi" w:hAnsiTheme="majorBidi" w:cstheme="majorBidi"/>
        </w:rPr>
        <w:t xml:space="preserve">slam, </w:t>
      </w:r>
      <w:r w:rsidRPr="00CB082F">
        <w:rPr>
          <w:rFonts w:asciiTheme="majorBidi" w:hAnsiTheme="majorBidi" w:cstheme="majorBidi"/>
          <w:i/>
          <w:iCs/>
        </w:rPr>
        <w:t>Syahadah Istifadah</w:t>
      </w:r>
      <w:r w:rsidRPr="00CB082F">
        <w:rPr>
          <w:rFonts w:asciiTheme="majorBidi" w:hAnsiTheme="majorBidi" w:cstheme="majorBidi"/>
        </w:rPr>
        <w:t xml:space="preserve"> adalah istilah yang digunakan untuk menyebut kesaksian yang disampaikan berdasarkan apa yang didengar </w:t>
      </w:r>
      <w:r>
        <w:rPr>
          <w:rFonts w:asciiTheme="majorBidi" w:hAnsiTheme="majorBidi" w:cstheme="majorBidi"/>
        </w:rPr>
        <w:t>dari orang lain, hal ini</w:t>
      </w:r>
      <w:r w:rsidRPr="00CB082F">
        <w:rPr>
          <w:rFonts w:asciiTheme="majorBidi" w:hAnsiTheme="majorBidi" w:cstheme="majorBidi"/>
        </w:rPr>
        <w:t xml:space="preserve"> mirip dengan </w:t>
      </w:r>
      <w:r w:rsidRPr="00CB082F">
        <w:rPr>
          <w:rFonts w:asciiTheme="majorBidi" w:hAnsiTheme="majorBidi" w:cstheme="majorBidi"/>
          <w:i/>
          <w:iCs/>
        </w:rPr>
        <w:t>testimonium de auditu</w:t>
      </w:r>
      <w:r w:rsidRPr="00CB082F">
        <w:rPr>
          <w:rFonts w:asciiTheme="majorBidi" w:hAnsiTheme="majorBidi" w:cstheme="majorBidi"/>
        </w:rPr>
        <w:t xml:space="preserve">. </w:t>
      </w:r>
      <w:r>
        <w:rPr>
          <w:rFonts w:asciiTheme="majorBidi" w:hAnsiTheme="majorBidi" w:cstheme="majorBidi"/>
        </w:rPr>
        <w:t xml:space="preserve">Sedangkan </w:t>
      </w:r>
      <w:r w:rsidRPr="00CB082F">
        <w:rPr>
          <w:rFonts w:asciiTheme="majorBidi" w:hAnsiTheme="majorBidi" w:cstheme="majorBidi"/>
          <w:i/>
          <w:iCs/>
        </w:rPr>
        <w:t>Khabar Istifadah</w:t>
      </w:r>
      <w:r w:rsidRPr="00CB082F">
        <w:rPr>
          <w:rFonts w:asciiTheme="majorBidi" w:hAnsiTheme="majorBidi" w:cstheme="majorBidi"/>
        </w:rPr>
        <w:t xml:space="preserve"> merujuk pada jenis berita yang menjadi dasar </w:t>
      </w:r>
      <w:r w:rsidRPr="00CB082F">
        <w:rPr>
          <w:rFonts w:asciiTheme="majorBidi" w:hAnsiTheme="majorBidi" w:cstheme="majorBidi"/>
          <w:i/>
          <w:iCs/>
        </w:rPr>
        <w:t>Syahadah al Istifadah</w:t>
      </w:r>
      <w:r w:rsidRPr="00CB082F">
        <w:rPr>
          <w:rFonts w:asciiTheme="majorBidi" w:hAnsiTheme="majorBidi" w:cstheme="majorBidi"/>
        </w:rPr>
        <w:t xml:space="preserve">.  Berita ini berada di antara tingkatan berita mutawatir (berita yang diriwayatkan oleh banyak orang secara terus menerus dan tidak mungkin berbohong) dan ahad (berita perorangan). Dengan kata lain, </w:t>
      </w:r>
      <w:r w:rsidRPr="00CB082F">
        <w:rPr>
          <w:rFonts w:asciiTheme="majorBidi" w:hAnsiTheme="majorBidi" w:cstheme="majorBidi"/>
          <w:i/>
          <w:iCs/>
        </w:rPr>
        <w:t>Khabar Istifadah</w:t>
      </w:r>
      <w:r w:rsidRPr="00CB082F">
        <w:rPr>
          <w:rFonts w:asciiTheme="majorBidi" w:hAnsiTheme="majorBidi" w:cstheme="majorBidi"/>
        </w:rPr>
        <w:t xml:space="preserve"> adalah berita yang sudah tersebar luas dan menjadi perbincangan umum di masyarakat.</w:t>
      </w:r>
      <w:r w:rsidRPr="00CB082F">
        <w:rPr>
          <w:rStyle w:val="FootnoteReference"/>
          <w:rFonts w:asciiTheme="majorBidi" w:hAnsiTheme="majorBidi" w:cstheme="majorBidi"/>
        </w:rPr>
        <w:footnoteReference w:id="116"/>
      </w:r>
      <w:r w:rsidRPr="00CB082F">
        <w:rPr>
          <w:rFonts w:asciiTheme="majorBidi" w:hAnsiTheme="majorBidi" w:cstheme="majorBidi"/>
        </w:rPr>
        <w:t xml:space="preserve"> Dalam ranah status keperdataan hukum Islam, para ulama secara kolektif telah menyepakati kebolehan penggunaan </w:t>
      </w:r>
      <w:r w:rsidRPr="00CB082F">
        <w:rPr>
          <w:rFonts w:asciiTheme="majorBidi" w:hAnsiTheme="majorBidi" w:cstheme="majorBidi"/>
          <w:i/>
          <w:iCs/>
        </w:rPr>
        <w:t>Syahadah al Istifadah.</w:t>
      </w:r>
      <w:r w:rsidRPr="00CB082F">
        <w:rPr>
          <w:rFonts w:asciiTheme="majorBidi" w:hAnsiTheme="majorBidi" w:cstheme="majorBidi"/>
        </w:rPr>
        <w:t xml:space="preserve"> Ulama </w:t>
      </w:r>
      <w:r w:rsidR="00D90EFC">
        <w:rPr>
          <w:rFonts w:asciiTheme="majorBidi" w:hAnsiTheme="majorBidi" w:cstheme="majorBidi"/>
        </w:rPr>
        <w:t xml:space="preserve">mazhab </w:t>
      </w:r>
      <w:r w:rsidRPr="00CB082F">
        <w:rPr>
          <w:rFonts w:asciiTheme="majorBidi" w:hAnsiTheme="majorBidi" w:cstheme="majorBidi"/>
        </w:rPr>
        <w:t xml:space="preserve">Hanabilah, secara khusus, memperbolehkan penggunaan </w:t>
      </w:r>
      <w:r w:rsidRPr="00CB082F">
        <w:rPr>
          <w:rFonts w:asciiTheme="majorBidi" w:hAnsiTheme="majorBidi" w:cstheme="majorBidi"/>
          <w:i/>
          <w:iCs/>
        </w:rPr>
        <w:t>Syahadah Al Istifadah</w:t>
      </w:r>
      <w:r w:rsidRPr="00CB082F">
        <w:rPr>
          <w:rFonts w:asciiTheme="majorBidi" w:hAnsiTheme="majorBidi" w:cstheme="majorBidi"/>
        </w:rPr>
        <w:t xml:space="preserve"> dalam </w:t>
      </w:r>
      <w:r w:rsidRPr="00CB082F">
        <w:rPr>
          <w:rFonts w:asciiTheme="majorBidi" w:hAnsiTheme="majorBidi" w:cstheme="majorBidi"/>
        </w:rPr>
        <w:lastRenderedPageBreak/>
        <w:t>berbagai bidang, seperti pernikahan, hak-hak pribadi, wakaf, dan kematian. Hal ini didasari oleh pertimbangan bahwa informasi faktual atau bukti langsung terkait hal-hal tersebut terkadang sulit diperoleh. Oleh karena itu, analogi dengan status keperdataan menjadi solusi yang tepat.</w:t>
      </w:r>
      <w:r w:rsidRPr="00CB082F">
        <w:rPr>
          <w:rStyle w:val="FootnoteReference"/>
          <w:rFonts w:asciiTheme="majorBidi" w:hAnsiTheme="majorBidi" w:cstheme="majorBidi"/>
        </w:rPr>
        <w:footnoteReference w:id="117"/>
      </w:r>
      <w:r w:rsidRPr="00CB082F">
        <w:rPr>
          <w:rFonts w:asciiTheme="majorBidi" w:hAnsiTheme="majorBidi" w:cstheme="majorBidi"/>
        </w:rPr>
        <w:t xml:space="preserve"> </w:t>
      </w:r>
    </w:p>
    <w:p w14:paraId="42351A57" w14:textId="735431C1" w:rsidR="006A65D8" w:rsidRDefault="006A65D8" w:rsidP="00086C9B">
      <w:pPr>
        <w:pStyle w:val="ListParagraph"/>
        <w:spacing w:line="276" w:lineRule="auto"/>
        <w:ind w:left="567" w:firstLine="284"/>
        <w:jc w:val="both"/>
        <w:rPr>
          <w:rFonts w:asciiTheme="majorBidi" w:hAnsiTheme="majorBidi" w:cstheme="majorBidi"/>
        </w:rPr>
      </w:pPr>
      <w:r w:rsidRPr="00CB082F">
        <w:rPr>
          <w:rFonts w:asciiTheme="majorBidi" w:hAnsiTheme="majorBidi" w:cstheme="majorBidi"/>
        </w:rPr>
        <w:t xml:space="preserve">Dalam kitab </w:t>
      </w:r>
      <w:r w:rsidRPr="00CB082F">
        <w:rPr>
          <w:rFonts w:asciiTheme="majorBidi" w:hAnsiTheme="majorBidi" w:cstheme="majorBidi"/>
          <w:i/>
          <w:iCs/>
        </w:rPr>
        <w:t>Al Thuruq Al Khukmiyah Fi Al Siyasah Al Syar’iyah</w:t>
      </w:r>
      <w:r w:rsidRPr="00CB082F">
        <w:rPr>
          <w:rFonts w:asciiTheme="majorBidi" w:hAnsiTheme="majorBidi" w:cstheme="majorBidi"/>
        </w:rPr>
        <w:t>, Ibn</w:t>
      </w:r>
      <w:r w:rsidR="006730EC">
        <w:rPr>
          <w:rFonts w:asciiTheme="majorBidi" w:hAnsiTheme="majorBidi" w:cstheme="majorBidi"/>
        </w:rPr>
        <w:t>u</w:t>
      </w:r>
      <w:r w:rsidRPr="00CB082F">
        <w:rPr>
          <w:rFonts w:asciiTheme="majorBidi" w:hAnsiTheme="majorBidi" w:cstheme="majorBidi"/>
        </w:rPr>
        <w:t xml:space="preserve"> Q</w:t>
      </w:r>
      <w:r w:rsidR="006730EC">
        <w:rPr>
          <w:rFonts w:asciiTheme="majorBidi" w:hAnsiTheme="majorBidi" w:cstheme="majorBidi"/>
        </w:rPr>
        <w:t>a</w:t>
      </w:r>
      <w:r w:rsidRPr="00CB082F">
        <w:rPr>
          <w:rFonts w:asciiTheme="majorBidi" w:hAnsiTheme="majorBidi" w:cstheme="majorBidi"/>
        </w:rPr>
        <w:t>yyim al Jauziyah bahkan men</w:t>
      </w:r>
      <w:r w:rsidR="006730EC">
        <w:rPr>
          <w:rFonts w:asciiTheme="majorBidi" w:hAnsiTheme="majorBidi" w:cstheme="majorBidi"/>
        </w:rPr>
        <w:t>yatakan</w:t>
      </w:r>
      <w:r w:rsidRPr="00CB082F">
        <w:rPr>
          <w:rFonts w:asciiTheme="majorBidi" w:hAnsiTheme="majorBidi" w:cstheme="majorBidi"/>
        </w:rPr>
        <w:t xml:space="preserve"> </w:t>
      </w:r>
      <w:r w:rsidR="00D90EFC">
        <w:rPr>
          <w:rFonts w:asciiTheme="majorBidi" w:hAnsiTheme="majorBidi" w:cstheme="majorBidi"/>
        </w:rPr>
        <w:t>mem</w:t>
      </w:r>
      <w:r w:rsidRPr="00CB082F">
        <w:rPr>
          <w:rFonts w:asciiTheme="majorBidi" w:hAnsiTheme="majorBidi" w:cstheme="majorBidi"/>
        </w:rPr>
        <w:t>boleh</w:t>
      </w:r>
      <w:r w:rsidR="00D90EFC">
        <w:rPr>
          <w:rFonts w:asciiTheme="majorBidi" w:hAnsiTheme="majorBidi" w:cstheme="majorBidi"/>
        </w:rPr>
        <w:t>kan</w:t>
      </w:r>
      <w:r w:rsidRPr="00CB082F">
        <w:rPr>
          <w:rFonts w:asciiTheme="majorBidi" w:hAnsiTheme="majorBidi" w:cstheme="majorBidi"/>
        </w:rPr>
        <w:t xml:space="preserve"> hakim memutus perkara berdasarkan </w:t>
      </w:r>
      <w:r w:rsidRPr="00CB082F">
        <w:rPr>
          <w:rFonts w:asciiTheme="majorBidi" w:hAnsiTheme="majorBidi" w:cstheme="majorBidi"/>
          <w:i/>
          <w:iCs/>
        </w:rPr>
        <w:t>Syahadah al Istifadah</w:t>
      </w:r>
      <w:r w:rsidRPr="00CB082F">
        <w:rPr>
          <w:rFonts w:asciiTheme="majorBidi" w:hAnsiTheme="majorBidi" w:cstheme="majorBidi"/>
        </w:rPr>
        <w:t xml:space="preserve">. Hal ini didasari oleh kekuatan bukti yang terkandung dalam kesaksian tersebut. </w:t>
      </w:r>
      <w:r w:rsidRPr="00CB082F">
        <w:rPr>
          <w:rFonts w:asciiTheme="majorBidi" w:hAnsiTheme="majorBidi" w:cstheme="majorBidi"/>
          <w:i/>
          <w:iCs/>
        </w:rPr>
        <w:t>Syahadah Istifadah</w:t>
      </w:r>
      <w:r w:rsidRPr="00CB082F">
        <w:rPr>
          <w:rFonts w:asciiTheme="majorBidi" w:hAnsiTheme="majorBidi" w:cstheme="majorBidi"/>
        </w:rPr>
        <w:t xml:space="preserve"> berfungsi sebagai alat untuk mendapatkan informasi atau fakta yang akurat, sehingga mampu menepis kemungkinan terjadinya kecurangan yang mungkin dilakukan oleh saksi maupun hakim. Oleh karena itu,</w:t>
      </w:r>
      <w:r w:rsidR="00826066">
        <w:rPr>
          <w:rFonts w:asciiTheme="majorBidi" w:hAnsiTheme="majorBidi" w:cstheme="majorBidi"/>
        </w:rPr>
        <w:t xml:space="preserve"> kekuatan</w:t>
      </w:r>
      <w:r w:rsidRPr="00CB082F">
        <w:rPr>
          <w:rFonts w:asciiTheme="majorBidi" w:hAnsiTheme="majorBidi" w:cstheme="majorBidi"/>
        </w:rPr>
        <w:t xml:space="preserve"> </w:t>
      </w:r>
      <w:r w:rsidRPr="00CB082F">
        <w:rPr>
          <w:rFonts w:asciiTheme="majorBidi" w:hAnsiTheme="majorBidi" w:cstheme="majorBidi"/>
          <w:i/>
          <w:iCs/>
        </w:rPr>
        <w:t>Syahadah Istifadah</w:t>
      </w:r>
      <w:r w:rsidRPr="00CB082F">
        <w:rPr>
          <w:rFonts w:asciiTheme="majorBidi" w:hAnsiTheme="majorBidi" w:cstheme="majorBidi"/>
        </w:rPr>
        <w:t xml:space="preserve"> dinilai lebih tinggi dibandingkan dengan kesaksian dua orang saksi laki laki yang memenuhi syarat formal dan materiil.</w:t>
      </w:r>
      <w:r w:rsidRPr="00CB082F">
        <w:rPr>
          <w:rStyle w:val="FootnoteReference"/>
          <w:rFonts w:asciiTheme="majorBidi" w:hAnsiTheme="majorBidi" w:cstheme="majorBidi"/>
        </w:rPr>
        <w:footnoteReference w:id="118"/>
      </w:r>
    </w:p>
    <w:p w14:paraId="0A404D5B" w14:textId="568213CE" w:rsidR="006A65D8" w:rsidRPr="00CB082F" w:rsidRDefault="006A65D8" w:rsidP="00086C9B">
      <w:pPr>
        <w:pStyle w:val="ListParagraph"/>
        <w:numPr>
          <w:ilvl w:val="0"/>
          <w:numId w:val="53"/>
        </w:numPr>
        <w:spacing w:line="276" w:lineRule="auto"/>
        <w:ind w:left="567" w:hanging="283"/>
        <w:jc w:val="both"/>
        <w:rPr>
          <w:rFonts w:asciiTheme="majorBidi" w:hAnsiTheme="majorBidi" w:cstheme="majorBidi"/>
        </w:rPr>
      </w:pPr>
      <w:r w:rsidRPr="00CB082F">
        <w:rPr>
          <w:rFonts w:asciiTheme="majorBidi" w:hAnsiTheme="majorBidi" w:cstheme="majorBidi"/>
        </w:rPr>
        <w:t xml:space="preserve">Syarat Diterimanya </w:t>
      </w:r>
      <w:r w:rsidRPr="00D90EFC">
        <w:rPr>
          <w:rFonts w:asciiTheme="majorBidi" w:hAnsiTheme="majorBidi" w:cstheme="majorBidi"/>
          <w:i/>
          <w:iCs/>
        </w:rPr>
        <w:t>S</w:t>
      </w:r>
      <w:r w:rsidR="00D90EFC">
        <w:rPr>
          <w:rFonts w:asciiTheme="majorBidi" w:hAnsiTheme="majorBidi" w:cstheme="majorBidi"/>
          <w:i/>
          <w:iCs/>
        </w:rPr>
        <w:t>y</w:t>
      </w:r>
      <w:r w:rsidRPr="00D90EFC">
        <w:rPr>
          <w:rFonts w:asciiTheme="majorBidi" w:hAnsiTheme="majorBidi" w:cstheme="majorBidi"/>
          <w:i/>
          <w:iCs/>
        </w:rPr>
        <w:t>a</w:t>
      </w:r>
      <w:r w:rsidR="00D90EFC">
        <w:rPr>
          <w:rFonts w:asciiTheme="majorBidi" w:hAnsiTheme="majorBidi" w:cstheme="majorBidi"/>
          <w:i/>
          <w:iCs/>
        </w:rPr>
        <w:t>ha</w:t>
      </w:r>
      <w:r w:rsidRPr="00D90EFC">
        <w:rPr>
          <w:rFonts w:asciiTheme="majorBidi" w:hAnsiTheme="majorBidi" w:cstheme="majorBidi"/>
          <w:i/>
          <w:iCs/>
        </w:rPr>
        <w:t>dah Al Istifadah</w:t>
      </w:r>
      <w:r w:rsidRPr="00CB082F">
        <w:rPr>
          <w:rFonts w:asciiTheme="majorBidi" w:hAnsiTheme="majorBidi" w:cstheme="majorBidi"/>
        </w:rPr>
        <w:t xml:space="preserve"> </w:t>
      </w:r>
    </w:p>
    <w:p w14:paraId="5FE4560D" w14:textId="762D4F8C" w:rsidR="006A65D8" w:rsidRPr="00CB082F" w:rsidRDefault="006A65D8" w:rsidP="00086C9B">
      <w:pPr>
        <w:pStyle w:val="ListParagraph"/>
        <w:spacing w:line="276" w:lineRule="auto"/>
        <w:ind w:left="567" w:firstLine="284"/>
        <w:jc w:val="both"/>
        <w:rPr>
          <w:rFonts w:asciiTheme="majorBidi" w:hAnsiTheme="majorBidi" w:cstheme="majorBidi"/>
        </w:rPr>
      </w:pPr>
      <w:r w:rsidRPr="00CB082F">
        <w:rPr>
          <w:rFonts w:asciiTheme="majorBidi" w:hAnsiTheme="majorBidi" w:cstheme="majorBidi"/>
        </w:rPr>
        <w:t xml:space="preserve">Para ahli hukum </w:t>
      </w:r>
      <w:r w:rsidR="00D90EFC">
        <w:rPr>
          <w:rFonts w:asciiTheme="majorBidi" w:hAnsiTheme="majorBidi" w:cstheme="majorBidi"/>
        </w:rPr>
        <w:t>I</w:t>
      </w:r>
      <w:r w:rsidRPr="00CB082F">
        <w:rPr>
          <w:rFonts w:asciiTheme="majorBidi" w:hAnsiTheme="majorBidi" w:cstheme="majorBidi"/>
        </w:rPr>
        <w:t xml:space="preserve">slam menetapkan beberapa kriteria agar </w:t>
      </w:r>
      <w:r w:rsidRPr="00CB082F">
        <w:rPr>
          <w:rFonts w:asciiTheme="majorBidi" w:hAnsiTheme="majorBidi" w:cstheme="majorBidi"/>
          <w:i/>
          <w:iCs/>
        </w:rPr>
        <w:t>Syadaha</w:t>
      </w:r>
      <w:r w:rsidR="006730EC">
        <w:rPr>
          <w:rFonts w:asciiTheme="majorBidi" w:hAnsiTheme="majorBidi" w:cstheme="majorBidi"/>
          <w:i/>
          <w:iCs/>
        </w:rPr>
        <w:t>h</w:t>
      </w:r>
      <w:r w:rsidRPr="00CB082F">
        <w:rPr>
          <w:rFonts w:asciiTheme="majorBidi" w:hAnsiTheme="majorBidi" w:cstheme="majorBidi"/>
          <w:i/>
          <w:iCs/>
        </w:rPr>
        <w:t xml:space="preserve"> Al Istifadah</w:t>
      </w:r>
      <w:r w:rsidRPr="00CB082F">
        <w:rPr>
          <w:rFonts w:asciiTheme="majorBidi" w:hAnsiTheme="majorBidi" w:cstheme="majorBidi"/>
        </w:rPr>
        <w:t xml:space="preserve"> dapat diterima. Berikut beberapa </w:t>
      </w:r>
      <w:r w:rsidR="00D90EFC">
        <w:rPr>
          <w:rFonts w:asciiTheme="majorBidi" w:hAnsiTheme="majorBidi" w:cstheme="majorBidi"/>
        </w:rPr>
        <w:t xml:space="preserve">kriteria </w:t>
      </w:r>
      <w:r w:rsidRPr="00CB082F">
        <w:rPr>
          <w:rFonts w:asciiTheme="majorBidi" w:hAnsiTheme="majorBidi" w:cstheme="majorBidi"/>
        </w:rPr>
        <w:t>di antaranya:</w:t>
      </w:r>
      <w:r w:rsidRPr="00CB082F">
        <w:rPr>
          <w:rStyle w:val="FootnoteReference"/>
          <w:rFonts w:asciiTheme="majorBidi" w:hAnsiTheme="majorBidi" w:cstheme="majorBidi"/>
        </w:rPr>
        <w:footnoteReference w:id="119"/>
      </w:r>
      <w:r w:rsidRPr="00CB082F">
        <w:rPr>
          <w:rFonts w:asciiTheme="majorBidi" w:hAnsiTheme="majorBidi" w:cstheme="majorBidi"/>
        </w:rPr>
        <w:t xml:space="preserve"> </w:t>
      </w:r>
    </w:p>
    <w:p w14:paraId="55C62130" w14:textId="77777777" w:rsidR="006A65D8" w:rsidRPr="00CB082F" w:rsidRDefault="006A65D8" w:rsidP="00086C9B">
      <w:pPr>
        <w:pStyle w:val="ListParagraph"/>
        <w:numPr>
          <w:ilvl w:val="0"/>
          <w:numId w:val="54"/>
        </w:numPr>
        <w:spacing w:line="276" w:lineRule="auto"/>
        <w:ind w:left="851" w:hanging="284"/>
        <w:jc w:val="both"/>
        <w:rPr>
          <w:rFonts w:asciiTheme="majorBidi" w:hAnsiTheme="majorBidi" w:cstheme="majorBidi"/>
        </w:rPr>
      </w:pPr>
      <w:r w:rsidRPr="00CB082F">
        <w:rPr>
          <w:rFonts w:asciiTheme="majorBidi" w:hAnsiTheme="majorBidi" w:cstheme="majorBidi"/>
        </w:rPr>
        <w:t>Kesaksian sebaiknya berasal dari dua orang yang adil (</w:t>
      </w:r>
      <w:r w:rsidRPr="00D90EFC">
        <w:rPr>
          <w:rFonts w:asciiTheme="majorBidi" w:hAnsiTheme="majorBidi" w:cstheme="majorBidi"/>
          <w:i/>
          <w:iCs/>
        </w:rPr>
        <w:t>syahidain 'adlain</w:t>
      </w:r>
      <w:r w:rsidRPr="00CB082F">
        <w:rPr>
          <w:rFonts w:asciiTheme="majorBidi" w:hAnsiTheme="majorBidi" w:cstheme="majorBidi"/>
        </w:rPr>
        <w:t xml:space="preserve">) menurut pendapat yang umum. Meskipun demikian, dalam situasi tertentu, mungkin </w:t>
      </w:r>
      <w:r w:rsidRPr="00CB082F">
        <w:rPr>
          <w:rFonts w:asciiTheme="majorBidi" w:hAnsiTheme="majorBidi" w:cstheme="majorBidi"/>
        </w:rPr>
        <w:lastRenderedPageBreak/>
        <w:t>diperlukan empat saksi yang adil untuk memperkuat kredibilitas kesaksian. Penentuan jumlah saksi yang tepat bergantung pada konteks dan tingkat keparahan kasus.</w:t>
      </w:r>
    </w:p>
    <w:p w14:paraId="2CF420EE" w14:textId="77777777" w:rsidR="006A65D8" w:rsidRPr="00CB082F" w:rsidRDefault="006A65D8" w:rsidP="00086C9B">
      <w:pPr>
        <w:pStyle w:val="ListParagraph"/>
        <w:numPr>
          <w:ilvl w:val="0"/>
          <w:numId w:val="54"/>
        </w:numPr>
        <w:spacing w:line="276" w:lineRule="auto"/>
        <w:ind w:left="851" w:hanging="284"/>
        <w:jc w:val="both"/>
        <w:rPr>
          <w:rFonts w:asciiTheme="majorBidi" w:hAnsiTheme="majorBidi" w:cstheme="majorBidi"/>
        </w:rPr>
      </w:pPr>
      <w:r w:rsidRPr="00CB082F">
        <w:rPr>
          <w:rFonts w:asciiTheme="majorBidi" w:hAnsiTheme="majorBidi" w:cstheme="majorBidi"/>
        </w:rPr>
        <w:t xml:space="preserve">Kesaksian harus bebas dari keraguan yang substansial. Jika terdapat pertanyaan atau keraguan, perlu dilakukan verifikasi lebih lanjut untuk memastikan validitas kesaksian. Kesaksian baru dapat diterima setelah keraguan teratasi dan validitasnya terverifikasi. Sebagai contoh, jika ada tiga orang remaja berusia delapan belas tahun memberikan kesaksian, tetapi pada komunitas tersebut ada ratusan remaja sebaya yang tidak mengetahui apa-apa, maka kesaksian mereka akan ditolak. Namun, jika keraguan tersebut telah hilang, kesaksian dapat diterima. </w:t>
      </w:r>
    </w:p>
    <w:p w14:paraId="2CA012EB" w14:textId="77777777" w:rsidR="006A65D8" w:rsidRPr="00FB6159" w:rsidRDefault="006A65D8" w:rsidP="00086C9B">
      <w:pPr>
        <w:pStyle w:val="ListParagraph"/>
        <w:numPr>
          <w:ilvl w:val="0"/>
          <w:numId w:val="54"/>
        </w:numPr>
        <w:spacing w:line="276" w:lineRule="auto"/>
        <w:ind w:left="851" w:hanging="284"/>
        <w:jc w:val="both"/>
        <w:rPr>
          <w:rFonts w:asciiTheme="majorBidi" w:hAnsiTheme="majorBidi" w:cstheme="majorBidi"/>
        </w:rPr>
      </w:pPr>
      <w:r w:rsidRPr="00CB082F">
        <w:rPr>
          <w:rFonts w:asciiTheme="majorBidi" w:hAnsiTheme="majorBidi" w:cstheme="majorBidi"/>
        </w:rPr>
        <w:t xml:space="preserve">Informasi atau berita yang diberikan dalam kesaksian harus diketahui secara luas dan menjadi pengetahuan umum. Hal ini memperkuat kredibilitas kesaksian karena menunjukkan bahwa informasi tersebut bukan rekayasa atau manipulasi. Artinya, informasi tersebut bukan hanya diketahui oleh satu atau dua orang, tetapi sudah menyebar luas. Ibnu Taimiyah dalam kitab kitab </w:t>
      </w:r>
      <w:r w:rsidRPr="00CB082F">
        <w:rPr>
          <w:rFonts w:asciiTheme="majorBidi" w:hAnsiTheme="majorBidi" w:cstheme="majorBidi"/>
          <w:i/>
          <w:iCs/>
        </w:rPr>
        <w:t xml:space="preserve">Al-Turuq al-Hukmiyah fi al-Siyasah al-Syar'iyah </w:t>
      </w:r>
      <w:r w:rsidRPr="00CB082F">
        <w:rPr>
          <w:rFonts w:asciiTheme="majorBidi" w:hAnsiTheme="majorBidi" w:cstheme="majorBidi"/>
        </w:rPr>
        <w:t>karya Ibnu Qayyim al-Jauziyah, menegaskan bahwa bukti-bukti yang telah menyebar luas atau menjadi pengetahuan umum memiliki kekuatan yang lebih kuat sebagai bukti. Beliau berpendapat bahwa semakin banyak orang yang mengetahui suatu kejadian, semakin kuat pula keyakinan kita terhadap kebenaran kejadian tersebut.</w:t>
      </w:r>
      <w:r w:rsidRPr="00CB082F">
        <w:rPr>
          <w:rStyle w:val="FootnoteReference"/>
          <w:rFonts w:asciiTheme="majorBidi" w:hAnsiTheme="majorBidi" w:cstheme="majorBidi"/>
        </w:rPr>
        <w:footnoteReference w:id="120"/>
      </w:r>
    </w:p>
    <w:p w14:paraId="14028DA7" w14:textId="53F4AA8B" w:rsidR="006A65D8" w:rsidRPr="00CB082F" w:rsidRDefault="006A65D8" w:rsidP="00086C9B">
      <w:pPr>
        <w:pStyle w:val="ListParagraph"/>
        <w:spacing w:line="276" w:lineRule="auto"/>
        <w:ind w:left="567" w:firstLine="284"/>
        <w:jc w:val="both"/>
        <w:rPr>
          <w:rFonts w:asciiTheme="majorBidi" w:hAnsiTheme="majorBidi" w:cstheme="majorBidi"/>
        </w:rPr>
      </w:pPr>
      <w:r w:rsidRPr="00CB082F">
        <w:rPr>
          <w:rFonts w:asciiTheme="majorBidi" w:hAnsiTheme="majorBidi" w:cstheme="majorBidi"/>
        </w:rPr>
        <w:t xml:space="preserve">Pembuktian dengan kesaksin </w:t>
      </w:r>
      <w:r w:rsidRPr="00CB082F">
        <w:rPr>
          <w:rFonts w:asciiTheme="majorBidi" w:hAnsiTheme="majorBidi" w:cstheme="majorBidi"/>
          <w:i/>
          <w:iCs/>
        </w:rPr>
        <w:t>testimonium de auditu</w:t>
      </w:r>
      <w:r>
        <w:rPr>
          <w:rFonts w:asciiTheme="majorBidi" w:hAnsiTheme="majorBidi" w:cstheme="majorBidi"/>
          <w:i/>
          <w:iCs/>
        </w:rPr>
        <w:t xml:space="preserve">/syahadah </w:t>
      </w:r>
      <w:r w:rsidR="00D90EFC">
        <w:rPr>
          <w:rFonts w:asciiTheme="majorBidi" w:hAnsiTheme="majorBidi" w:cstheme="majorBidi"/>
          <w:i/>
          <w:iCs/>
        </w:rPr>
        <w:t>Al Istifadah</w:t>
      </w:r>
      <w:r w:rsidR="00D90EFC" w:rsidRPr="00CB082F">
        <w:rPr>
          <w:rFonts w:asciiTheme="majorBidi" w:hAnsiTheme="majorBidi" w:cstheme="majorBidi"/>
        </w:rPr>
        <w:t xml:space="preserve"> </w:t>
      </w:r>
      <w:r w:rsidRPr="00CB082F">
        <w:rPr>
          <w:rFonts w:asciiTheme="majorBidi" w:hAnsiTheme="majorBidi" w:cstheme="majorBidi"/>
        </w:rPr>
        <w:t xml:space="preserve">menurut ahli hukum terjadi </w:t>
      </w:r>
      <w:r w:rsidRPr="00CB082F">
        <w:rPr>
          <w:rFonts w:asciiTheme="majorBidi" w:hAnsiTheme="majorBidi" w:cstheme="majorBidi"/>
        </w:rPr>
        <w:lastRenderedPageBreak/>
        <w:t>silang pendapat</w:t>
      </w:r>
      <w:r>
        <w:rPr>
          <w:rFonts w:asciiTheme="majorBidi" w:hAnsiTheme="majorBidi" w:cstheme="majorBidi"/>
        </w:rPr>
        <w:t>. Hal itu dis</w:t>
      </w:r>
      <w:r w:rsidRPr="00CB082F">
        <w:rPr>
          <w:rFonts w:asciiTheme="majorBidi" w:hAnsiTheme="majorBidi" w:cstheme="majorBidi"/>
        </w:rPr>
        <w:t>ebab</w:t>
      </w:r>
      <w:r>
        <w:rPr>
          <w:rFonts w:asciiTheme="majorBidi" w:hAnsiTheme="majorBidi" w:cstheme="majorBidi"/>
        </w:rPr>
        <w:t>kan</w:t>
      </w:r>
      <w:r w:rsidRPr="00CB082F">
        <w:rPr>
          <w:rFonts w:asciiTheme="majorBidi" w:hAnsiTheme="majorBidi" w:cstheme="majorBidi"/>
        </w:rPr>
        <w:t xml:space="preserve"> keterangan saksi semacam ini tidak bersumber dari pengetahuannya sendiri, tetapi bersumber dari penuturan orang lain kepadanya. Sebagian lagi berpendapat bahwa pembuktian saksi </w:t>
      </w:r>
      <w:r w:rsidRPr="00CB082F">
        <w:rPr>
          <w:rFonts w:asciiTheme="majorBidi" w:hAnsiTheme="majorBidi" w:cstheme="majorBidi"/>
          <w:i/>
          <w:iCs/>
        </w:rPr>
        <w:t>testimonium de auditu</w:t>
      </w:r>
      <w:r w:rsidRPr="00CB082F">
        <w:rPr>
          <w:rFonts w:asciiTheme="majorBidi" w:hAnsiTheme="majorBidi" w:cstheme="majorBidi"/>
        </w:rPr>
        <w:t xml:space="preserve"> boleh saja dijadikan sebagai dasar oleh hakim untuk memutus suatu perkara yang diajukan kep</w:t>
      </w:r>
      <w:r>
        <w:rPr>
          <w:rFonts w:asciiTheme="majorBidi" w:hAnsiTheme="majorBidi" w:cstheme="majorBidi"/>
        </w:rPr>
        <w:t>a</w:t>
      </w:r>
      <w:r w:rsidRPr="00CB082F">
        <w:rPr>
          <w:rFonts w:asciiTheme="majorBidi" w:hAnsiTheme="majorBidi" w:cstheme="majorBidi"/>
        </w:rPr>
        <w:t>danya, asalkan persaksiannya itu saling berhubugan antara satu alat bukti dengan alat bukti lain. Hal itu selaras dengan yang dikemukan oleh R. Soebekti bahwa:</w:t>
      </w:r>
      <w:r w:rsidRPr="00CB082F">
        <w:rPr>
          <w:rStyle w:val="FootnoteReference"/>
          <w:rFonts w:asciiTheme="majorBidi" w:hAnsiTheme="majorBidi" w:cstheme="majorBidi"/>
        </w:rPr>
        <w:footnoteReference w:id="121"/>
      </w:r>
    </w:p>
    <w:p w14:paraId="4100EFB3" w14:textId="4351A4B2" w:rsidR="006A65D8" w:rsidRPr="00CB082F" w:rsidRDefault="006A65D8" w:rsidP="00C26BC1">
      <w:pPr>
        <w:spacing w:line="240" w:lineRule="auto"/>
        <w:ind w:left="1440"/>
        <w:jc w:val="both"/>
        <w:rPr>
          <w:rFonts w:asciiTheme="majorBidi" w:hAnsiTheme="majorBidi" w:cstheme="majorBidi"/>
        </w:rPr>
      </w:pPr>
      <w:r w:rsidRPr="00CB082F">
        <w:rPr>
          <w:rFonts w:asciiTheme="majorBidi" w:hAnsiTheme="majorBidi" w:cstheme="majorBidi"/>
          <w:i/>
          <w:iCs/>
        </w:rPr>
        <w:t>“</w:t>
      </w:r>
      <w:r w:rsidR="00826066">
        <w:rPr>
          <w:rFonts w:asciiTheme="majorBidi" w:hAnsiTheme="majorBidi" w:cstheme="majorBidi"/>
          <w:i/>
          <w:iCs/>
        </w:rPr>
        <w:t>…</w:t>
      </w:r>
      <w:r w:rsidRPr="00CB082F">
        <w:rPr>
          <w:rFonts w:asciiTheme="majorBidi" w:hAnsiTheme="majorBidi" w:cstheme="majorBidi"/>
          <w:i/>
          <w:iCs/>
        </w:rPr>
        <w:t>biarpun keterangan dari pendengaran tadi itu kosong, ia masih juga dapat mempunyai arti…. Jadi tidak benar bahwa kesaksian de auditu tidak mempunyai harga sama sekali… berbagai kesaksin de auditu dapat dipergunakan dalam persangakaan-persangkaan</w:t>
      </w:r>
      <w:r w:rsidR="00826066">
        <w:rPr>
          <w:rFonts w:asciiTheme="majorBidi" w:hAnsiTheme="majorBidi" w:cstheme="majorBidi"/>
          <w:i/>
          <w:iCs/>
        </w:rPr>
        <w:t xml:space="preserve"> </w:t>
      </w:r>
      <w:r w:rsidRPr="00CB082F">
        <w:rPr>
          <w:rFonts w:asciiTheme="majorBidi" w:hAnsiTheme="majorBidi" w:cstheme="majorBidi"/>
          <w:i/>
          <w:iCs/>
        </w:rPr>
        <w:t>dari mana disimpul</w:t>
      </w:r>
      <w:r w:rsidR="006730EC">
        <w:rPr>
          <w:rFonts w:asciiTheme="majorBidi" w:hAnsiTheme="majorBidi" w:cstheme="majorBidi"/>
          <w:i/>
          <w:iCs/>
        </w:rPr>
        <w:t>k</w:t>
      </w:r>
      <w:r w:rsidRPr="00CB082F">
        <w:rPr>
          <w:rFonts w:asciiTheme="majorBidi" w:hAnsiTheme="majorBidi" w:cstheme="majorBidi"/>
          <w:i/>
          <w:iCs/>
        </w:rPr>
        <w:t>an terbuktinya suatu hal</w:t>
      </w:r>
      <w:r w:rsidR="00826066">
        <w:rPr>
          <w:rFonts w:asciiTheme="majorBidi" w:hAnsiTheme="majorBidi" w:cstheme="majorBidi"/>
          <w:i/>
          <w:iCs/>
        </w:rPr>
        <w:t>….</w:t>
      </w:r>
      <w:r w:rsidRPr="00CB082F">
        <w:rPr>
          <w:rFonts w:asciiTheme="majorBidi" w:hAnsiTheme="majorBidi" w:cstheme="majorBidi"/>
          <w:i/>
          <w:iCs/>
        </w:rPr>
        <w:t xml:space="preserve">.” </w:t>
      </w:r>
    </w:p>
    <w:p w14:paraId="5ED04244" w14:textId="77777777" w:rsidR="00D22D4A" w:rsidRDefault="00D22D4A" w:rsidP="00D22D4A">
      <w:pPr>
        <w:pStyle w:val="ListParagraph"/>
        <w:spacing w:line="276" w:lineRule="auto"/>
        <w:ind w:left="1080" w:firstLine="360"/>
        <w:jc w:val="both"/>
        <w:rPr>
          <w:rFonts w:asciiTheme="majorBidi" w:hAnsiTheme="majorBidi" w:cstheme="majorBidi"/>
        </w:rPr>
      </w:pPr>
    </w:p>
    <w:p w14:paraId="2362E428" w14:textId="7E069D5F" w:rsidR="0032006D" w:rsidRPr="0032006D" w:rsidRDefault="006A65D8" w:rsidP="00086C9B">
      <w:pPr>
        <w:pStyle w:val="ListParagraph"/>
        <w:spacing w:line="276" w:lineRule="auto"/>
        <w:ind w:left="567" w:firstLine="284"/>
        <w:jc w:val="both"/>
        <w:rPr>
          <w:rFonts w:asciiTheme="majorBidi" w:hAnsiTheme="majorBidi" w:cstheme="majorBidi"/>
        </w:rPr>
      </w:pPr>
      <w:r w:rsidRPr="00CB082F">
        <w:rPr>
          <w:rFonts w:asciiTheme="majorBidi" w:hAnsiTheme="majorBidi" w:cstheme="majorBidi"/>
        </w:rPr>
        <w:t xml:space="preserve">Pada dasarnya tidak ada larangan mendengarkan kesaksian kesaksian testimonium de auditu, karena dalam hal ini dapat dipersamakan kesaksian tetsimonium dengan syahadah al istifadah. Kesaksian yang berikan oleh seorang saksi al istifadah/ testimonium de auditu sangatlah diperlukan untuk mengungkap dan mendapatkan kebenaran materill dalam suatu perkara. </w:t>
      </w:r>
      <w:r w:rsidRPr="00CB082F">
        <w:rPr>
          <w:rStyle w:val="FootnoteReference"/>
          <w:rFonts w:asciiTheme="majorBidi" w:hAnsiTheme="majorBidi" w:cstheme="majorBidi"/>
        </w:rPr>
        <w:footnoteReference w:id="122"/>
      </w:r>
    </w:p>
    <w:p w14:paraId="30B0BB3C" w14:textId="6A93FC2A" w:rsidR="008D372B" w:rsidRPr="00267A02" w:rsidRDefault="006E40BC" w:rsidP="00086C9B">
      <w:pPr>
        <w:pStyle w:val="Heading2"/>
        <w:numPr>
          <w:ilvl w:val="0"/>
          <w:numId w:val="102"/>
        </w:numPr>
        <w:spacing w:line="276" w:lineRule="auto"/>
        <w:ind w:left="284" w:hanging="284"/>
      </w:pPr>
      <w:bookmarkStart w:id="30" w:name="_Toc185961346"/>
      <w:r>
        <w:t xml:space="preserve">Kronologi </w:t>
      </w:r>
      <w:r w:rsidR="008D372B" w:rsidRPr="00267A02">
        <w:t xml:space="preserve">Tindak Pidana Pelecehan Seksual Terhadap Anak </w:t>
      </w:r>
      <w:r w:rsidR="008D372B">
        <w:t>d</w:t>
      </w:r>
      <w:r w:rsidR="008D372B" w:rsidRPr="00267A02">
        <w:t>i</w:t>
      </w:r>
      <w:r w:rsidR="008441B8">
        <w:t xml:space="preserve"> B</w:t>
      </w:r>
      <w:r w:rsidR="008D372B" w:rsidRPr="00267A02">
        <w:t>awah Umur dalam Putusan Mahkamah Syariah Takengon Nomor 9/Jn/2023/Ms.Tkn.</w:t>
      </w:r>
      <w:bookmarkEnd w:id="30"/>
    </w:p>
    <w:p w14:paraId="070BC6A4" w14:textId="56A8F721" w:rsidR="008D372B" w:rsidRPr="00CB082F" w:rsidRDefault="008D372B" w:rsidP="00086C9B">
      <w:pPr>
        <w:pStyle w:val="ListParagraph"/>
        <w:spacing w:line="276" w:lineRule="auto"/>
        <w:ind w:left="284" w:firstLine="283"/>
        <w:jc w:val="both"/>
        <w:rPr>
          <w:rFonts w:asciiTheme="majorBidi" w:hAnsiTheme="majorBidi" w:cstheme="majorBidi"/>
          <w:b/>
          <w:bCs/>
          <w:lang w:val="en-US"/>
        </w:rPr>
      </w:pPr>
      <w:r w:rsidRPr="00CB082F">
        <w:rPr>
          <w:rFonts w:asciiTheme="majorBidi" w:hAnsiTheme="majorBidi" w:cstheme="majorBidi"/>
        </w:rPr>
        <w:lastRenderedPageBreak/>
        <w:t xml:space="preserve">Pada hari Rabu, bulan Desember 2022, sekitar pukul 10.30 WIB, dan hari Kamis, tanggal 5 Januari 2023, sekitar pukul 09.30 WIB, atau pada waktu lain dalam bulan Desember 2022 dan Januari 2023. Bertempat di MIN 10 Aceh Tengah, Kabupaten Aceh Tengah, atau di tempat lain dalam wilayah hukum Mahkamah Syariah Takengon, telah terjadi suatu perkara tindak pidana. Perkara ini terkait dengan tindak pidana </w:t>
      </w:r>
      <w:r w:rsidR="002015FB">
        <w:rPr>
          <w:rFonts w:asciiTheme="majorBidi" w:hAnsiTheme="majorBidi" w:cstheme="majorBidi"/>
          <w:i/>
          <w:iCs/>
        </w:rPr>
        <w:t>j</w:t>
      </w:r>
      <w:r w:rsidRPr="006E40BC">
        <w:rPr>
          <w:rFonts w:asciiTheme="majorBidi" w:hAnsiTheme="majorBidi" w:cstheme="majorBidi"/>
          <w:i/>
          <w:iCs/>
        </w:rPr>
        <w:t>arimah</w:t>
      </w:r>
      <w:r w:rsidRPr="00CB082F">
        <w:rPr>
          <w:rFonts w:asciiTheme="majorBidi" w:hAnsiTheme="majorBidi" w:cstheme="majorBidi"/>
        </w:rPr>
        <w:t xml:space="preserve"> Pelecehan Seksual terhadap anak. Perbuatan terdakwa tidak hanya dilakukan kepada satu anak korban, melainkan kepada tujuh anak. Ketujuh anak menjadi korban perbuatan bejat terdakwa yaitu:</w:t>
      </w:r>
      <w:r w:rsidRPr="00CB082F">
        <w:rPr>
          <w:rStyle w:val="FootnoteReference"/>
          <w:rFonts w:asciiTheme="majorBidi" w:hAnsiTheme="majorBidi" w:cstheme="majorBidi"/>
        </w:rPr>
        <w:footnoteReference w:id="123"/>
      </w:r>
    </w:p>
    <w:p w14:paraId="69D03863" w14:textId="50860340" w:rsidR="008D372B" w:rsidRPr="00CB082F" w:rsidRDefault="00086C9B" w:rsidP="00086C9B">
      <w:pPr>
        <w:pStyle w:val="ListParagraph"/>
        <w:numPr>
          <w:ilvl w:val="0"/>
          <w:numId w:val="56"/>
        </w:numPr>
        <w:spacing w:line="276" w:lineRule="auto"/>
        <w:ind w:left="567" w:hanging="283"/>
        <w:jc w:val="both"/>
        <w:rPr>
          <w:rFonts w:asciiTheme="majorBidi" w:hAnsiTheme="majorBidi" w:cstheme="majorBidi"/>
        </w:rPr>
      </w:pPr>
      <w:r w:rsidRPr="00CB082F">
        <w:rPr>
          <w:rFonts w:asciiTheme="majorBidi" w:hAnsiTheme="majorBidi" w:cstheme="majorBidi"/>
        </w:rPr>
        <w:t>Xxx</w:t>
      </w:r>
      <w:r w:rsidR="00D537F5" w:rsidRPr="00CB082F">
        <w:rPr>
          <w:rFonts w:asciiTheme="majorBidi" w:hAnsiTheme="majorBidi" w:cstheme="majorBidi"/>
        </w:rPr>
        <w:t xml:space="preserve"> binti </w:t>
      </w:r>
      <w:r w:rsidR="00D22D4A" w:rsidRPr="00CB082F">
        <w:rPr>
          <w:rFonts w:asciiTheme="majorBidi" w:hAnsiTheme="majorBidi" w:cstheme="majorBidi"/>
        </w:rPr>
        <w:t>Amri,</w:t>
      </w:r>
      <w:r w:rsidR="00D537F5" w:rsidRPr="00CB082F">
        <w:rPr>
          <w:rFonts w:asciiTheme="majorBidi" w:hAnsiTheme="majorBidi" w:cstheme="majorBidi"/>
        </w:rPr>
        <w:t xml:space="preserve"> </w:t>
      </w:r>
      <w:r w:rsidR="008D372B" w:rsidRPr="00CB082F">
        <w:rPr>
          <w:rFonts w:asciiTheme="majorBidi" w:hAnsiTheme="majorBidi" w:cstheme="majorBidi"/>
        </w:rPr>
        <w:t xml:space="preserve">6 Tahun, Pelajar, Alamat Kp. Ulu Nuwih, Kec. Bebesen Kab. Aceh Tengah. </w:t>
      </w:r>
    </w:p>
    <w:p w14:paraId="74101600" w14:textId="68CF2733" w:rsidR="008D372B" w:rsidRPr="00CB082F" w:rsidRDefault="00086C9B" w:rsidP="00086C9B">
      <w:pPr>
        <w:pStyle w:val="ListParagraph"/>
        <w:numPr>
          <w:ilvl w:val="0"/>
          <w:numId w:val="56"/>
        </w:numPr>
        <w:spacing w:line="276" w:lineRule="auto"/>
        <w:ind w:left="567" w:hanging="283"/>
        <w:jc w:val="both"/>
        <w:rPr>
          <w:rFonts w:asciiTheme="majorBidi" w:hAnsiTheme="majorBidi" w:cstheme="majorBidi"/>
        </w:rPr>
      </w:pPr>
      <w:r w:rsidRPr="00CB082F">
        <w:rPr>
          <w:rFonts w:asciiTheme="majorBidi" w:hAnsiTheme="majorBidi" w:cstheme="majorBidi"/>
        </w:rPr>
        <w:t>Xxx,</w:t>
      </w:r>
      <w:r w:rsidR="008D372B" w:rsidRPr="00CB082F">
        <w:rPr>
          <w:rFonts w:asciiTheme="majorBidi" w:hAnsiTheme="majorBidi" w:cstheme="majorBidi"/>
        </w:rPr>
        <w:t xml:space="preserve"> 6 Tahun, Pelajar, Alamat Kp. Ulu Nuwih, Kec. Bebesen Kab. Aceh Tengah. </w:t>
      </w:r>
    </w:p>
    <w:p w14:paraId="2828F30A" w14:textId="2DA62971" w:rsidR="008D372B" w:rsidRPr="00CB082F" w:rsidRDefault="00086C9B" w:rsidP="00086C9B">
      <w:pPr>
        <w:pStyle w:val="ListParagraph"/>
        <w:numPr>
          <w:ilvl w:val="0"/>
          <w:numId w:val="56"/>
        </w:numPr>
        <w:spacing w:line="276" w:lineRule="auto"/>
        <w:ind w:left="567" w:hanging="283"/>
        <w:jc w:val="both"/>
        <w:rPr>
          <w:rFonts w:asciiTheme="majorBidi" w:hAnsiTheme="majorBidi" w:cstheme="majorBidi"/>
        </w:rPr>
      </w:pPr>
      <w:r w:rsidRPr="00CB082F">
        <w:rPr>
          <w:rFonts w:asciiTheme="majorBidi" w:hAnsiTheme="majorBidi" w:cstheme="majorBidi"/>
        </w:rPr>
        <w:t>Xxx</w:t>
      </w:r>
      <w:r w:rsidR="008D372B" w:rsidRPr="00CB082F">
        <w:rPr>
          <w:rFonts w:asciiTheme="majorBidi" w:hAnsiTheme="majorBidi" w:cstheme="majorBidi"/>
        </w:rPr>
        <w:t xml:space="preserve"> binti </w:t>
      </w:r>
      <w:r w:rsidR="00D22D4A" w:rsidRPr="00CB082F">
        <w:rPr>
          <w:rFonts w:asciiTheme="majorBidi" w:hAnsiTheme="majorBidi" w:cstheme="majorBidi"/>
        </w:rPr>
        <w:t>Harvandi</w:t>
      </w:r>
      <w:r w:rsidR="008D372B" w:rsidRPr="00CB082F">
        <w:rPr>
          <w:rFonts w:asciiTheme="majorBidi" w:hAnsiTheme="majorBidi" w:cstheme="majorBidi"/>
        </w:rPr>
        <w:t xml:space="preserve">, 6 Tahun, Pelajar, Alamat Kp. Ulu Nuwih, Kec. Bebesen Kab. Aceh Tengah. </w:t>
      </w:r>
    </w:p>
    <w:p w14:paraId="460095FB" w14:textId="7A80201A" w:rsidR="008D372B" w:rsidRPr="00CB082F" w:rsidRDefault="00086C9B" w:rsidP="00086C9B">
      <w:pPr>
        <w:pStyle w:val="ListParagraph"/>
        <w:numPr>
          <w:ilvl w:val="0"/>
          <w:numId w:val="56"/>
        </w:numPr>
        <w:spacing w:line="276" w:lineRule="auto"/>
        <w:ind w:left="567" w:hanging="283"/>
        <w:jc w:val="both"/>
        <w:rPr>
          <w:rFonts w:asciiTheme="majorBidi" w:hAnsiTheme="majorBidi" w:cstheme="majorBidi"/>
        </w:rPr>
      </w:pPr>
      <w:r w:rsidRPr="00CB082F">
        <w:rPr>
          <w:rFonts w:asciiTheme="majorBidi" w:hAnsiTheme="majorBidi" w:cstheme="majorBidi"/>
        </w:rPr>
        <w:t>Xxx</w:t>
      </w:r>
      <w:r w:rsidR="008D372B" w:rsidRPr="00CB082F">
        <w:rPr>
          <w:rFonts w:asciiTheme="majorBidi" w:hAnsiTheme="majorBidi" w:cstheme="majorBidi"/>
        </w:rPr>
        <w:t xml:space="preserve">, 6 Tahun, Pelajar, Alamat Kp. Ulu Nuwih, Kec. Bebesen Kab. Aceh Tengah. </w:t>
      </w:r>
    </w:p>
    <w:p w14:paraId="1F86A5BD" w14:textId="17551081" w:rsidR="008D372B" w:rsidRPr="00CB082F" w:rsidRDefault="00086C9B" w:rsidP="00086C9B">
      <w:pPr>
        <w:pStyle w:val="ListParagraph"/>
        <w:numPr>
          <w:ilvl w:val="0"/>
          <w:numId w:val="56"/>
        </w:numPr>
        <w:spacing w:line="276" w:lineRule="auto"/>
        <w:ind w:left="567" w:hanging="283"/>
        <w:jc w:val="both"/>
        <w:rPr>
          <w:rFonts w:asciiTheme="majorBidi" w:hAnsiTheme="majorBidi" w:cstheme="majorBidi"/>
        </w:rPr>
      </w:pPr>
      <w:r w:rsidRPr="00CB082F">
        <w:rPr>
          <w:rFonts w:asciiTheme="majorBidi" w:hAnsiTheme="majorBidi" w:cstheme="majorBidi"/>
        </w:rPr>
        <w:t>Xxx,</w:t>
      </w:r>
      <w:r w:rsidR="008D372B" w:rsidRPr="00CB082F">
        <w:rPr>
          <w:rFonts w:asciiTheme="majorBidi" w:hAnsiTheme="majorBidi" w:cstheme="majorBidi"/>
        </w:rPr>
        <w:t xml:space="preserve"> 6 Tahun, Pelajar, Alamat Kp. Ulu Nuwih, Kec. Bebesen Kab. Aceh Tengah. </w:t>
      </w:r>
    </w:p>
    <w:p w14:paraId="0B90F830" w14:textId="477D5CA5" w:rsidR="008D372B" w:rsidRPr="00CB082F" w:rsidRDefault="00086C9B" w:rsidP="00086C9B">
      <w:pPr>
        <w:pStyle w:val="ListParagraph"/>
        <w:numPr>
          <w:ilvl w:val="0"/>
          <w:numId w:val="56"/>
        </w:numPr>
        <w:spacing w:line="276" w:lineRule="auto"/>
        <w:ind w:left="567" w:hanging="283"/>
        <w:jc w:val="both"/>
        <w:rPr>
          <w:rFonts w:asciiTheme="majorBidi" w:hAnsiTheme="majorBidi" w:cstheme="majorBidi"/>
        </w:rPr>
      </w:pPr>
      <w:r w:rsidRPr="00CB082F">
        <w:rPr>
          <w:rFonts w:asciiTheme="majorBidi" w:hAnsiTheme="majorBidi" w:cstheme="majorBidi"/>
        </w:rPr>
        <w:t>Xxx</w:t>
      </w:r>
      <w:r w:rsidR="008D372B" w:rsidRPr="00CB082F">
        <w:rPr>
          <w:rFonts w:asciiTheme="majorBidi" w:hAnsiTheme="majorBidi" w:cstheme="majorBidi"/>
        </w:rPr>
        <w:t xml:space="preserve"> binti </w:t>
      </w:r>
      <w:r w:rsidR="00D22D4A">
        <w:rPr>
          <w:rFonts w:asciiTheme="majorBidi" w:hAnsiTheme="majorBidi" w:cstheme="majorBidi"/>
        </w:rPr>
        <w:t>J</w:t>
      </w:r>
      <w:r w:rsidR="008D372B" w:rsidRPr="00CB082F">
        <w:rPr>
          <w:rFonts w:asciiTheme="majorBidi" w:hAnsiTheme="majorBidi" w:cstheme="majorBidi"/>
        </w:rPr>
        <w:t xml:space="preserve">uliadi, 6 Tahun, Pelajar, Alamat Kp. Ulu Nuwih, Kec. Bebesen Kab. Aceh Tengah. </w:t>
      </w:r>
    </w:p>
    <w:p w14:paraId="538E0993" w14:textId="5F1340C8" w:rsidR="008D372B" w:rsidRPr="00CB082F" w:rsidRDefault="00086C9B" w:rsidP="00086C9B">
      <w:pPr>
        <w:pStyle w:val="ListParagraph"/>
        <w:numPr>
          <w:ilvl w:val="0"/>
          <w:numId w:val="56"/>
        </w:numPr>
        <w:spacing w:line="276" w:lineRule="auto"/>
        <w:ind w:left="567" w:hanging="283"/>
        <w:jc w:val="both"/>
        <w:rPr>
          <w:rFonts w:asciiTheme="majorBidi" w:hAnsiTheme="majorBidi" w:cstheme="majorBidi"/>
        </w:rPr>
      </w:pPr>
      <w:r w:rsidRPr="00CB082F">
        <w:rPr>
          <w:rFonts w:asciiTheme="majorBidi" w:hAnsiTheme="majorBidi" w:cstheme="majorBidi"/>
        </w:rPr>
        <w:t>Xxx</w:t>
      </w:r>
      <w:r w:rsidR="008D372B" w:rsidRPr="00CB082F">
        <w:rPr>
          <w:rFonts w:asciiTheme="majorBidi" w:hAnsiTheme="majorBidi" w:cstheme="majorBidi"/>
        </w:rPr>
        <w:t xml:space="preserve"> binti </w:t>
      </w:r>
      <w:r w:rsidR="00D22D4A">
        <w:rPr>
          <w:rFonts w:asciiTheme="majorBidi" w:hAnsiTheme="majorBidi" w:cstheme="majorBidi"/>
        </w:rPr>
        <w:t>U</w:t>
      </w:r>
      <w:r w:rsidR="008D372B" w:rsidRPr="00CB082F">
        <w:rPr>
          <w:rFonts w:asciiTheme="majorBidi" w:hAnsiTheme="majorBidi" w:cstheme="majorBidi"/>
        </w:rPr>
        <w:t xml:space="preserve">lia </w:t>
      </w:r>
      <w:r w:rsidR="00D22D4A">
        <w:rPr>
          <w:rFonts w:asciiTheme="majorBidi" w:hAnsiTheme="majorBidi" w:cstheme="majorBidi"/>
        </w:rPr>
        <w:t>J</w:t>
      </w:r>
      <w:r w:rsidR="008D372B" w:rsidRPr="00CB082F">
        <w:rPr>
          <w:rFonts w:asciiTheme="majorBidi" w:hAnsiTheme="majorBidi" w:cstheme="majorBidi"/>
        </w:rPr>
        <w:t>aya, 6 Tahun, Pelajar, Alamat Kp. Ulu Nuwih, Kec. Bebesen Kab. Aceh Tengah.</w:t>
      </w:r>
    </w:p>
    <w:p w14:paraId="0B1238D4" w14:textId="4779A615" w:rsidR="008D372B" w:rsidRPr="00CB082F" w:rsidRDefault="008D372B" w:rsidP="00086C9B">
      <w:pPr>
        <w:pStyle w:val="ListParagraph"/>
        <w:spacing w:line="276" w:lineRule="auto"/>
        <w:ind w:left="284" w:firstLine="283"/>
        <w:jc w:val="both"/>
        <w:rPr>
          <w:rFonts w:asciiTheme="majorBidi" w:hAnsiTheme="majorBidi" w:cstheme="majorBidi"/>
        </w:rPr>
      </w:pPr>
      <w:r w:rsidRPr="00CB082F">
        <w:rPr>
          <w:rFonts w:asciiTheme="majorBidi" w:hAnsiTheme="majorBidi" w:cstheme="majorBidi"/>
        </w:rPr>
        <w:lastRenderedPageBreak/>
        <w:t xml:space="preserve">Perbuatan terdakwa kepada anak korban </w:t>
      </w:r>
      <w:r w:rsidRPr="00CB082F">
        <w:rPr>
          <w:rFonts w:asciiTheme="majorBidi" w:hAnsiTheme="majorBidi" w:cstheme="majorBidi"/>
          <w:i/>
          <w:iCs/>
        </w:rPr>
        <w:t>pertama</w:t>
      </w:r>
      <w:r w:rsidR="006E40BC">
        <w:rPr>
          <w:rFonts w:asciiTheme="majorBidi" w:hAnsiTheme="majorBidi" w:cstheme="majorBidi"/>
          <w:i/>
          <w:iCs/>
        </w:rPr>
        <w:t xml:space="preserve">, </w:t>
      </w:r>
      <w:r w:rsidRPr="00CB082F">
        <w:rPr>
          <w:rFonts w:asciiTheme="majorBidi" w:hAnsiTheme="majorBidi" w:cstheme="majorBidi"/>
        </w:rPr>
        <w:t xml:space="preserve"> dilakukan Pada hari Rabu pertengahan bulan Desember 2022 sekitar pukul 10.30 WIB, Terdakwa, seorang guru piket yang menggantikan ibu XXX dalam mengajar mata pelajaran Pancasila, melakukan tindak pelecehan seksual terhadap seorang siswi bernama XXX. Saat XXX menyerahkan tulisannya, Terdakwa mengkritik bahwa tulisannya kurang rapi dan meminta XXX untuk menulis ulang di meja guru. Saat XXX menulis ulang, Terdakwa meraba kemaluan XXX dari luar rok dengan tangan kanannya. Setelah itu, Terdakwa kembali duduk di kursi guru dan mengancam XXX agar tidak menceritakan kejadian tersebut kepada orang tua dengan mengatakan, "jangan bilang sama mamak, bapak, kakek, nanti kena tampar." Pada hari Kamis, tanggal 05 Januari 2023 sekitar pukul 09.30 WIB, saat sedang belajar mata pelajaran menulis abjad dengan guru bernama Rajimah, Terdakwa kembali melakukan tindak pelecehan seksual terhadap XXX. Setelah mengkritik tulisan XXX sebagai tidak rapi, Terdakwa meminta XXX untuk menulis ulang di meja guru. Saat XXX menulis ulang, Terdakwa meraba kemaluan XXX dari luar rok dengan tangan kirinya sekali. Tindakan tersebut dilakukan saat XXX berdiri di depan Terdakwa, yang kemudian mengarahkan XXX untuk tidak memberitahukan kejadian tersebut kepada siapapun</w:t>
      </w:r>
    </w:p>
    <w:p w14:paraId="551ACA1F" w14:textId="1B52157A" w:rsidR="008D372B" w:rsidRPr="00CB082F" w:rsidRDefault="008D372B" w:rsidP="00086C9B">
      <w:pPr>
        <w:pStyle w:val="ListParagraph"/>
        <w:spacing w:line="276" w:lineRule="auto"/>
        <w:ind w:left="284" w:firstLine="283"/>
        <w:jc w:val="both"/>
        <w:rPr>
          <w:rFonts w:asciiTheme="majorBidi" w:hAnsiTheme="majorBidi" w:cstheme="majorBidi"/>
        </w:rPr>
      </w:pPr>
      <w:r w:rsidRPr="00CB082F">
        <w:rPr>
          <w:rFonts w:asciiTheme="majorBidi" w:hAnsiTheme="majorBidi" w:cstheme="majorBidi"/>
        </w:rPr>
        <w:t xml:space="preserve">Perbuatan terdakwa kepada anak korban </w:t>
      </w:r>
      <w:r w:rsidRPr="00CB082F">
        <w:rPr>
          <w:rFonts w:asciiTheme="majorBidi" w:hAnsiTheme="majorBidi" w:cstheme="majorBidi"/>
          <w:i/>
          <w:iCs/>
        </w:rPr>
        <w:t>kedua</w:t>
      </w:r>
      <w:r w:rsidR="006E40BC">
        <w:rPr>
          <w:rFonts w:asciiTheme="majorBidi" w:hAnsiTheme="majorBidi" w:cstheme="majorBidi"/>
          <w:i/>
          <w:iCs/>
        </w:rPr>
        <w:t>,</w:t>
      </w:r>
      <w:r w:rsidRPr="00CB082F">
        <w:rPr>
          <w:rFonts w:asciiTheme="majorBidi" w:hAnsiTheme="majorBidi" w:cstheme="majorBidi"/>
        </w:rPr>
        <w:t xml:space="preserve"> dilakukan </w:t>
      </w:r>
      <w:r w:rsidR="006E40BC">
        <w:rPr>
          <w:rFonts w:asciiTheme="majorBidi" w:hAnsiTheme="majorBidi" w:cstheme="majorBidi"/>
        </w:rPr>
        <w:t>p</w:t>
      </w:r>
      <w:r w:rsidRPr="00CB082F">
        <w:rPr>
          <w:rFonts w:asciiTheme="majorBidi" w:hAnsiTheme="majorBidi" w:cstheme="majorBidi"/>
        </w:rPr>
        <w:t xml:space="preserve">ada hari Rabu pertengahan bulan Desember 2022 sekitar pukul 10.30 WIB, terdakwa menggantikan ibu XXX dalam mengajar mata pelajaran Pancasila melakukan tindak pelecehan seksual terhadap seorang siswi bernama XXX. Setelah XXX menyerahkan tulisannya, guru tersebut mengkritik bahwa tulisan XXX kurang rapi dan meminta XXX untuk menulis ulang di meja guru. Saat XXX menulis ulang, guru tersebut meraba kemaluan XXX dari luar rok dengan tangan kanannya. </w:t>
      </w:r>
      <w:r w:rsidRPr="00CB082F">
        <w:rPr>
          <w:rFonts w:asciiTheme="majorBidi" w:hAnsiTheme="majorBidi" w:cstheme="majorBidi"/>
        </w:rPr>
        <w:lastRenderedPageBreak/>
        <w:t>Setelah itu, guru tersebut kembali duduk di kursi guru dan mengancam XXX agar tidak menceritakan kejadian tersebut kepada orang tua dengan mengatakan, "jangan bilang sama mamak, bapak, kakek, nanti kena tampar." Kemudian pada hari Kamis, tanggal 05 Januari 2023 sekitar pukul 09.30 WIB, saat sedang belajar matematika dengan guru bernama Rajimah, seorang terdakwa lainnya melakukan tindak pelecehan seksual terhadap XXX. Setelah mengkritik tulisan XXX sebagai tidak rapi, terdakwa tersebut meminta XXX untuk menulis ulang di meja guru. Saat XXX menulis ulang, terdakwa tersebut meraba kemaluan XXX dari luar rok dengan tangan kanannya. Tindakan tersebut dilakukan saat XXX berdiri di depan terdakwa, yang kemudian mengarahkan XXX untuk tidak memberitahukan kejadian tersebut kepada siapapun.</w:t>
      </w:r>
    </w:p>
    <w:p w14:paraId="7FC8EE6F" w14:textId="798B26CA" w:rsidR="008D372B" w:rsidRPr="00CB082F" w:rsidRDefault="008D372B" w:rsidP="00086C9B">
      <w:pPr>
        <w:pStyle w:val="ListParagraph"/>
        <w:spacing w:line="276" w:lineRule="auto"/>
        <w:ind w:left="284" w:firstLine="283"/>
        <w:jc w:val="both"/>
        <w:rPr>
          <w:rFonts w:asciiTheme="majorBidi" w:hAnsiTheme="majorBidi" w:cstheme="majorBidi"/>
        </w:rPr>
      </w:pPr>
      <w:r w:rsidRPr="00CB082F">
        <w:rPr>
          <w:rFonts w:asciiTheme="majorBidi" w:hAnsiTheme="majorBidi" w:cstheme="majorBidi"/>
        </w:rPr>
        <w:t xml:space="preserve">Perbuatan terdakwa kepada anak korban </w:t>
      </w:r>
      <w:r w:rsidRPr="00CB082F">
        <w:rPr>
          <w:rFonts w:asciiTheme="majorBidi" w:hAnsiTheme="majorBidi" w:cstheme="majorBidi"/>
          <w:i/>
          <w:iCs/>
        </w:rPr>
        <w:t>ketiga</w:t>
      </w:r>
      <w:r w:rsidR="00823B5C">
        <w:rPr>
          <w:rFonts w:asciiTheme="majorBidi" w:hAnsiTheme="majorBidi" w:cstheme="majorBidi"/>
          <w:i/>
          <w:iCs/>
        </w:rPr>
        <w:t>,</w:t>
      </w:r>
      <w:r w:rsidRPr="00CB082F">
        <w:rPr>
          <w:rFonts w:asciiTheme="majorBidi" w:hAnsiTheme="majorBidi" w:cstheme="majorBidi"/>
        </w:rPr>
        <w:t xml:space="preserve"> dilakukan Pada hari Rabu, tanggal 04 Januari 2023 sekitar pukul 09.45 WIB, terdakwa yang sedang mengajar pelajaran olahraga di kelas II A melakukan tindak pelecehan seksual terhadap seorang siswi bernama XXX. Setelah menyuruh siswi tersebut untuk menulis ulang karena dianggap kurang rapi, terdakwa tiba-tiba menempelkan tangan kirinya ke kemaluan XXX dari luar rok. Aksi kedua terjadi pada tanggal 19 Januari 2023 sekitar pukul 11.00 WIB, ketika terdakwa kembali mengajar mata pelajaran olahraga di kelas IIA. Terdakwa meminta siswi untuk menggambar bola dan memanggil siswi tersebut ke depan meja guru. Tanpa diduga, terdakwa kembali menempelkan tangan kirinya ke kemaluan siswi dari luar rok yang dipakai.</w:t>
      </w:r>
    </w:p>
    <w:p w14:paraId="5A701D19" w14:textId="6A5C1887" w:rsidR="008D372B" w:rsidRPr="00CB082F" w:rsidRDefault="008D372B" w:rsidP="00086C9B">
      <w:pPr>
        <w:pStyle w:val="ListParagraph"/>
        <w:spacing w:line="276" w:lineRule="auto"/>
        <w:ind w:left="284" w:firstLine="283"/>
        <w:jc w:val="both"/>
        <w:rPr>
          <w:rFonts w:asciiTheme="majorBidi" w:hAnsiTheme="majorBidi" w:cstheme="majorBidi"/>
        </w:rPr>
      </w:pPr>
      <w:r w:rsidRPr="00CB082F">
        <w:rPr>
          <w:rFonts w:asciiTheme="majorBidi" w:hAnsiTheme="majorBidi" w:cstheme="majorBidi"/>
        </w:rPr>
        <w:t xml:space="preserve">Perbuatan terdakwa kepada anak korban </w:t>
      </w:r>
      <w:r w:rsidRPr="00CB082F">
        <w:rPr>
          <w:rFonts w:asciiTheme="majorBidi" w:hAnsiTheme="majorBidi" w:cstheme="majorBidi"/>
          <w:i/>
          <w:iCs/>
        </w:rPr>
        <w:t>keempat</w:t>
      </w:r>
      <w:r w:rsidR="00823B5C">
        <w:rPr>
          <w:rFonts w:asciiTheme="majorBidi" w:hAnsiTheme="majorBidi" w:cstheme="majorBidi"/>
          <w:i/>
          <w:iCs/>
        </w:rPr>
        <w:t>,</w:t>
      </w:r>
      <w:r w:rsidRPr="00CB082F">
        <w:rPr>
          <w:rFonts w:asciiTheme="majorBidi" w:hAnsiTheme="majorBidi" w:cstheme="majorBidi"/>
        </w:rPr>
        <w:t xml:space="preserve"> dilakukan Pada hari Rabu, tanggal 04 Januari 2023 sekitar pukul 09.30 di kelas II B, terdakwa memerintahkan seorang siswi untuk menulis ulang tulisannya karena dianggap kurang rapi. Tanpa diduga, terdakwa kemudian memasukkan tangan kirinya ke </w:t>
      </w:r>
      <w:r w:rsidRPr="00CB082F">
        <w:rPr>
          <w:rFonts w:asciiTheme="majorBidi" w:hAnsiTheme="majorBidi" w:cstheme="majorBidi"/>
        </w:rPr>
        <w:lastRenderedPageBreak/>
        <w:t>dalam celana legging siswi dan menempelkan tangan tersebut di kemaluan siswi, membuat siswi tersebut merasa tangan terdakwa hangat. Saat siswi tersebut meminta terdakwa untuk tidak melakukannya dengan mengatakan "Pak jangan dibuka," terdakwa menjawab, "Sebentar saja," sebelum kemudian menarik tangannya keluar dari dalam celana.</w:t>
      </w:r>
    </w:p>
    <w:p w14:paraId="1A191CD4" w14:textId="6A25EAB4" w:rsidR="008D372B" w:rsidRPr="00CB082F" w:rsidRDefault="008D372B" w:rsidP="00086C9B">
      <w:pPr>
        <w:pStyle w:val="ListParagraph"/>
        <w:spacing w:line="276" w:lineRule="auto"/>
        <w:ind w:left="284" w:firstLine="283"/>
        <w:jc w:val="both"/>
        <w:rPr>
          <w:rFonts w:asciiTheme="majorBidi" w:hAnsiTheme="majorBidi" w:cstheme="majorBidi"/>
        </w:rPr>
      </w:pPr>
      <w:r w:rsidRPr="00CB082F">
        <w:rPr>
          <w:rFonts w:asciiTheme="majorBidi" w:hAnsiTheme="majorBidi" w:cstheme="majorBidi"/>
        </w:rPr>
        <w:t xml:space="preserve">Perbuatan terdakwa kepada anak korban </w:t>
      </w:r>
      <w:r w:rsidRPr="00CB082F">
        <w:rPr>
          <w:rFonts w:asciiTheme="majorBidi" w:hAnsiTheme="majorBidi" w:cstheme="majorBidi"/>
          <w:i/>
          <w:iCs/>
        </w:rPr>
        <w:t>kelima</w:t>
      </w:r>
      <w:r w:rsidR="00823B5C">
        <w:rPr>
          <w:rFonts w:asciiTheme="majorBidi" w:hAnsiTheme="majorBidi" w:cstheme="majorBidi"/>
          <w:i/>
          <w:iCs/>
        </w:rPr>
        <w:t>,</w:t>
      </w:r>
      <w:r w:rsidRPr="00CB082F">
        <w:rPr>
          <w:rFonts w:asciiTheme="majorBidi" w:hAnsiTheme="majorBidi" w:cstheme="majorBidi"/>
        </w:rPr>
        <w:t xml:space="preserve"> dilakukan Pada hari Rabu, sekitar pertengahan bulan Desember 2022, sekitar pukul 10.30 WIB, seorang terdakwa yang menggantikan guru piket dalam mengajar mata pelajaran Pancasila melakukan tindakan pelecehan terhadap seorang siswi bernama XXX. Setelah meminta siswi tersebut untuk menulis dan mengumpulkan tulisannya, terdakwa bertanya apakah siswi tersebut belajar di rumah. Kemudian, terdakwa menanyakan siapa yang menulis tulisan tersebut sambil menepuk pantat siswi dari luar rok sekali. Setelah itu, saat jam pelajaran selesai, terdakwa memperingatkan siswi untuk tidak memberitahu ibu, ayah, atau kakeknya tentang kejadian tersebut.</w:t>
      </w:r>
    </w:p>
    <w:p w14:paraId="5073B533" w14:textId="4BA9D84D" w:rsidR="008D372B" w:rsidRPr="00CB082F" w:rsidRDefault="008D372B" w:rsidP="00086C9B">
      <w:pPr>
        <w:pStyle w:val="ListParagraph"/>
        <w:spacing w:line="276" w:lineRule="auto"/>
        <w:ind w:left="284" w:firstLine="283"/>
        <w:jc w:val="both"/>
        <w:rPr>
          <w:rFonts w:asciiTheme="majorBidi" w:hAnsiTheme="majorBidi" w:cstheme="majorBidi"/>
        </w:rPr>
      </w:pPr>
      <w:r w:rsidRPr="00CB082F">
        <w:rPr>
          <w:rFonts w:asciiTheme="majorBidi" w:hAnsiTheme="majorBidi" w:cstheme="majorBidi"/>
        </w:rPr>
        <w:t xml:space="preserve">Perbuatan terdakwa kepada anak korban </w:t>
      </w:r>
      <w:r w:rsidRPr="00CB082F">
        <w:rPr>
          <w:rFonts w:asciiTheme="majorBidi" w:hAnsiTheme="majorBidi" w:cstheme="majorBidi"/>
          <w:i/>
          <w:iCs/>
        </w:rPr>
        <w:t>keenam</w:t>
      </w:r>
      <w:r w:rsidR="00823B5C">
        <w:rPr>
          <w:rFonts w:asciiTheme="majorBidi" w:hAnsiTheme="majorBidi" w:cstheme="majorBidi"/>
          <w:i/>
          <w:iCs/>
        </w:rPr>
        <w:t>,</w:t>
      </w:r>
      <w:r w:rsidRPr="00CB082F">
        <w:rPr>
          <w:rFonts w:asciiTheme="majorBidi" w:hAnsiTheme="majorBidi" w:cstheme="majorBidi"/>
        </w:rPr>
        <w:t xml:space="preserve"> dilakukan Pada hari Rabu sekitar pertengahan bulan Desember 2022, sekitar pukul 10.30 WIB, seorang terdakwa yang menggantikan guru piket dalam mengajar mata pelajaran Pancasila melakukan tindakan pelecehan terhadap seorang siswi yang namanya XXX. Setelah siswi tersebut menyelesaikan menulisnya, terdakwa meminta siswi untuk menulis ulang karena dianggap tulisannya tidak rapi. Kemudian, terdakwa memerintahkan siswi untuk berdiri di depannya dan melakukan tindakan meraba kemaluan siswi dari luar rok dengan tangan kirinya sekali. Setelah jam pelajaran selesai, terdakwa mengancam siswi agar tidak menceritakan kejadian tersebut kepada ibu, ayah, atau kakeknya.</w:t>
      </w:r>
    </w:p>
    <w:p w14:paraId="01FB4A9C" w14:textId="4DDBE4CD" w:rsidR="008D372B" w:rsidRPr="00CB082F" w:rsidRDefault="008D372B" w:rsidP="00086C9B">
      <w:pPr>
        <w:pStyle w:val="ListParagraph"/>
        <w:spacing w:line="276" w:lineRule="auto"/>
        <w:ind w:left="284" w:firstLine="283"/>
        <w:jc w:val="both"/>
        <w:rPr>
          <w:rFonts w:asciiTheme="majorBidi" w:hAnsiTheme="majorBidi" w:cstheme="majorBidi"/>
        </w:rPr>
      </w:pPr>
      <w:r w:rsidRPr="00CB082F">
        <w:rPr>
          <w:rFonts w:asciiTheme="majorBidi" w:hAnsiTheme="majorBidi" w:cstheme="majorBidi"/>
        </w:rPr>
        <w:lastRenderedPageBreak/>
        <w:t xml:space="preserve">Perbuatan terdakwa kepada anak korban </w:t>
      </w:r>
      <w:r w:rsidRPr="00CB082F">
        <w:rPr>
          <w:rFonts w:asciiTheme="majorBidi" w:hAnsiTheme="majorBidi" w:cstheme="majorBidi"/>
          <w:i/>
          <w:iCs/>
        </w:rPr>
        <w:t>ketujuh</w:t>
      </w:r>
      <w:r w:rsidR="00823B5C">
        <w:rPr>
          <w:rFonts w:asciiTheme="majorBidi" w:hAnsiTheme="majorBidi" w:cstheme="majorBidi"/>
          <w:i/>
          <w:iCs/>
        </w:rPr>
        <w:t>,</w:t>
      </w:r>
      <w:r w:rsidRPr="00CB082F">
        <w:rPr>
          <w:rFonts w:asciiTheme="majorBidi" w:hAnsiTheme="majorBidi" w:cstheme="majorBidi"/>
        </w:rPr>
        <w:t xml:space="preserve"> dilakukan Pada hari Rabu pertengahan bulan Desember 2022, sekitar pukul 10.30 WIB, terdakwa yang menggantikan guru piket dalam mengajar mata pelajaran Pancasila melakukan tindakan pelecehan terhadap seorang siswi bernama XXX Binti Aulia Jaya. Setelah siswi tersebut menyelesaikan menulisnya, terdakwa memeriksa tulisannya dan menyatakan bahwa tulisannya kurang rapi, sehingga meminta siswi untuk menulis ulang. Saat siswi tersebut menulis ulang Pancasila di meja guru dengan berdiri di depan terdakwa, terdakwa menempatkan kedua tangannya di belakang pinggang dan meremas payudara siswi dari luar pakaian dengan tangan kanan sekali. Setelah jam pelajaran selesai, terdakwa mengancam siswi agar tidak memberitahu ibu, ayah, atau kakeknya tentang kejadian tersebut. Akibat perbuatan terdakwa, ketujuh anak di bawah umur mengalami trauma, ketakutan, dan gangguan mental. Perbuatan bejat terdakwa ini diancam pidana 80 bulan penjara berdasarkan Pasal 47 Qanun Aceh Nomor 6 Tahun 2014 tentang Hukum Jinayat.</w:t>
      </w:r>
    </w:p>
    <w:p w14:paraId="2069F76C" w14:textId="31EA9ED0" w:rsidR="008D372B" w:rsidRPr="00476137" w:rsidRDefault="008D372B" w:rsidP="00086C9B">
      <w:pPr>
        <w:pStyle w:val="Heading2"/>
        <w:numPr>
          <w:ilvl w:val="0"/>
          <w:numId w:val="102"/>
        </w:numPr>
        <w:spacing w:line="276" w:lineRule="auto"/>
        <w:ind w:left="284" w:hanging="284"/>
      </w:pPr>
      <w:bookmarkStart w:id="31" w:name="_Toc185961347"/>
      <w:r w:rsidRPr="00476137">
        <w:t xml:space="preserve">Bentuk Kesaksian </w:t>
      </w:r>
      <w:r w:rsidRPr="00AB1CB5">
        <w:rPr>
          <w:i/>
          <w:iCs/>
        </w:rPr>
        <w:t>Testimonium De Auditu</w:t>
      </w:r>
      <w:r w:rsidRPr="00476137">
        <w:t xml:space="preserve"> dalam Putusan Mahkamah Syariah Takengon Nomor 9/Jn/2023/Ms.Tkn.</w:t>
      </w:r>
      <w:bookmarkEnd w:id="31"/>
      <w:r w:rsidRPr="00476137">
        <w:t xml:space="preserve"> </w:t>
      </w:r>
    </w:p>
    <w:p w14:paraId="1C45BF48" w14:textId="501B38A3" w:rsidR="008D372B" w:rsidRPr="00CB082F" w:rsidRDefault="008D372B" w:rsidP="00086C9B">
      <w:pPr>
        <w:pStyle w:val="ListParagraph"/>
        <w:spacing w:line="276" w:lineRule="auto"/>
        <w:ind w:left="284" w:firstLine="283"/>
        <w:jc w:val="both"/>
        <w:rPr>
          <w:rFonts w:asciiTheme="majorBidi" w:hAnsiTheme="majorBidi" w:cstheme="majorBidi"/>
          <w:lang w:val="en-US"/>
        </w:rPr>
      </w:pPr>
      <w:r w:rsidRPr="00CB082F">
        <w:rPr>
          <w:rFonts w:asciiTheme="majorBidi" w:hAnsiTheme="majorBidi" w:cstheme="majorBidi"/>
          <w:lang w:val="en-US"/>
        </w:rPr>
        <w:t xml:space="preserve">Kesaksian </w:t>
      </w:r>
      <w:r w:rsidRPr="00CB082F">
        <w:rPr>
          <w:rFonts w:asciiTheme="majorBidi" w:hAnsiTheme="majorBidi" w:cstheme="majorBidi"/>
          <w:i/>
          <w:iCs/>
          <w:lang w:val="en-US"/>
        </w:rPr>
        <w:t>testimonium de auditu</w:t>
      </w:r>
      <w:r w:rsidRPr="00CB082F">
        <w:rPr>
          <w:rFonts w:asciiTheme="majorBidi" w:hAnsiTheme="majorBidi" w:cstheme="majorBidi"/>
          <w:lang w:val="en-US"/>
        </w:rPr>
        <w:t xml:space="preserve"> dalam Putusan Mahkamah Syariah Takengon Nomor 9/Jn/2023/Ms.Tkn diterangkan secara langsung oleh orang tua dari anak </w:t>
      </w:r>
      <w:r w:rsidR="00823B5C">
        <w:rPr>
          <w:rFonts w:asciiTheme="majorBidi" w:hAnsiTheme="majorBidi" w:cstheme="majorBidi"/>
          <w:lang w:val="en-US"/>
        </w:rPr>
        <w:t xml:space="preserve">yang menjadi </w:t>
      </w:r>
      <w:r w:rsidRPr="00CB082F">
        <w:rPr>
          <w:rFonts w:asciiTheme="majorBidi" w:hAnsiTheme="majorBidi" w:cstheme="majorBidi"/>
          <w:lang w:val="en-US"/>
        </w:rPr>
        <w:t xml:space="preserve">korban pelecehan seksual. Keterangan tersebut berasal secara langsung dari cerita anak korban. Dalam hal ini, terdapat enam kesaksian yang diberikan oleh orang tua korban dalam Putusan Mahkamah Syariah Takengon Nomor 9/Jn/2023/Ms.Tkn diantaranya sebagai berikut:  </w:t>
      </w:r>
    </w:p>
    <w:p w14:paraId="3AC7FDDB" w14:textId="60616010" w:rsidR="008D372B" w:rsidRPr="00CB082F" w:rsidRDefault="00823B5C" w:rsidP="00086C9B">
      <w:pPr>
        <w:pStyle w:val="ListParagraph"/>
        <w:spacing w:line="276" w:lineRule="auto"/>
        <w:ind w:left="284" w:firstLine="283"/>
        <w:jc w:val="both"/>
        <w:rPr>
          <w:rFonts w:asciiTheme="majorBidi" w:hAnsiTheme="majorBidi" w:cstheme="majorBidi"/>
          <w:lang w:val="en-US"/>
        </w:rPr>
      </w:pPr>
      <w:r w:rsidRPr="00823B5C">
        <w:rPr>
          <w:rFonts w:asciiTheme="majorBidi" w:hAnsiTheme="majorBidi" w:cstheme="majorBidi"/>
          <w:lang w:val="en-US"/>
        </w:rPr>
        <w:lastRenderedPageBreak/>
        <w:t xml:space="preserve">Saksi </w:t>
      </w:r>
      <w:r w:rsidR="008D372B" w:rsidRPr="00CB082F">
        <w:rPr>
          <w:rFonts w:asciiTheme="majorBidi" w:hAnsiTheme="majorBidi" w:cstheme="majorBidi"/>
          <w:i/>
          <w:iCs/>
          <w:lang w:val="en-US"/>
        </w:rPr>
        <w:t>Pertama,</w:t>
      </w:r>
      <w:r w:rsidR="008D372B" w:rsidRPr="00CB082F">
        <w:rPr>
          <w:rFonts w:asciiTheme="majorBidi" w:hAnsiTheme="majorBidi" w:cstheme="majorBidi"/>
          <w:lang w:val="en-US"/>
        </w:rPr>
        <w:t xml:space="preserve"> Saksi </w:t>
      </w:r>
      <w:r w:rsidR="008D372B" w:rsidRPr="00CB082F">
        <w:rPr>
          <w:rFonts w:asciiTheme="majorBidi" w:hAnsiTheme="majorBidi" w:cstheme="majorBidi"/>
        </w:rPr>
        <w:t>Ramlah binti Selamat, seorang ibu rumah tangga berusia 33 tahun, memberikan kesaksian di bawah sumpah dalam perkara pelecehan seksual yang menimpa anaknya. Berdasarkan keterangan dari anaknya bernama XXX, Ramlah memberikan kesaksian bahwa Terdakwa melakukan pelecehan seksual terhadap anaknya sebanyak dua kali. Peristiwa pertama terjadi pada hari Rabu di bulan Desember 2022, sekitar pukul 10.30 WIB, di dalam ruang kelas IB Sekolah MIN 10 Aceh Tengah, saat anak saksi dan teman-temannya sedang belajar. Peristiwa kedua terjadi pada hari Kamis tanggal 5 Januari 2023, sekitar pukul 09.30 WIB, di dalam ruang kelas IB Sekolah MIN 10 Aceh Tengah, saat anak saksi dan teman-temannya sedang belajar. Selain itu, Ramlah juga mengetahui dari cerita anaknya dan enam temannya yang lain bahwa Terdakwa melakukan pelecehan seksual terhadap mereka yaitu:</w:t>
      </w:r>
      <w:r w:rsidR="008D372B" w:rsidRPr="00CB082F">
        <w:rPr>
          <w:rStyle w:val="FootnoteReference"/>
          <w:rFonts w:asciiTheme="majorBidi" w:hAnsiTheme="majorBidi" w:cstheme="majorBidi"/>
        </w:rPr>
        <w:footnoteReference w:id="124"/>
      </w:r>
    </w:p>
    <w:p w14:paraId="25628617" w14:textId="26432AC5" w:rsidR="008D372B" w:rsidRPr="00CB082F" w:rsidRDefault="002015FB" w:rsidP="00086C9B">
      <w:pPr>
        <w:pStyle w:val="ListParagraph"/>
        <w:numPr>
          <w:ilvl w:val="0"/>
          <w:numId w:val="58"/>
        </w:numPr>
        <w:spacing w:line="276" w:lineRule="auto"/>
        <w:ind w:left="567" w:hanging="283"/>
        <w:jc w:val="both"/>
        <w:rPr>
          <w:rFonts w:asciiTheme="majorBidi" w:hAnsiTheme="majorBidi" w:cstheme="majorBidi"/>
        </w:rPr>
      </w:pPr>
      <w:r w:rsidRPr="00CB082F">
        <w:rPr>
          <w:rFonts w:asciiTheme="majorBidi" w:hAnsiTheme="majorBidi" w:cstheme="majorBidi"/>
        </w:rPr>
        <w:t>Hikmah</w:t>
      </w:r>
      <w:r w:rsidR="008D372B" w:rsidRPr="00CB082F">
        <w:rPr>
          <w:rFonts w:asciiTheme="majorBidi" w:hAnsiTheme="majorBidi" w:cstheme="majorBidi"/>
        </w:rPr>
        <w:t xml:space="preserve">, AR, 6 Tahun, Pelajar, Alamat Kp. Ulu Nuwih Kec. Bebesen Kab. Aceh Tengah yaitu memegang kemaluannya dari luar pakaiannya. </w:t>
      </w:r>
    </w:p>
    <w:p w14:paraId="4FBED76D" w14:textId="5579A767" w:rsidR="008D372B" w:rsidRPr="00CB082F" w:rsidRDefault="00086C9B" w:rsidP="00086C9B">
      <w:pPr>
        <w:pStyle w:val="ListParagraph"/>
        <w:numPr>
          <w:ilvl w:val="0"/>
          <w:numId w:val="58"/>
        </w:numPr>
        <w:spacing w:line="276" w:lineRule="auto"/>
        <w:ind w:left="567" w:hanging="283"/>
        <w:jc w:val="both"/>
        <w:rPr>
          <w:rFonts w:asciiTheme="majorBidi" w:hAnsiTheme="majorBidi" w:cstheme="majorBidi"/>
        </w:rPr>
      </w:pPr>
      <w:r w:rsidRPr="00CB082F">
        <w:rPr>
          <w:rFonts w:asciiTheme="majorBidi" w:hAnsiTheme="majorBidi" w:cstheme="majorBidi"/>
        </w:rPr>
        <w:t>Xxx</w:t>
      </w:r>
      <w:r w:rsidR="008D372B" w:rsidRPr="00CB082F">
        <w:rPr>
          <w:rFonts w:asciiTheme="majorBidi" w:hAnsiTheme="majorBidi" w:cstheme="majorBidi"/>
        </w:rPr>
        <w:t>, 6 Tahun, Pelajar, Alamat Kp. Ulu Nuwih Kec. Bebesen Kab. Aceh Tengah yaitu memegang kemaluannya dari luar pakaiannya.</w:t>
      </w:r>
    </w:p>
    <w:p w14:paraId="675B5DD7" w14:textId="30B40F1A" w:rsidR="008D372B" w:rsidRPr="00CB082F" w:rsidRDefault="00086C9B" w:rsidP="00086C9B">
      <w:pPr>
        <w:pStyle w:val="ListParagraph"/>
        <w:numPr>
          <w:ilvl w:val="0"/>
          <w:numId w:val="58"/>
        </w:numPr>
        <w:spacing w:line="276" w:lineRule="auto"/>
        <w:ind w:left="567" w:hanging="283"/>
        <w:jc w:val="both"/>
        <w:rPr>
          <w:rFonts w:asciiTheme="majorBidi" w:hAnsiTheme="majorBidi" w:cstheme="majorBidi"/>
        </w:rPr>
      </w:pPr>
      <w:r w:rsidRPr="00CB082F">
        <w:rPr>
          <w:rFonts w:asciiTheme="majorBidi" w:hAnsiTheme="majorBidi" w:cstheme="majorBidi"/>
        </w:rPr>
        <w:t>Xxx,</w:t>
      </w:r>
      <w:r w:rsidR="008D372B" w:rsidRPr="00CB082F">
        <w:rPr>
          <w:rFonts w:asciiTheme="majorBidi" w:hAnsiTheme="majorBidi" w:cstheme="majorBidi"/>
        </w:rPr>
        <w:t xml:space="preserve"> 6 Tahun, Pelajar, Alamat Kp. Ulu Nuwih Kec. Bebesen Kab. Aceh Tengah,yaitu memegang kemaluannya dari</w:t>
      </w:r>
      <w:r w:rsidR="006730EC">
        <w:rPr>
          <w:rFonts w:asciiTheme="majorBidi" w:hAnsiTheme="majorBidi" w:cstheme="majorBidi"/>
        </w:rPr>
        <w:t xml:space="preserve"> </w:t>
      </w:r>
      <w:r w:rsidR="008D372B" w:rsidRPr="00CB082F">
        <w:rPr>
          <w:rFonts w:asciiTheme="majorBidi" w:hAnsiTheme="majorBidi" w:cstheme="majorBidi"/>
        </w:rPr>
        <w:t xml:space="preserve">luar pakaiannya. </w:t>
      </w:r>
    </w:p>
    <w:p w14:paraId="372BFADD" w14:textId="47F1A399" w:rsidR="008D372B" w:rsidRPr="00CB082F" w:rsidRDefault="00086C9B" w:rsidP="00086C9B">
      <w:pPr>
        <w:pStyle w:val="ListParagraph"/>
        <w:numPr>
          <w:ilvl w:val="0"/>
          <w:numId w:val="58"/>
        </w:numPr>
        <w:spacing w:line="276" w:lineRule="auto"/>
        <w:ind w:left="567" w:hanging="283"/>
        <w:jc w:val="both"/>
        <w:rPr>
          <w:rFonts w:asciiTheme="majorBidi" w:hAnsiTheme="majorBidi" w:cstheme="majorBidi"/>
        </w:rPr>
      </w:pPr>
      <w:r w:rsidRPr="00CB082F">
        <w:rPr>
          <w:rFonts w:asciiTheme="majorBidi" w:hAnsiTheme="majorBidi" w:cstheme="majorBidi"/>
        </w:rPr>
        <w:t>Xxx,</w:t>
      </w:r>
      <w:r w:rsidR="008D372B" w:rsidRPr="00CB082F">
        <w:rPr>
          <w:rFonts w:asciiTheme="majorBidi" w:hAnsiTheme="majorBidi" w:cstheme="majorBidi"/>
        </w:rPr>
        <w:t xml:space="preserve"> 6 Tahun, Pelajar, Alamat Kp. Ulu Nuwih Kec. Bebesen Kab. Aceh Tengah, yaitu memegang kemaluannya dari dari dalam pakaiannya.</w:t>
      </w:r>
    </w:p>
    <w:p w14:paraId="2D43D07F" w14:textId="48318A53" w:rsidR="008D372B" w:rsidRPr="00CB082F" w:rsidRDefault="00086C9B" w:rsidP="00086C9B">
      <w:pPr>
        <w:pStyle w:val="ListParagraph"/>
        <w:numPr>
          <w:ilvl w:val="0"/>
          <w:numId w:val="58"/>
        </w:numPr>
        <w:spacing w:line="276" w:lineRule="auto"/>
        <w:ind w:left="567" w:hanging="283"/>
        <w:jc w:val="both"/>
        <w:rPr>
          <w:rFonts w:asciiTheme="majorBidi" w:hAnsiTheme="majorBidi" w:cstheme="majorBidi"/>
        </w:rPr>
      </w:pPr>
      <w:r w:rsidRPr="00CB082F">
        <w:rPr>
          <w:rFonts w:asciiTheme="majorBidi" w:hAnsiTheme="majorBidi" w:cstheme="majorBidi"/>
        </w:rPr>
        <w:lastRenderedPageBreak/>
        <w:t>Xxx,</w:t>
      </w:r>
      <w:r w:rsidR="008D372B" w:rsidRPr="00CB082F">
        <w:rPr>
          <w:rFonts w:asciiTheme="majorBidi" w:hAnsiTheme="majorBidi" w:cstheme="majorBidi"/>
        </w:rPr>
        <w:t xml:space="preserve"> 6 Tahun, Pelajar, Alamat Kp. Ulu Nuwih Kec. Bebesen Kab. Aceh Tengah, yaitu meraba payudaranya dari</w:t>
      </w:r>
      <w:r w:rsidR="006730EC">
        <w:rPr>
          <w:rFonts w:asciiTheme="majorBidi" w:hAnsiTheme="majorBidi" w:cstheme="majorBidi"/>
        </w:rPr>
        <w:t xml:space="preserve"> </w:t>
      </w:r>
      <w:r w:rsidR="008D372B" w:rsidRPr="00CB082F">
        <w:rPr>
          <w:rFonts w:asciiTheme="majorBidi" w:hAnsiTheme="majorBidi" w:cstheme="majorBidi"/>
        </w:rPr>
        <w:t>luar pakaiannya.</w:t>
      </w:r>
    </w:p>
    <w:p w14:paraId="1DA2544E" w14:textId="34CFC436" w:rsidR="008D372B" w:rsidRPr="00CB082F" w:rsidRDefault="002015FB" w:rsidP="00086C9B">
      <w:pPr>
        <w:pStyle w:val="ListParagraph"/>
        <w:numPr>
          <w:ilvl w:val="0"/>
          <w:numId w:val="58"/>
        </w:numPr>
        <w:spacing w:line="276" w:lineRule="auto"/>
        <w:ind w:left="567" w:hanging="283"/>
        <w:jc w:val="both"/>
        <w:rPr>
          <w:rFonts w:asciiTheme="majorBidi" w:hAnsiTheme="majorBidi" w:cstheme="majorBidi"/>
        </w:rPr>
      </w:pPr>
      <w:r w:rsidRPr="00CB082F">
        <w:rPr>
          <w:rFonts w:asciiTheme="majorBidi" w:hAnsiTheme="majorBidi" w:cstheme="majorBidi"/>
        </w:rPr>
        <w:t>Aini Khimairah</w:t>
      </w:r>
      <w:r w:rsidR="008D372B" w:rsidRPr="00CB082F">
        <w:rPr>
          <w:rFonts w:asciiTheme="majorBidi" w:hAnsiTheme="majorBidi" w:cstheme="majorBidi"/>
        </w:rPr>
        <w:t>, 6 Tahun, Pelajar, Alamat Kp. Ulu Nuwih Kec. Bebesen Kab. Aceh Tengah, yaitu memegang kemaluannya dari luar pakaiannya.</w:t>
      </w:r>
    </w:p>
    <w:p w14:paraId="778908B4" w14:textId="6D6CD085" w:rsidR="008D372B" w:rsidRPr="00CB082F" w:rsidRDefault="00086C9B" w:rsidP="00086C9B">
      <w:pPr>
        <w:pStyle w:val="ListParagraph"/>
        <w:numPr>
          <w:ilvl w:val="0"/>
          <w:numId w:val="58"/>
        </w:numPr>
        <w:spacing w:line="276" w:lineRule="auto"/>
        <w:ind w:left="567" w:hanging="283"/>
        <w:jc w:val="both"/>
        <w:rPr>
          <w:rFonts w:asciiTheme="majorBidi" w:hAnsiTheme="majorBidi" w:cstheme="majorBidi"/>
        </w:rPr>
      </w:pPr>
      <w:r w:rsidRPr="00CB082F">
        <w:rPr>
          <w:rFonts w:asciiTheme="majorBidi" w:hAnsiTheme="majorBidi" w:cstheme="majorBidi"/>
        </w:rPr>
        <w:t>Xxx,</w:t>
      </w:r>
      <w:r w:rsidR="008D372B" w:rsidRPr="00CB082F">
        <w:rPr>
          <w:rFonts w:asciiTheme="majorBidi" w:hAnsiTheme="majorBidi" w:cstheme="majorBidi"/>
        </w:rPr>
        <w:t xml:space="preserve"> 6 Tahun, Pelajar, Alamat Kp. Ulu Nuwih Kec. Bebesen Kab. Aceh Tengah yaitu memegang kemaluannya dari luar pakaiannya</w:t>
      </w:r>
      <w:r>
        <w:rPr>
          <w:rFonts w:asciiTheme="majorBidi" w:hAnsiTheme="majorBidi" w:cstheme="majorBidi"/>
        </w:rPr>
        <w:t xml:space="preserve">. </w:t>
      </w:r>
    </w:p>
    <w:p w14:paraId="5800387E" w14:textId="6C31C69C" w:rsidR="00234FF0" w:rsidRDefault="00234FF0" w:rsidP="00086C9B">
      <w:pPr>
        <w:pStyle w:val="ListParagraph"/>
        <w:spacing w:line="276" w:lineRule="auto"/>
        <w:ind w:left="284" w:firstLine="283"/>
        <w:jc w:val="both"/>
        <w:rPr>
          <w:rFonts w:asciiTheme="majorBidi" w:hAnsiTheme="majorBidi" w:cstheme="majorBidi"/>
        </w:rPr>
      </w:pPr>
      <w:r w:rsidRPr="00234FF0">
        <w:rPr>
          <w:rFonts w:asciiTheme="majorBidi" w:hAnsiTheme="majorBidi" w:cstheme="majorBidi"/>
        </w:rPr>
        <w:t>Pada hari Kamis, tanggal 19 Januari 2023, sekitar pukul 14.00 WIB, saksi baru saja pulang dari bekerja dan duduk di teras rumahnya. Pada saat itu, anak kandung saksi yang bernama XXX bersama dengan teman-temannya, XXX dan XXX, juga duduk di teras sambil bercerita. Saksi kemudian bertanya, "Apa yang sedang kalian ceritakan?" XXX menjawab, "Bik, ada seorang guru kami di sekolah, namanya Pak Terdakwa." Menanggapi hal tersebut, saksi melanjutkan dengan pertanyaan, "Kenapa?" XXX menjelaskan, "Dia memegang kemaluan kami." Saksi kembali bertanya, "Mengapa dia melakukan hal tersebut? Apa alasan di balik tindakan itu?" XXX menjawab, "Tidak ada alasan, dia hanya menyuruh kami maju ke depan, lalu memegang di bagian ini," sambil menunjuk ke arah kemaluannya. Saksi kemudian menanyakan kepada XXX dan XXX, "Apakah hal ini juga terjadi pada kalian?" XXX menjawab, "Ya, sampai terasa hangat." XXX menambahkan, "Saya juga mengalami hal yang sama dua kali." Saksi merasa heran dan bertanya, "Mengapa kalian tidak memberitahu sejak kemarin?" XXX menjawab, "Saya tidak berani." Saksi kemudian melanjutkan pertanyaannya, "Kapan dan di mana hal ini terjadi? Saat pelajaran apa?" Hikmah menjawab, "Hal ini terjadi saat pelajaran di kelas, saat mata pelajaran Pancasila."</w:t>
      </w:r>
    </w:p>
    <w:p w14:paraId="6266B543" w14:textId="7053C02C" w:rsidR="008D372B" w:rsidRPr="00CB082F" w:rsidRDefault="00823B5C" w:rsidP="00086C9B">
      <w:pPr>
        <w:pStyle w:val="ListParagraph"/>
        <w:spacing w:line="276" w:lineRule="auto"/>
        <w:ind w:left="284" w:firstLine="283"/>
        <w:jc w:val="both"/>
        <w:rPr>
          <w:rFonts w:asciiTheme="majorBidi" w:hAnsiTheme="majorBidi" w:cstheme="majorBidi"/>
        </w:rPr>
      </w:pPr>
      <w:r w:rsidRPr="00823B5C">
        <w:rPr>
          <w:rFonts w:asciiTheme="majorBidi" w:hAnsiTheme="majorBidi" w:cstheme="majorBidi"/>
        </w:rPr>
        <w:lastRenderedPageBreak/>
        <w:t xml:space="preserve">Saksi </w:t>
      </w:r>
      <w:r w:rsidRPr="00D22D4A">
        <w:rPr>
          <w:rFonts w:asciiTheme="majorBidi" w:hAnsiTheme="majorBidi" w:cstheme="majorBidi"/>
          <w:i/>
          <w:iCs/>
        </w:rPr>
        <w:t>kedua,</w:t>
      </w:r>
      <w:r w:rsidRPr="00823B5C">
        <w:rPr>
          <w:rFonts w:asciiTheme="majorBidi" w:hAnsiTheme="majorBidi" w:cstheme="majorBidi"/>
        </w:rPr>
        <w:t xml:space="preserve"> Rika Yuvita binti M. Yudin, lahir di Gelumpang Payung pada tanggal 5 Februari 1994, kini berusia 27 tahun. Ia beragama Islam, berkebangsaan Indonesia, dan berasal dari suku Gayo. Saat ini, Rika bekerja sebagai ibu rumah tangga dan menetap di Kampung Ulu Nuwih, Kecamatan Bebesen, Kabupaten Aceh Tengah. Dalam kapasitasnya sebagai saksi, Rika memberikan kesaksian di bawah sumpah, menyatakan bahwa terdakwa, berdasarkan pengetahuannya, telah melakukan tindakan pelecehan seksual terhadap beberapa anak</w:t>
      </w:r>
      <w:r>
        <w:rPr>
          <w:rFonts w:asciiTheme="majorBidi" w:hAnsiTheme="majorBidi" w:cstheme="majorBidi"/>
        </w:rPr>
        <w:t xml:space="preserve"> </w:t>
      </w:r>
      <w:r w:rsidR="008D372B" w:rsidRPr="00CB082F">
        <w:rPr>
          <w:rFonts w:asciiTheme="majorBidi" w:hAnsiTheme="majorBidi" w:cstheme="majorBidi"/>
        </w:rPr>
        <w:t>yaitu:</w:t>
      </w:r>
      <w:r w:rsidR="008D372B" w:rsidRPr="00CB082F">
        <w:rPr>
          <w:rStyle w:val="FootnoteReference"/>
          <w:rFonts w:asciiTheme="majorBidi" w:hAnsiTheme="majorBidi" w:cstheme="majorBidi"/>
        </w:rPr>
        <w:footnoteReference w:id="125"/>
      </w:r>
      <w:r w:rsidR="008D372B" w:rsidRPr="00CB082F">
        <w:rPr>
          <w:rFonts w:asciiTheme="majorBidi" w:hAnsiTheme="majorBidi" w:cstheme="majorBidi"/>
        </w:rPr>
        <w:t xml:space="preserve"> </w:t>
      </w:r>
    </w:p>
    <w:p w14:paraId="1944AB8D" w14:textId="4C9D2D15" w:rsidR="008D372B" w:rsidRPr="00CB082F" w:rsidRDefault="002015FB" w:rsidP="00086C9B">
      <w:pPr>
        <w:pStyle w:val="ListParagraph"/>
        <w:numPr>
          <w:ilvl w:val="0"/>
          <w:numId w:val="57"/>
        </w:numPr>
        <w:spacing w:line="276" w:lineRule="auto"/>
        <w:ind w:left="567" w:hanging="283"/>
        <w:jc w:val="both"/>
        <w:rPr>
          <w:rFonts w:asciiTheme="majorBidi" w:hAnsiTheme="majorBidi" w:cstheme="majorBidi"/>
        </w:rPr>
      </w:pPr>
      <w:r w:rsidRPr="00CB082F">
        <w:rPr>
          <w:rFonts w:asciiTheme="majorBidi" w:hAnsiTheme="majorBidi" w:cstheme="majorBidi"/>
        </w:rPr>
        <w:t>Hikmah,</w:t>
      </w:r>
      <w:r w:rsidR="008D372B" w:rsidRPr="00CB082F">
        <w:rPr>
          <w:rFonts w:asciiTheme="majorBidi" w:hAnsiTheme="majorBidi" w:cstheme="majorBidi"/>
        </w:rPr>
        <w:t xml:space="preserve"> 6 Tahun, Pelajar, Alamat Kp. Ulu Nuwih, Kec. Bebesen, Kab. Aceh Tengah, sebanyak 2 kali, </w:t>
      </w:r>
    </w:p>
    <w:p w14:paraId="7A75FC63" w14:textId="4E24B870" w:rsidR="008D372B" w:rsidRPr="00CB082F" w:rsidRDefault="00086C9B" w:rsidP="00086C9B">
      <w:pPr>
        <w:pStyle w:val="ListParagraph"/>
        <w:numPr>
          <w:ilvl w:val="0"/>
          <w:numId w:val="57"/>
        </w:numPr>
        <w:spacing w:line="276" w:lineRule="auto"/>
        <w:ind w:left="567" w:hanging="283"/>
        <w:jc w:val="both"/>
        <w:rPr>
          <w:rFonts w:asciiTheme="majorBidi" w:hAnsiTheme="majorBidi" w:cstheme="majorBidi"/>
        </w:rPr>
      </w:pPr>
      <w:r w:rsidRPr="00CB082F">
        <w:rPr>
          <w:rFonts w:asciiTheme="majorBidi" w:hAnsiTheme="majorBidi" w:cstheme="majorBidi"/>
        </w:rPr>
        <w:t>Xxx</w:t>
      </w:r>
      <w:r w:rsidR="008D372B" w:rsidRPr="00CB082F">
        <w:rPr>
          <w:rFonts w:asciiTheme="majorBidi" w:hAnsiTheme="majorBidi" w:cstheme="majorBidi"/>
        </w:rPr>
        <w:t xml:space="preserve">, 6 Tahun, Pelajar, Alamat Kp. Ulu Nuwih, Kec. Bebesen, Kab. Aceh Tengah, sebanyak 2 kali, </w:t>
      </w:r>
    </w:p>
    <w:p w14:paraId="1B605CB3" w14:textId="1CC51A60" w:rsidR="008D372B" w:rsidRPr="00CB082F" w:rsidRDefault="00086C9B" w:rsidP="00086C9B">
      <w:pPr>
        <w:pStyle w:val="ListParagraph"/>
        <w:numPr>
          <w:ilvl w:val="0"/>
          <w:numId w:val="57"/>
        </w:numPr>
        <w:spacing w:line="276" w:lineRule="auto"/>
        <w:ind w:left="567" w:hanging="283"/>
        <w:jc w:val="both"/>
        <w:rPr>
          <w:rFonts w:asciiTheme="majorBidi" w:hAnsiTheme="majorBidi" w:cstheme="majorBidi"/>
        </w:rPr>
      </w:pPr>
      <w:r w:rsidRPr="00CB082F">
        <w:rPr>
          <w:rFonts w:asciiTheme="majorBidi" w:hAnsiTheme="majorBidi" w:cstheme="majorBidi"/>
        </w:rPr>
        <w:t xml:space="preserve">Xxx, </w:t>
      </w:r>
      <w:r w:rsidR="008D372B" w:rsidRPr="00CB082F">
        <w:rPr>
          <w:rFonts w:asciiTheme="majorBidi" w:hAnsiTheme="majorBidi" w:cstheme="majorBidi"/>
        </w:rPr>
        <w:t xml:space="preserve">6 Tahun, Pelajar, Alamat Kp. Ulu Nuwih, Kec. Bebesen, Kab. Aceh Tengah, sebanyak 1 kali, </w:t>
      </w:r>
    </w:p>
    <w:p w14:paraId="5AD106E2" w14:textId="7EC90115" w:rsidR="008D372B" w:rsidRPr="00CB082F" w:rsidRDefault="00086C9B" w:rsidP="00086C9B">
      <w:pPr>
        <w:pStyle w:val="ListParagraph"/>
        <w:numPr>
          <w:ilvl w:val="0"/>
          <w:numId w:val="57"/>
        </w:numPr>
        <w:spacing w:line="276" w:lineRule="auto"/>
        <w:ind w:left="567" w:hanging="283"/>
        <w:jc w:val="both"/>
        <w:rPr>
          <w:rFonts w:asciiTheme="majorBidi" w:hAnsiTheme="majorBidi" w:cstheme="majorBidi"/>
        </w:rPr>
      </w:pPr>
      <w:r w:rsidRPr="00CB082F">
        <w:rPr>
          <w:rFonts w:asciiTheme="majorBidi" w:hAnsiTheme="majorBidi" w:cstheme="majorBidi"/>
        </w:rPr>
        <w:t>Xxx</w:t>
      </w:r>
      <w:r w:rsidR="008D372B" w:rsidRPr="00CB082F">
        <w:rPr>
          <w:rFonts w:asciiTheme="majorBidi" w:hAnsiTheme="majorBidi" w:cstheme="majorBidi"/>
        </w:rPr>
        <w:t xml:space="preserve">, 6 Tahun, Pelajar, Alamat Kp. Ulu Nuwih, Kec. Bebesen, Kab. Aceh Tengah, sebanyak 1 kali, </w:t>
      </w:r>
    </w:p>
    <w:p w14:paraId="2001ED5C" w14:textId="048A48FA" w:rsidR="008D372B" w:rsidRPr="00CB082F" w:rsidRDefault="00086C9B" w:rsidP="00086C9B">
      <w:pPr>
        <w:pStyle w:val="ListParagraph"/>
        <w:numPr>
          <w:ilvl w:val="0"/>
          <w:numId w:val="57"/>
        </w:numPr>
        <w:spacing w:line="276" w:lineRule="auto"/>
        <w:ind w:left="567" w:hanging="283"/>
        <w:jc w:val="both"/>
        <w:rPr>
          <w:rFonts w:asciiTheme="majorBidi" w:hAnsiTheme="majorBidi" w:cstheme="majorBidi"/>
        </w:rPr>
      </w:pPr>
      <w:r w:rsidRPr="00CB082F">
        <w:rPr>
          <w:rFonts w:asciiTheme="majorBidi" w:hAnsiTheme="majorBidi" w:cstheme="majorBidi"/>
        </w:rPr>
        <w:t>Xxx</w:t>
      </w:r>
      <w:r w:rsidR="008D372B" w:rsidRPr="00CB082F">
        <w:rPr>
          <w:rFonts w:asciiTheme="majorBidi" w:hAnsiTheme="majorBidi" w:cstheme="majorBidi"/>
        </w:rPr>
        <w:t xml:space="preserve">, 6 Tahun, Pelajar, Alamat Kp. Ulu Nuwih, Kec. Bebesen, Kab. Aceh Tengah, sebanyak 1 kali, </w:t>
      </w:r>
    </w:p>
    <w:p w14:paraId="04FBB36C" w14:textId="1963399E" w:rsidR="008D372B" w:rsidRPr="00CB082F" w:rsidRDefault="002015FB" w:rsidP="00086C9B">
      <w:pPr>
        <w:pStyle w:val="ListParagraph"/>
        <w:numPr>
          <w:ilvl w:val="0"/>
          <w:numId w:val="57"/>
        </w:numPr>
        <w:spacing w:line="276" w:lineRule="auto"/>
        <w:ind w:left="567" w:hanging="283"/>
        <w:jc w:val="both"/>
        <w:rPr>
          <w:rFonts w:asciiTheme="majorBidi" w:hAnsiTheme="majorBidi" w:cstheme="majorBidi"/>
        </w:rPr>
      </w:pPr>
      <w:r w:rsidRPr="00CB082F">
        <w:rPr>
          <w:rFonts w:asciiTheme="majorBidi" w:hAnsiTheme="majorBidi" w:cstheme="majorBidi"/>
        </w:rPr>
        <w:t xml:space="preserve">Aini Khimairah, </w:t>
      </w:r>
      <w:r w:rsidR="008D372B" w:rsidRPr="00CB082F">
        <w:rPr>
          <w:rFonts w:asciiTheme="majorBidi" w:hAnsiTheme="majorBidi" w:cstheme="majorBidi"/>
        </w:rPr>
        <w:t xml:space="preserve">6 Tahun, Pelajar, Alamat Kp. Ulu Nuwih, Kec. Bebesen, Kab. Aceh Tengah, sebanyak 2 kali, </w:t>
      </w:r>
    </w:p>
    <w:p w14:paraId="471EF746" w14:textId="4E3F6E0A" w:rsidR="008D372B" w:rsidRPr="00CB082F" w:rsidRDefault="00086C9B" w:rsidP="00086C9B">
      <w:pPr>
        <w:pStyle w:val="ListParagraph"/>
        <w:numPr>
          <w:ilvl w:val="0"/>
          <w:numId w:val="57"/>
        </w:numPr>
        <w:spacing w:line="276" w:lineRule="auto"/>
        <w:ind w:left="567" w:hanging="283"/>
        <w:jc w:val="both"/>
        <w:rPr>
          <w:rFonts w:asciiTheme="majorBidi" w:hAnsiTheme="majorBidi" w:cstheme="majorBidi"/>
        </w:rPr>
      </w:pPr>
      <w:r w:rsidRPr="00CB082F">
        <w:rPr>
          <w:rFonts w:asciiTheme="majorBidi" w:hAnsiTheme="majorBidi" w:cstheme="majorBidi"/>
        </w:rPr>
        <w:t>Xxx,</w:t>
      </w:r>
      <w:r w:rsidR="008D372B" w:rsidRPr="00CB082F">
        <w:rPr>
          <w:rFonts w:asciiTheme="majorBidi" w:hAnsiTheme="majorBidi" w:cstheme="majorBidi"/>
        </w:rPr>
        <w:t xml:space="preserve"> 6 Tahun, Pelajar, Alamat Kp. Ulu Nuwih, Kec. Bebesen, Kab. Aceh Tengah, sebanyak 1 kali. </w:t>
      </w:r>
    </w:p>
    <w:p w14:paraId="3E0FC84E" w14:textId="2FBC8313" w:rsidR="00234FF0" w:rsidRPr="00234FF0" w:rsidRDefault="00234FF0" w:rsidP="00086C9B">
      <w:pPr>
        <w:pStyle w:val="ListParagraph"/>
        <w:spacing w:line="276" w:lineRule="auto"/>
        <w:ind w:left="284" w:firstLine="283"/>
        <w:jc w:val="both"/>
        <w:rPr>
          <w:rFonts w:asciiTheme="majorBidi" w:hAnsiTheme="majorBidi" w:cstheme="majorBidi"/>
        </w:rPr>
      </w:pPr>
      <w:r w:rsidRPr="00234FF0">
        <w:rPr>
          <w:rFonts w:asciiTheme="majorBidi" w:hAnsiTheme="majorBidi" w:cstheme="majorBidi"/>
        </w:rPr>
        <w:t xml:space="preserve">Berdasarkan keterangan yang disampaikan oleh anak kandung saksi, Mufia Aqila, terdakwa telah melakukan tindakan pelecehan seksual terhadap tujuh wanita yang disebutkan sebelumnya. Kejadian pertama dilaporkan terjadi pada hari Rabu, sekitar bulan Desember 2022, sebelum ujian semester, tepatnya sekitar pukul 10.30 WIB, di dalam ruang </w:t>
      </w:r>
      <w:r w:rsidRPr="00234FF0">
        <w:rPr>
          <w:rFonts w:asciiTheme="majorBidi" w:hAnsiTheme="majorBidi" w:cstheme="majorBidi"/>
        </w:rPr>
        <w:lastRenderedPageBreak/>
        <w:t>kelas (Kelas IB) saat anak saksi beserta teman-temannya sedang menjalani proses pembelajaran di Sekolah MIN 10 Aceh Tengah. Selanjutnya, kejadian kedua terjadi pada hari Kamis, tanggal 5 Januari 2023, sekitar pukul 09.30 WIB, juga di dalam ruang kelas anak kandung saksi (Kelas I</w:t>
      </w:r>
      <w:r>
        <w:rPr>
          <w:rFonts w:asciiTheme="majorBidi" w:hAnsiTheme="majorBidi" w:cstheme="majorBidi"/>
        </w:rPr>
        <w:t xml:space="preserve"> </w:t>
      </w:r>
      <w:r w:rsidRPr="00234FF0">
        <w:rPr>
          <w:rFonts w:asciiTheme="majorBidi" w:hAnsiTheme="majorBidi" w:cstheme="majorBidi"/>
        </w:rPr>
        <w:t>B) saat mereka kembali belajar di Sekolah MIN 10 Aceh Tengah. Pada hari Kamis, tanggal 19 Januari 2023, sekitar pukul 14.00 WIB, teman dari anak kandung saksi yang bernama XXX dan Hikmah Ar datang berkunjung ke rumah saksi di Kampung Ulu Nuwih, Kecamatan Bebesen, Kabupaten Aceh Tengah. Dalam pertemuan tersebut, mereka bertemu dengan anak saksi bernama XXX dan menceritakan pengalaman yang mereka alami.</w:t>
      </w:r>
    </w:p>
    <w:p w14:paraId="643848FB" w14:textId="05AD40A7" w:rsidR="008D372B" w:rsidRDefault="00BA5718" w:rsidP="00E35317">
      <w:pPr>
        <w:pStyle w:val="ListParagraph"/>
        <w:spacing w:line="276" w:lineRule="auto"/>
        <w:ind w:left="284" w:firstLine="283"/>
        <w:jc w:val="both"/>
        <w:rPr>
          <w:rFonts w:asciiTheme="majorBidi" w:hAnsiTheme="majorBidi" w:cstheme="majorBidi"/>
        </w:rPr>
      </w:pPr>
      <w:r w:rsidRPr="00BA5718">
        <w:rPr>
          <w:rFonts w:asciiTheme="majorBidi" w:hAnsiTheme="majorBidi" w:cstheme="majorBidi"/>
        </w:rPr>
        <w:t xml:space="preserve">Saksi </w:t>
      </w:r>
      <w:r w:rsidRPr="00D22D4A">
        <w:rPr>
          <w:rFonts w:asciiTheme="majorBidi" w:hAnsiTheme="majorBidi" w:cstheme="majorBidi"/>
          <w:i/>
          <w:iCs/>
        </w:rPr>
        <w:t>ketiga</w:t>
      </w:r>
      <w:r w:rsidRPr="00BA5718">
        <w:rPr>
          <w:rFonts w:asciiTheme="majorBidi" w:hAnsiTheme="majorBidi" w:cstheme="majorBidi"/>
        </w:rPr>
        <w:t xml:space="preserve">, Kasyani binti Musiman, lahir di Ulu Nuwih pada tanggal 16 Juli 1987, kini berusia 35 tahun. Ia beragama Islam, berasal dari suku Jawa, berkebangsaan Indonesia, dan bekerja sebagai ibu rumah tangga. Saat ini, Kasyani tinggal di Kampung Ulu Nuwih, Kecamatan Bebesen, Kabupaten Aceh Tengah. Dalam kapasitasnya sebagai saksi, ia memberikan kesaksian di bawah sumpah. Menurut keterangan yang disampaikan oleh anak kandung saksi, Laila Aina, terdakwa diduga telah melakukan tindakan pelecehan seksual terhadap tujuh anak tersebut. Kejadian tersebut dilaporkan terjadi pada hari Rabu, sekitar bulan Desember 2022, sebelum ujian semester, sekitar pukul 10.30 WIB, di dalam ruang kelas (Kelas IB) saat anak-anak dan teman-temannya sedang belajar di Sekolah MIN 10 Aceh Tengah. Pada hari Kamis, tanggal 19 Januari 2023, sekitar pukul 14.00 WIB, orang tua XXX datang mengunjungi rumah saksi yang beralamat di Kampung Ulu Nuwih, Kecamatan Bebesen, Kabupaten Aceh Tengah. Dalam pertemuan tersebut, orang tua Laila Aina menyampaikan, "Kak, anakku (XXX) ada dipegang sama Pak Terdakwa kemaluannya, anak kakak (XXX) ada ke? Kata anakku ada." Menanggapi hal </w:t>
      </w:r>
      <w:r w:rsidRPr="00BA5718">
        <w:rPr>
          <w:rFonts w:asciiTheme="majorBidi" w:hAnsiTheme="majorBidi" w:cstheme="majorBidi"/>
        </w:rPr>
        <w:lastRenderedPageBreak/>
        <w:t>itu, saksi menjawab, "Gak tahu, saya tanya dulu sama Aqilla." Saksi kemudian langsung bertanya kepada XXX, "Aqilla, betulkah kamu ada dipegang Pak Terdakwa kemaluannya?" XXX menjawab, "Ada, ne, sekali cuma." XXX juga menambahkan, "Takut ne, kata bapak itu tidak boleh bilang-bilang sama Ine, sama Ama, sama Awan, nanti bapak kena tampar."</w:t>
      </w:r>
      <w:r w:rsidR="008D372B" w:rsidRPr="00CB082F">
        <w:rPr>
          <w:rStyle w:val="FootnoteReference"/>
          <w:rFonts w:asciiTheme="majorBidi" w:hAnsiTheme="majorBidi" w:cstheme="majorBidi"/>
        </w:rPr>
        <w:footnoteReference w:id="126"/>
      </w:r>
    </w:p>
    <w:p w14:paraId="5E54B0DB" w14:textId="5E6468FA" w:rsidR="008D372B" w:rsidRDefault="00BA5718" w:rsidP="00E35317">
      <w:pPr>
        <w:pStyle w:val="ListParagraph"/>
        <w:spacing w:line="276" w:lineRule="auto"/>
        <w:ind w:left="284" w:firstLine="283"/>
        <w:jc w:val="both"/>
        <w:rPr>
          <w:rFonts w:asciiTheme="majorBidi" w:hAnsiTheme="majorBidi" w:cstheme="majorBidi"/>
        </w:rPr>
      </w:pPr>
      <w:r w:rsidRPr="00BA5718">
        <w:rPr>
          <w:rFonts w:asciiTheme="majorBidi" w:hAnsiTheme="majorBidi" w:cstheme="majorBidi"/>
        </w:rPr>
        <w:t xml:space="preserve">Saksi </w:t>
      </w:r>
      <w:r w:rsidRPr="00D22D4A">
        <w:rPr>
          <w:rFonts w:asciiTheme="majorBidi" w:hAnsiTheme="majorBidi" w:cstheme="majorBidi"/>
          <w:i/>
          <w:iCs/>
        </w:rPr>
        <w:t>keempat,</w:t>
      </w:r>
      <w:r w:rsidRPr="00BA5718">
        <w:rPr>
          <w:rFonts w:asciiTheme="majorBidi" w:hAnsiTheme="majorBidi" w:cstheme="majorBidi"/>
        </w:rPr>
        <w:t xml:space="preserve"> Itawari binti Munawar, adalah seorang ibu rumah tangga yang lahir di Lelabu pada tanggal 14 Oktober 1990. Dalam kesaksiannya, Itawari menyampaikan keterangan berdasarkan pengakuan anaknya, Laila Aina, yang menyatakan bahwa terdakwa telah melakukan tindakan pelecehan seksual terhadapnya. Kejadian pertama dilaporkan terjadi pada hari Rabu, sekitar bulan Desember 2022, sebelum ujian semester, sekitar pukul 10.30 WIB, di dalam ruang kelas (Kelas IIA) saat anak saksi dan teman-temannya sedang belajar di Sekolah MIN 10 Aceh Tengah. Kejadian kedua berlangsung pada hari Kamis, tanggal 5 Januari 2023, sekitar pukul 09.30 WIB, di dalam ruang kelas anak kandung saksi (Kelas IIA) ketika mereka kembali belajar di Sekolah MIN 10 Aceh Tengah. Pada hari Kamis, tanggal 19 Januari 2023, sekitar pukul 16.00 WIB, saat saksi keluar dari rumah untuk pergi ke warung, ia melihat sekelompok orang tua teman anaknya yang sedang berkumpul dengan ramai. Saksi pun bertanya, "Ada apa ini ngumpul ramai-ramai?" Salah seorang orang tua menjawab, "Pak Terdakwa, guru anak-anak ini, ada yang dipegang-pegang kemaluannya. Anakmu ada ke?" Mendengar hal itu, saksi menjawab, "Nanti saya tanya dulu." Pada hari tersebut, saksi belum sempat bertanya kepada anaknya. Barulah keesokan harinya, yaitu pada hari Jumat, tanggal 20 Januari 2023, sekitar pukul 06.30 WIB, </w:t>
      </w:r>
      <w:r w:rsidRPr="00BA5718">
        <w:rPr>
          <w:rFonts w:asciiTheme="majorBidi" w:hAnsiTheme="majorBidi" w:cstheme="majorBidi"/>
        </w:rPr>
        <w:lastRenderedPageBreak/>
        <w:t>saksi menanyakan kepada anaknya yang bernama XXX, "Nak, kamu ada dipegang Pak Terdakwa?" XXX menjawab, "Ada, ne, anakku ini dipegangnya," sambil mempraktekkan cara terdakwa memegang kemaluannya dengan menempelkan tangan ke kemaluannya. Saksi kemudian bertanya, "Berapa kali, nak?" XXX menjawab, "Dua kali, ne." Saksi melanjutkan, "Di mana, nak?" XXX menjelaskan, "Di kelas, Mak, pas lagi belajar, dia memanggilku ke depan, lalu dia menulis sambil memegang kemaluanku, tangannya ditempelkan di atas kemaluanku dari luar rok." Saksi bertanya lagi, "Lama, ke, nak?" XXX menjawab, "Gak lama, tapi ada dipegangnya, ne, ditempelkan tangannya itu." Saksi merasa prihatin dan bertanya, "Kenapa tidak bilang sama Ibu?" XXX menjawab, "Takut, aku, ne."</w:t>
      </w:r>
      <w:r w:rsidR="008D372B" w:rsidRPr="00CB082F">
        <w:rPr>
          <w:rStyle w:val="FootnoteReference"/>
          <w:rFonts w:asciiTheme="majorBidi" w:hAnsiTheme="majorBidi" w:cstheme="majorBidi"/>
        </w:rPr>
        <w:footnoteReference w:id="127"/>
      </w:r>
    </w:p>
    <w:p w14:paraId="72119C12" w14:textId="39373BA9" w:rsidR="008D372B" w:rsidRDefault="00BA5718" w:rsidP="00E35317">
      <w:pPr>
        <w:pStyle w:val="ListParagraph"/>
        <w:spacing w:line="276" w:lineRule="auto"/>
        <w:ind w:left="284" w:firstLine="283"/>
        <w:jc w:val="both"/>
        <w:rPr>
          <w:rFonts w:asciiTheme="majorBidi" w:hAnsiTheme="majorBidi" w:cstheme="majorBidi"/>
        </w:rPr>
      </w:pPr>
      <w:r w:rsidRPr="00BA5718">
        <w:rPr>
          <w:rFonts w:asciiTheme="majorBidi" w:hAnsiTheme="majorBidi" w:cstheme="majorBidi"/>
        </w:rPr>
        <w:t xml:space="preserve">Saksi </w:t>
      </w:r>
      <w:r w:rsidRPr="00D22D4A">
        <w:rPr>
          <w:rFonts w:asciiTheme="majorBidi" w:hAnsiTheme="majorBidi" w:cstheme="majorBidi"/>
          <w:i/>
          <w:iCs/>
        </w:rPr>
        <w:t>kelima,</w:t>
      </w:r>
      <w:r>
        <w:rPr>
          <w:rFonts w:asciiTheme="majorBidi" w:hAnsiTheme="majorBidi" w:cstheme="majorBidi"/>
        </w:rPr>
        <w:t xml:space="preserve"> </w:t>
      </w:r>
      <w:r w:rsidRPr="00BA5718">
        <w:rPr>
          <w:rFonts w:asciiTheme="majorBidi" w:hAnsiTheme="majorBidi" w:cstheme="majorBidi"/>
        </w:rPr>
        <w:t xml:space="preserve">Husna Malina binti Ribut adalah seorang ibu berusia 30 tahun yang lahir di Lelabu pada tanggal 1 Februari 1992. Dalam kesaksiannya yang disampaikan di bawah sumpah, Husna Malina mengungkapkan keterangan terkait kasus pelecehan seksual yang diduga dilakukan oleh terdakwa terhadap anaknya. Berdasarkan informasi yang diperoleh dari anaknya yang tidak disebutkan namanya, Husna Malina menjelaskan bahwa kejadian tersebut terjadi pada hari Rabu, sekitar bulan Desember 2022, sebelum ujian semester, sekitar pukul 10.30 WIB, di dalam ruang kelas (Kelas IB) di Sekolah MIN 10 Aceh Tengah. Pada hari Kamis, tanggal 19 Januari 2023, sekitar pukul 13.30 WIB, Ramlah, ibu dari Hikmah AR, mengunjungi rumah Husna Malina yang terletak di Kampung Ulu Nuwih, Kecamatan Bebesen, Kabupaten Aceh Tengah. Ramlah datang untuk memberitahukan bahwa Athifa telah mengungkapkan bahwa anaknya juga mengalami insiden di </w:t>
      </w:r>
      <w:r w:rsidRPr="00BA5718">
        <w:rPr>
          <w:rFonts w:asciiTheme="majorBidi" w:hAnsiTheme="majorBidi" w:cstheme="majorBidi"/>
        </w:rPr>
        <w:lastRenderedPageBreak/>
        <w:t>mana ia dipegang oleh terdakwa di bagian kemaluannya. Mendapatkan informasi tersebut, Husna Malina berusaha untuk mengonfirmasi kejadian itu kepada anaknya. Namun, anaknya tidak memberikan informasi yang jelas terkait insiden tersebut. Dengan saran dari Ramlah, Husna Malina memutuskan untuk menanyakan kepada teman-teman anaknya guna mendapatkan keterangan yang lebih jelas mengenai peristiwa yang terjadi</w:t>
      </w:r>
      <w:r w:rsidR="008D372B" w:rsidRPr="00ED661E">
        <w:rPr>
          <w:rFonts w:asciiTheme="majorBidi" w:hAnsiTheme="majorBidi" w:cstheme="majorBidi"/>
        </w:rPr>
        <w:t>.</w:t>
      </w:r>
      <w:r w:rsidR="008D372B" w:rsidRPr="00CB082F">
        <w:rPr>
          <w:rStyle w:val="FootnoteReference"/>
          <w:rFonts w:asciiTheme="majorBidi" w:hAnsiTheme="majorBidi" w:cstheme="majorBidi"/>
        </w:rPr>
        <w:footnoteReference w:id="128"/>
      </w:r>
    </w:p>
    <w:p w14:paraId="289D4890" w14:textId="30D7E83B" w:rsidR="008D372B" w:rsidRPr="00ED661E" w:rsidRDefault="00BA5718" w:rsidP="00E35317">
      <w:pPr>
        <w:pStyle w:val="ListParagraph"/>
        <w:spacing w:line="276" w:lineRule="auto"/>
        <w:ind w:left="284" w:firstLine="283"/>
        <w:jc w:val="both"/>
        <w:rPr>
          <w:rFonts w:asciiTheme="majorBidi" w:hAnsiTheme="majorBidi" w:cstheme="majorBidi"/>
        </w:rPr>
      </w:pPr>
      <w:r w:rsidRPr="00BA5718">
        <w:rPr>
          <w:rFonts w:asciiTheme="majorBidi" w:hAnsiTheme="majorBidi" w:cstheme="majorBidi"/>
        </w:rPr>
        <w:t xml:space="preserve">Saksi </w:t>
      </w:r>
      <w:r w:rsidRPr="00D22D4A">
        <w:rPr>
          <w:rFonts w:asciiTheme="majorBidi" w:hAnsiTheme="majorBidi" w:cstheme="majorBidi"/>
          <w:i/>
          <w:iCs/>
        </w:rPr>
        <w:t>keenam</w:t>
      </w:r>
      <w:r w:rsidRPr="00BA5718">
        <w:rPr>
          <w:rFonts w:asciiTheme="majorBidi" w:hAnsiTheme="majorBidi" w:cstheme="majorBidi"/>
        </w:rPr>
        <w:t>, Mawaddah binti Ibrahim Husin, adalah seorang wanita berusia 34 tahun yang lahir di Aceh Tengah pada tanggal 6 Februari 1989. Dalam kesaksiannya yang disampaikan di bawah sumpah, Mawaddah mengungkapkan informasi yang diterimanya dari anaknya, Mufia Aqila, mengenai kasus pelecehan seksual yang diduga dilakukan oleh terdakwa terhadap tujuh anak pada hari Kamis, tanggal 19 Januari 2023, sekitar pukul 14.00 WIB. Ketika Ramlah, ibu dari Hi</w:t>
      </w:r>
      <w:r w:rsidR="006730EC">
        <w:rPr>
          <w:rFonts w:asciiTheme="majorBidi" w:hAnsiTheme="majorBidi" w:cstheme="majorBidi"/>
        </w:rPr>
        <w:t>k</w:t>
      </w:r>
      <w:r w:rsidRPr="00BA5718">
        <w:rPr>
          <w:rFonts w:asciiTheme="majorBidi" w:hAnsiTheme="majorBidi" w:cstheme="majorBidi"/>
        </w:rPr>
        <w:t>mah AR, menghubungi Mawaddah melalui telepon seluler dan menanyakan apakah Aqilah pernah dipegang kemaluannya oleh terdakwa, Mawaddah awalnya tidak mengetahui adanya kejadian tersebut. Namun, setelah berbicara langsung dengan Aqilah, Mawaddah mendapatkan konfirmasi bahwa Aqilah memang pernah mengalami insiden yang dimaksud. Aqilah menjelaskan bahwa terdakwa membuka rok yang dikenakannya dan kemudian memegang kemaluannya dari luar celana legging yang dipakai. Aqilah juga menyatakan bahwa kejadian tersebut hanya terjadi sekali. Meskipun demikian, Mawaddah tidak memiliki informasi mengenai apakah terdakwa memberikan janji-janji atau imbalan berupa uang atau barang kepada ketujuh anak yang menjadi korban pelecehan seksual tersebut.</w:t>
      </w:r>
      <w:r w:rsidR="008D372B" w:rsidRPr="00CB082F">
        <w:rPr>
          <w:rStyle w:val="FootnoteReference"/>
          <w:rFonts w:asciiTheme="majorBidi" w:hAnsiTheme="majorBidi" w:cstheme="majorBidi"/>
        </w:rPr>
        <w:footnoteReference w:id="129"/>
      </w:r>
    </w:p>
    <w:p w14:paraId="34F5970D" w14:textId="77777777" w:rsidR="008D372B" w:rsidRPr="00476137" w:rsidRDefault="008D372B" w:rsidP="00E35317">
      <w:pPr>
        <w:pStyle w:val="Heading2"/>
        <w:numPr>
          <w:ilvl w:val="0"/>
          <w:numId w:val="102"/>
        </w:numPr>
        <w:spacing w:line="276" w:lineRule="auto"/>
        <w:ind w:left="284" w:hanging="284"/>
      </w:pPr>
      <w:bookmarkStart w:id="32" w:name="_Toc185961348"/>
      <w:r w:rsidRPr="00476137">
        <w:lastRenderedPageBreak/>
        <w:t>Fakta</w:t>
      </w:r>
      <w:bookmarkEnd w:id="27"/>
      <w:r>
        <w:t xml:space="preserve"> </w:t>
      </w:r>
      <w:r w:rsidRPr="00476137">
        <w:t>Persidangan dalam Putusan Mahkamah Syariah Takengon Nomor 9/Jn/2023/Ms.Tkn</w:t>
      </w:r>
      <w:bookmarkEnd w:id="32"/>
    </w:p>
    <w:p w14:paraId="4CB0A64A" w14:textId="32C0FFBE" w:rsidR="008D372B" w:rsidRPr="00CB082F" w:rsidRDefault="008D372B" w:rsidP="00E35317">
      <w:pPr>
        <w:pStyle w:val="ListParagraph"/>
        <w:spacing w:line="276" w:lineRule="auto"/>
        <w:ind w:left="284" w:firstLine="283"/>
        <w:jc w:val="both"/>
        <w:rPr>
          <w:rFonts w:asciiTheme="majorBidi" w:hAnsiTheme="majorBidi" w:cstheme="majorBidi"/>
          <w:lang w:val="en-US"/>
        </w:rPr>
      </w:pPr>
      <w:r w:rsidRPr="00CB082F">
        <w:rPr>
          <w:rFonts w:asciiTheme="majorBidi" w:hAnsiTheme="majorBidi" w:cstheme="majorBidi"/>
          <w:lang w:val="en-US"/>
        </w:rPr>
        <w:t xml:space="preserve">Dalam </w:t>
      </w:r>
      <w:r w:rsidR="008441B8">
        <w:rPr>
          <w:rFonts w:asciiTheme="majorBidi" w:hAnsiTheme="majorBidi" w:cstheme="majorBidi"/>
          <w:lang w:val="en-US"/>
        </w:rPr>
        <w:t>P</w:t>
      </w:r>
      <w:r w:rsidRPr="00CB082F">
        <w:rPr>
          <w:rFonts w:asciiTheme="majorBidi" w:hAnsiTheme="majorBidi" w:cstheme="majorBidi"/>
          <w:lang w:val="en-US"/>
        </w:rPr>
        <w:t>utusan Mahkamah Syariah Takengon Nomor 9/JN/2023/MS.Tkn, terdapat beberapa fakta yang dapat diuraikan sebagai berikut:</w:t>
      </w:r>
    </w:p>
    <w:p w14:paraId="2FE8332F" w14:textId="523AB7EE" w:rsidR="008D372B" w:rsidRPr="00CB082F" w:rsidRDefault="008D372B" w:rsidP="00E35317">
      <w:pPr>
        <w:pStyle w:val="ListParagraph"/>
        <w:numPr>
          <w:ilvl w:val="0"/>
          <w:numId w:val="59"/>
        </w:numPr>
        <w:spacing w:line="276" w:lineRule="auto"/>
        <w:ind w:left="567" w:hanging="283"/>
        <w:jc w:val="both"/>
        <w:rPr>
          <w:rFonts w:asciiTheme="majorBidi" w:hAnsiTheme="majorBidi" w:cstheme="majorBidi"/>
          <w:lang w:val="en-US"/>
        </w:rPr>
      </w:pPr>
      <w:r w:rsidRPr="00CB082F">
        <w:rPr>
          <w:rFonts w:asciiTheme="majorBidi" w:hAnsiTheme="majorBidi" w:cstheme="majorBidi"/>
          <w:lang w:val="en-US"/>
        </w:rPr>
        <w:t>Terdakwa melakukan pelecehan seksual terhadap anak-anak pada hari Rabu, sekitar bulan Desember 2022 sebelum ujian semester, sekitar pukul 10.30 WIB di dalam ruang kelas (Kelas I</w:t>
      </w:r>
      <w:r w:rsidR="006F6E1B">
        <w:rPr>
          <w:rFonts w:asciiTheme="majorBidi" w:hAnsiTheme="majorBidi" w:cstheme="majorBidi"/>
          <w:lang w:val="en-US"/>
        </w:rPr>
        <w:t xml:space="preserve"> </w:t>
      </w:r>
      <w:r w:rsidRPr="00CB082F">
        <w:rPr>
          <w:rFonts w:asciiTheme="majorBidi" w:hAnsiTheme="majorBidi" w:cstheme="majorBidi"/>
          <w:lang w:val="en-US"/>
        </w:rPr>
        <w:t xml:space="preserve">B) Sekolah MIN 10 Aceh Tengah. Hal ini terungkap dari kesaksian anak kandung saksi yang menyebutkan bahwa Terdakwa melakukan tindakan tersebut saat anak-anak sedang belajar. </w:t>
      </w:r>
    </w:p>
    <w:p w14:paraId="7A0064CB" w14:textId="032CA27D" w:rsidR="008D372B" w:rsidRPr="00CB082F" w:rsidRDefault="008D372B" w:rsidP="00E35317">
      <w:pPr>
        <w:pStyle w:val="ListParagraph"/>
        <w:numPr>
          <w:ilvl w:val="0"/>
          <w:numId w:val="59"/>
        </w:numPr>
        <w:spacing w:line="276" w:lineRule="auto"/>
        <w:ind w:left="567" w:hanging="283"/>
        <w:jc w:val="both"/>
        <w:rPr>
          <w:rFonts w:asciiTheme="majorBidi" w:hAnsiTheme="majorBidi" w:cstheme="majorBidi"/>
          <w:lang w:val="en-US"/>
        </w:rPr>
      </w:pPr>
      <w:r w:rsidRPr="00CB082F">
        <w:rPr>
          <w:rFonts w:asciiTheme="majorBidi" w:hAnsiTheme="majorBidi" w:cstheme="majorBidi"/>
          <w:lang w:val="en-US"/>
        </w:rPr>
        <w:t xml:space="preserve">Pada hari Kamis tanggal 19 Januari 2023, orang tua korban datang ke rumah </w:t>
      </w:r>
      <w:r w:rsidR="00A74FFF">
        <w:rPr>
          <w:rFonts w:asciiTheme="majorBidi" w:hAnsiTheme="majorBidi" w:cstheme="majorBidi"/>
          <w:lang w:val="en-US"/>
        </w:rPr>
        <w:t>orangtua korban lain</w:t>
      </w:r>
      <w:r w:rsidRPr="00CB082F">
        <w:rPr>
          <w:rFonts w:asciiTheme="majorBidi" w:hAnsiTheme="majorBidi" w:cstheme="majorBidi"/>
          <w:lang w:val="en-US"/>
        </w:rPr>
        <w:t xml:space="preserve"> untuk melaporkan bahwa anak-anak telah menjadi korban pelecehan seksual oleh Terdakwa. </w:t>
      </w:r>
      <w:r w:rsidR="00A74FFF">
        <w:rPr>
          <w:rFonts w:asciiTheme="majorBidi" w:hAnsiTheme="majorBidi" w:cstheme="majorBidi"/>
          <w:lang w:val="en-US"/>
        </w:rPr>
        <w:t>Kem</w:t>
      </w:r>
      <w:r w:rsidR="006730EC">
        <w:rPr>
          <w:rFonts w:asciiTheme="majorBidi" w:hAnsiTheme="majorBidi" w:cstheme="majorBidi"/>
          <w:lang w:val="en-US"/>
        </w:rPr>
        <w:t>u</w:t>
      </w:r>
      <w:r w:rsidR="00A74FFF">
        <w:rPr>
          <w:rFonts w:asciiTheme="majorBidi" w:hAnsiTheme="majorBidi" w:cstheme="majorBidi"/>
          <w:lang w:val="en-US"/>
        </w:rPr>
        <w:t>dian orang tua korban</w:t>
      </w:r>
      <w:r w:rsidRPr="00CB082F">
        <w:rPr>
          <w:rFonts w:asciiTheme="majorBidi" w:hAnsiTheme="majorBidi" w:cstheme="majorBidi"/>
          <w:lang w:val="en-US"/>
        </w:rPr>
        <w:t xml:space="preserve"> memberikan informasi mengenai kejadian yang dialami anak-anak, termasuk pernyataan bahwa anak-anak telah dipegang </w:t>
      </w:r>
      <w:r w:rsidR="00A74FFF">
        <w:rPr>
          <w:rFonts w:asciiTheme="majorBidi" w:hAnsiTheme="majorBidi" w:cstheme="majorBidi"/>
          <w:lang w:val="en-US"/>
        </w:rPr>
        <w:t>kemalua</w:t>
      </w:r>
      <w:r w:rsidR="00822145">
        <w:rPr>
          <w:rFonts w:asciiTheme="majorBidi" w:hAnsiTheme="majorBidi" w:cstheme="majorBidi"/>
          <w:lang w:val="en-US"/>
        </w:rPr>
        <w:t>n</w:t>
      </w:r>
      <w:r w:rsidR="00A74FFF">
        <w:rPr>
          <w:rFonts w:asciiTheme="majorBidi" w:hAnsiTheme="majorBidi" w:cstheme="majorBidi"/>
          <w:lang w:val="en-US"/>
        </w:rPr>
        <w:t xml:space="preserve">nya </w:t>
      </w:r>
      <w:r w:rsidRPr="00CB082F">
        <w:rPr>
          <w:rFonts w:asciiTheme="majorBidi" w:hAnsiTheme="majorBidi" w:cstheme="majorBidi"/>
          <w:lang w:val="en-US"/>
        </w:rPr>
        <w:t xml:space="preserve">oleh Terdakwa. </w:t>
      </w:r>
    </w:p>
    <w:p w14:paraId="7C27ADF6" w14:textId="0E5168D3" w:rsidR="008D372B" w:rsidRPr="00CB082F" w:rsidRDefault="008D372B" w:rsidP="00E35317">
      <w:pPr>
        <w:pStyle w:val="ListParagraph"/>
        <w:numPr>
          <w:ilvl w:val="0"/>
          <w:numId w:val="59"/>
        </w:numPr>
        <w:spacing w:line="276" w:lineRule="auto"/>
        <w:ind w:left="567" w:hanging="283"/>
        <w:jc w:val="both"/>
        <w:rPr>
          <w:rFonts w:asciiTheme="majorBidi" w:hAnsiTheme="majorBidi" w:cstheme="majorBidi"/>
          <w:lang w:val="en-US"/>
        </w:rPr>
      </w:pPr>
      <w:r w:rsidRPr="00CB082F">
        <w:rPr>
          <w:rFonts w:asciiTheme="majorBidi" w:hAnsiTheme="majorBidi" w:cstheme="majorBidi"/>
          <w:lang w:val="en-US"/>
        </w:rPr>
        <w:t xml:space="preserve">Anak-anak korban memberikan kesaksian secara detail mengenai peristiwa pelecehan seksual yang dialami. </w:t>
      </w:r>
      <w:r w:rsidR="00A74FFF">
        <w:rPr>
          <w:rFonts w:asciiTheme="majorBidi" w:hAnsiTheme="majorBidi" w:cstheme="majorBidi"/>
          <w:lang w:val="en-US"/>
        </w:rPr>
        <w:t xml:space="preserve">Anak korban </w:t>
      </w:r>
      <w:r w:rsidRPr="00CB082F">
        <w:rPr>
          <w:rFonts w:asciiTheme="majorBidi" w:hAnsiTheme="majorBidi" w:cstheme="majorBidi"/>
          <w:lang w:val="en-US"/>
        </w:rPr>
        <w:t xml:space="preserve"> menyebutkan bahwa Terdakwa melakukan tindakan tersebut terhadap mereka, yang menyebabkan rasa takut, cemas, dan stres. </w:t>
      </w:r>
      <w:r w:rsidR="00B13E4F" w:rsidRPr="00CB082F">
        <w:rPr>
          <w:rFonts w:asciiTheme="majorBidi" w:hAnsiTheme="majorBidi" w:cstheme="majorBidi"/>
          <w:lang w:val="en-US"/>
        </w:rPr>
        <w:t>K</w:t>
      </w:r>
      <w:r w:rsidRPr="00CB082F">
        <w:rPr>
          <w:rFonts w:asciiTheme="majorBidi" w:hAnsiTheme="majorBidi" w:cstheme="majorBidi"/>
          <w:lang w:val="en-US"/>
        </w:rPr>
        <w:t xml:space="preserve">eterangan dari saksi anak korban yang berusia 6 tahun, yang menyatakan bahwa </w:t>
      </w:r>
      <w:r w:rsidR="00B13E4F">
        <w:rPr>
          <w:rFonts w:asciiTheme="majorBidi" w:hAnsiTheme="majorBidi" w:cstheme="majorBidi"/>
          <w:lang w:val="en-US"/>
        </w:rPr>
        <w:t>T</w:t>
      </w:r>
      <w:r w:rsidRPr="00CB082F">
        <w:rPr>
          <w:rFonts w:asciiTheme="majorBidi" w:hAnsiTheme="majorBidi" w:cstheme="majorBidi"/>
          <w:lang w:val="en-US"/>
        </w:rPr>
        <w:t>erdakwa melakukan pelecehan seksual dengan cara memegang kemaluan korban. Saksi</w:t>
      </w:r>
      <w:r w:rsidR="00B13E4F">
        <w:rPr>
          <w:rFonts w:asciiTheme="majorBidi" w:hAnsiTheme="majorBidi" w:cstheme="majorBidi"/>
          <w:lang w:val="en-US"/>
        </w:rPr>
        <w:t xml:space="preserve"> anak kemudian</w:t>
      </w:r>
      <w:r w:rsidRPr="00CB082F">
        <w:rPr>
          <w:rFonts w:asciiTheme="majorBidi" w:hAnsiTheme="majorBidi" w:cstheme="majorBidi"/>
          <w:lang w:val="en-US"/>
        </w:rPr>
        <w:t xml:space="preserve"> memberikan kesaksian di hadapan ibu kandungnya, dan meskipun masih sangat muda, kesaksiannya menjadi bagian penting dari bukti yang diajukan di persidangan.</w:t>
      </w:r>
    </w:p>
    <w:p w14:paraId="1949BE11" w14:textId="27BA5186" w:rsidR="008D372B" w:rsidRPr="00CB082F" w:rsidRDefault="008D372B" w:rsidP="00E35317">
      <w:pPr>
        <w:pStyle w:val="ListParagraph"/>
        <w:numPr>
          <w:ilvl w:val="0"/>
          <w:numId w:val="59"/>
        </w:numPr>
        <w:spacing w:line="276" w:lineRule="auto"/>
        <w:ind w:left="567" w:hanging="283"/>
        <w:jc w:val="both"/>
        <w:rPr>
          <w:rFonts w:asciiTheme="majorBidi" w:hAnsiTheme="majorBidi" w:cstheme="majorBidi"/>
          <w:lang w:val="en-US"/>
        </w:rPr>
      </w:pPr>
      <w:r w:rsidRPr="00CB082F">
        <w:rPr>
          <w:rFonts w:asciiTheme="majorBidi" w:hAnsiTheme="majorBidi" w:cstheme="majorBidi"/>
          <w:lang w:val="en-US"/>
        </w:rPr>
        <w:lastRenderedPageBreak/>
        <w:t>Kesaksian dari saksi-saksi</w:t>
      </w:r>
      <w:r w:rsidR="00B13E4F">
        <w:rPr>
          <w:rFonts w:asciiTheme="majorBidi" w:hAnsiTheme="majorBidi" w:cstheme="majorBidi"/>
          <w:lang w:val="en-US"/>
        </w:rPr>
        <w:t xml:space="preserve"> lain</w:t>
      </w:r>
      <w:r w:rsidRPr="00CB082F">
        <w:rPr>
          <w:rFonts w:asciiTheme="majorBidi" w:hAnsiTheme="majorBidi" w:cstheme="majorBidi"/>
          <w:lang w:val="en-US"/>
        </w:rPr>
        <w:t xml:space="preserve">, termasuk ibu Kasyani binti Musiman, juga turut menguatkan bukti-bukti yang menunjukkan bahwa </w:t>
      </w:r>
      <w:r w:rsidR="008441B8">
        <w:rPr>
          <w:rFonts w:asciiTheme="majorBidi" w:hAnsiTheme="majorBidi" w:cstheme="majorBidi"/>
          <w:lang w:val="en-US"/>
        </w:rPr>
        <w:t>T</w:t>
      </w:r>
      <w:r w:rsidRPr="00CB082F">
        <w:rPr>
          <w:rFonts w:asciiTheme="majorBidi" w:hAnsiTheme="majorBidi" w:cstheme="majorBidi"/>
          <w:lang w:val="en-US"/>
        </w:rPr>
        <w:t xml:space="preserve">erdakwa melakukan tindak pidana pelecehan seksual. Ibu Kasyani menjelaskan bahwa anaknya, yang merupakan salah satu dari ketujuh anak yang menjadi korban, dan melaporkan bahwa Terdakwa melakukan pelecehan seksual di dalam kelas saat mereka sedang belajar diruang kelas. </w:t>
      </w:r>
    </w:p>
    <w:p w14:paraId="3D0D43DB" w14:textId="62624D6B" w:rsidR="008D372B" w:rsidRPr="00CB082F" w:rsidRDefault="008D372B" w:rsidP="00E35317">
      <w:pPr>
        <w:pStyle w:val="ListParagraph"/>
        <w:numPr>
          <w:ilvl w:val="0"/>
          <w:numId w:val="59"/>
        </w:numPr>
        <w:spacing w:line="276" w:lineRule="auto"/>
        <w:ind w:left="567" w:hanging="283"/>
        <w:jc w:val="both"/>
        <w:rPr>
          <w:rFonts w:asciiTheme="majorBidi" w:hAnsiTheme="majorBidi" w:cstheme="majorBidi"/>
          <w:lang w:val="en-US"/>
        </w:rPr>
      </w:pPr>
      <w:r w:rsidRPr="00CB082F">
        <w:rPr>
          <w:rFonts w:asciiTheme="majorBidi" w:hAnsiTheme="majorBidi" w:cstheme="majorBidi"/>
          <w:lang w:val="en-US"/>
        </w:rPr>
        <w:t>Selain dari keterangan orang tua, penguatan putusan hakim juga didukung dengan keterangan saksi ahli yang mana dalam putusan itu dijelaskan bahwa terdapat keterangan dari saksi ahli, Maghfiratul Septi Utami</w:t>
      </w:r>
      <w:r w:rsidR="00ED7DAC">
        <w:rPr>
          <w:rFonts w:asciiTheme="majorBidi" w:hAnsiTheme="majorBidi" w:cstheme="majorBidi"/>
          <w:lang w:val="en-US"/>
        </w:rPr>
        <w:t>, seorang ahli Psikologis</w:t>
      </w:r>
      <w:r w:rsidRPr="00CB082F">
        <w:rPr>
          <w:rFonts w:asciiTheme="majorBidi" w:hAnsiTheme="majorBidi" w:cstheme="majorBidi"/>
          <w:lang w:val="en-US"/>
        </w:rPr>
        <w:t xml:space="preserve"> menjelaskan dampak psikologis yang dialami oleh korban. Saksi ahli ini menekankan bahwa anak-anak yang menjadi korban pelecehan seksual tidak dapat dianggap melakukan tindakan tersebut dengan kerelaan, karena mereka masih dalam tahap perkembangan dan dapat terpengaruh oleh tekanan atau bujukan. Keterangan ini memberikan konteks tambahan mengenai kondisi mental anak-anak.</w:t>
      </w:r>
    </w:p>
    <w:p w14:paraId="40F0EC72" w14:textId="77777777" w:rsidR="008D372B" w:rsidRPr="0013341F" w:rsidRDefault="008D372B" w:rsidP="00E35317">
      <w:pPr>
        <w:pStyle w:val="ListParagraph"/>
        <w:numPr>
          <w:ilvl w:val="0"/>
          <w:numId w:val="59"/>
        </w:numPr>
        <w:spacing w:line="276" w:lineRule="auto"/>
        <w:ind w:left="567" w:hanging="283"/>
        <w:jc w:val="both"/>
        <w:rPr>
          <w:rFonts w:asciiTheme="majorBidi" w:hAnsiTheme="majorBidi" w:cstheme="majorBidi"/>
          <w:lang w:val="en-US"/>
        </w:rPr>
      </w:pPr>
      <w:r w:rsidRPr="00CB082F">
        <w:rPr>
          <w:rFonts w:asciiTheme="majorBidi" w:hAnsiTheme="majorBidi" w:cstheme="majorBidi"/>
          <w:lang w:val="en-US"/>
        </w:rPr>
        <w:t>Berdasarkan bukti-bukti dan kesaksian yang ada, Mahkamah Syariah Takengon menyatakan bahwa Terdakwa terbukti secara sah dan meyakinkan bersalah melakukan tindak pidana pelecehan seksual terhadap anak-anak. Sebagai akibatnya, Terdakwa dihukum dengan 'Uqubat penjara selama 72 bulan, dengan perintah untuk tetap berada dalam tahanan. Selain itu, barang bukti yang terkait dengan kasus ini juga disebutkan dalam putusan untuk kemudian dikembalikan kepada korban.</w:t>
      </w:r>
    </w:p>
    <w:p w14:paraId="75AB9A9E" w14:textId="42AE545D" w:rsidR="008D372B" w:rsidRPr="0013341F" w:rsidRDefault="008D372B" w:rsidP="00E35317">
      <w:pPr>
        <w:pStyle w:val="ListParagraph"/>
        <w:numPr>
          <w:ilvl w:val="0"/>
          <w:numId w:val="59"/>
        </w:numPr>
        <w:ind w:left="567" w:hanging="283"/>
        <w:jc w:val="both"/>
        <w:rPr>
          <w:rFonts w:asciiTheme="majorBidi" w:hAnsiTheme="majorBidi" w:cstheme="majorBidi"/>
          <w:lang w:val="en-US"/>
        </w:rPr>
        <w:sectPr w:rsidR="008D372B" w:rsidRPr="0013341F" w:rsidSect="008D372B">
          <w:footnotePr>
            <w:numRestart w:val="eachSect"/>
          </w:footnotePr>
          <w:pgSz w:w="8391" w:h="11906" w:code="11"/>
          <w:pgMar w:top="1134" w:right="1134" w:bottom="1134" w:left="1418" w:header="709" w:footer="709" w:gutter="0"/>
          <w:cols w:space="708"/>
          <w:titlePg/>
          <w:docGrid w:linePitch="360"/>
        </w:sectPr>
      </w:pPr>
      <w:r w:rsidRPr="0013341F">
        <w:rPr>
          <w:rFonts w:asciiTheme="majorBidi" w:hAnsiTheme="majorBidi" w:cstheme="majorBidi"/>
          <w:lang w:val="en-US"/>
        </w:rPr>
        <w:t xml:space="preserve">Hakim memutuskan bahwa semua unsur dari Pasal 47 Qanun Aceh Nomor 6 Tahun 2014 tentang Hukum Jinayat telah terpenuhi, dan Terdakwa dinyatakan bersalah melakukan tindak pidana pelecehan seksual terhadap anak. </w:t>
      </w:r>
      <w:r w:rsidRPr="0013341F">
        <w:rPr>
          <w:rFonts w:asciiTheme="majorBidi" w:hAnsiTheme="majorBidi" w:cstheme="majorBidi"/>
          <w:lang w:val="en-US"/>
        </w:rPr>
        <w:lastRenderedPageBreak/>
        <w:t>Keputusan ini menunjukkan bahwa kesaksian yang kuat dan konsisten dari korban dan saksi ahli dapat mempengaruhi hasil dari proses hukum</w:t>
      </w:r>
      <w:r w:rsidR="00E35317">
        <w:rPr>
          <w:rFonts w:asciiTheme="majorBidi" w:hAnsiTheme="majorBidi" w:cstheme="majorBidi"/>
          <w:lang w:val="en-US"/>
        </w:rPr>
        <w:t xml:space="preserve">. </w:t>
      </w:r>
    </w:p>
    <w:p w14:paraId="607C2C2E" w14:textId="260230CB" w:rsidR="008D372B" w:rsidRDefault="008D372B" w:rsidP="00E35317">
      <w:pPr>
        <w:sectPr w:rsidR="008D372B" w:rsidSect="008D372B">
          <w:footnotePr>
            <w:numRestart w:val="eachSect"/>
          </w:footnotePr>
          <w:type w:val="continuous"/>
          <w:pgSz w:w="8391" w:h="11906" w:code="11"/>
          <w:pgMar w:top="1134" w:right="1134" w:bottom="1134" w:left="1418" w:header="709" w:footer="709" w:gutter="0"/>
          <w:cols w:space="708"/>
          <w:titlePg/>
          <w:docGrid w:linePitch="360"/>
        </w:sectPr>
      </w:pPr>
    </w:p>
    <w:p w14:paraId="16B7CEDC" w14:textId="628DB663" w:rsidR="008D372B" w:rsidRPr="00AB1CB5" w:rsidRDefault="008D372B" w:rsidP="000844D3">
      <w:pPr>
        <w:pStyle w:val="Heading1"/>
        <w:spacing w:line="360" w:lineRule="auto"/>
      </w:pPr>
      <w:bookmarkStart w:id="33" w:name="_Toc185961349"/>
      <w:r w:rsidRPr="00B11613">
        <w:lastRenderedPageBreak/>
        <w:t xml:space="preserve">BAB IV </w:t>
      </w:r>
      <w:r w:rsidRPr="00B11613">
        <w:br/>
      </w:r>
      <w:r w:rsidRPr="006B6571">
        <w:t>KONSEP</w:t>
      </w:r>
      <w:r>
        <w:rPr>
          <w:b w:val="0"/>
          <w:bCs w:val="0"/>
        </w:rPr>
        <w:t xml:space="preserve"> </w:t>
      </w:r>
      <w:r w:rsidRPr="00267A02">
        <w:t xml:space="preserve">KESAKSIAN </w:t>
      </w:r>
      <w:r w:rsidRPr="000844D3">
        <w:rPr>
          <w:i/>
          <w:iCs/>
        </w:rPr>
        <w:t>TEST</w:t>
      </w:r>
      <w:r w:rsidR="00EE1704">
        <w:rPr>
          <w:i/>
          <w:iCs/>
        </w:rPr>
        <w:t>I</w:t>
      </w:r>
      <w:r w:rsidRPr="000844D3">
        <w:rPr>
          <w:i/>
          <w:iCs/>
        </w:rPr>
        <w:t>MONIUM DE AUDITU</w:t>
      </w:r>
      <w:r w:rsidR="00AB1CB5">
        <w:rPr>
          <w:i/>
          <w:iCs/>
        </w:rPr>
        <w:t xml:space="preserve"> </w:t>
      </w:r>
      <w:r w:rsidR="00AB1CB5">
        <w:t>PADA TINDAK PIDANA PELECEHAN SEKSUAL TERHADAP ANAK DI BAWAH UMUR</w:t>
      </w:r>
      <w:bookmarkEnd w:id="33"/>
      <w:r w:rsidR="00AB1CB5">
        <w:t xml:space="preserve"> </w:t>
      </w:r>
    </w:p>
    <w:p w14:paraId="248781D9" w14:textId="719AE195" w:rsidR="008D372B" w:rsidRPr="00267A02" w:rsidRDefault="008D372B" w:rsidP="00E35317">
      <w:pPr>
        <w:pStyle w:val="Heading2"/>
        <w:numPr>
          <w:ilvl w:val="0"/>
          <w:numId w:val="72"/>
        </w:numPr>
        <w:spacing w:line="276" w:lineRule="auto"/>
        <w:ind w:left="284" w:hanging="284"/>
      </w:pPr>
      <w:bookmarkStart w:id="34" w:name="_Toc185961350"/>
      <w:r w:rsidRPr="00267A02">
        <w:t xml:space="preserve">Konsep </w:t>
      </w:r>
      <w:r w:rsidRPr="00761698">
        <w:rPr>
          <w:i/>
          <w:iCs/>
        </w:rPr>
        <w:t>Testimonium De Auditu</w:t>
      </w:r>
      <w:r w:rsidRPr="00267A02">
        <w:t xml:space="preserve"> </w:t>
      </w:r>
      <w:r w:rsidR="007E3EAF">
        <w:t xml:space="preserve">pada </w:t>
      </w:r>
      <w:r w:rsidRPr="00267A02">
        <w:t xml:space="preserve">Tindak Pidana Pelecehan Seksual Terhadap Anak </w:t>
      </w:r>
      <w:r w:rsidR="00A37820">
        <w:t xml:space="preserve">dalam </w:t>
      </w:r>
      <w:r w:rsidRPr="00267A02">
        <w:t>Per</w:t>
      </w:r>
      <w:r w:rsidR="00EE1704">
        <w:t>s</w:t>
      </w:r>
      <w:r w:rsidRPr="00267A02">
        <w:t xml:space="preserve">pektif </w:t>
      </w:r>
      <w:r w:rsidR="00A37820">
        <w:t>Kitab Undang-Undang Hukum Acara Pidana</w:t>
      </w:r>
      <w:r w:rsidR="002015FB">
        <w:t xml:space="preserve"> (KUHAP) </w:t>
      </w:r>
      <w:r w:rsidR="00A37820">
        <w:t>Studi</w:t>
      </w:r>
      <w:r w:rsidRPr="00267A02">
        <w:t xml:space="preserve"> Putusan Mahkamah Syariah Takengon Nomor 9/JN/2023/MS.Tkn.</w:t>
      </w:r>
      <w:bookmarkEnd w:id="34"/>
    </w:p>
    <w:p w14:paraId="7D8D36F2" w14:textId="77777777" w:rsidR="008D372B" w:rsidRPr="00CB082F" w:rsidRDefault="008D372B" w:rsidP="00E35317">
      <w:pPr>
        <w:pStyle w:val="ListParagraph"/>
        <w:spacing w:line="276" w:lineRule="auto"/>
        <w:ind w:left="284" w:firstLine="283"/>
        <w:jc w:val="both"/>
        <w:rPr>
          <w:rFonts w:asciiTheme="majorBidi" w:hAnsiTheme="majorBidi" w:cstheme="majorBidi"/>
          <w:lang w:val="en-US"/>
        </w:rPr>
      </w:pPr>
      <w:r w:rsidRPr="00CB082F">
        <w:rPr>
          <w:rFonts w:asciiTheme="majorBidi" w:hAnsiTheme="majorBidi" w:cstheme="majorBidi"/>
          <w:lang w:val="en-US"/>
        </w:rPr>
        <w:t>Kitab Undang-Undang Hukum Acara Pidana (KUHAP) secara tegas mengatur bahwa tujuan pembuktian dalam perkara pidana adalah untuk mencari kebenaran materiil. Kebenaran materiil ini merujuk pada fakta-fakta objektif yang terjadi, terlepas dari pendapat atau keyakinan subjektif dari pihak-pihak yang berperkara. Secara spesifik, tujuan pembuktian dalam KUHAP yaitu:</w:t>
      </w:r>
      <w:r w:rsidRPr="00CB082F">
        <w:rPr>
          <w:rStyle w:val="FootnoteReference"/>
          <w:rFonts w:asciiTheme="majorBidi" w:hAnsiTheme="majorBidi" w:cstheme="majorBidi"/>
          <w:lang w:val="en-US"/>
        </w:rPr>
        <w:footnoteReference w:id="130"/>
      </w:r>
      <w:r w:rsidRPr="00CB082F">
        <w:rPr>
          <w:rFonts w:asciiTheme="majorBidi" w:hAnsiTheme="majorBidi" w:cstheme="majorBidi"/>
          <w:lang w:val="en-US"/>
        </w:rPr>
        <w:t xml:space="preserve"> </w:t>
      </w:r>
    </w:p>
    <w:p w14:paraId="2D81EF4E" w14:textId="77777777" w:rsidR="008D372B" w:rsidRPr="00CB082F" w:rsidRDefault="008D372B" w:rsidP="00E35317">
      <w:pPr>
        <w:pStyle w:val="ListParagraph"/>
        <w:numPr>
          <w:ilvl w:val="0"/>
          <w:numId w:val="61"/>
        </w:numPr>
        <w:spacing w:line="276" w:lineRule="auto"/>
        <w:ind w:left="567" w:hanging="283"/>
        <w:jc w:val="both"/>
        <w:rPr>
          <w:rFonts w:asciiTheme="majorBidi" w:hAnsiTheme="majorBidi" w:cstheme="majorBidi"/>
          <w:lang w:val="en-US"/>
        </w:rPr>
      </w:pPr>
      <w:r w:rsidRPr="00CB082F">
        <w:rPr>
          <w:rFonts w:asciiTheme="majorBidi" w:hAnsiTheme="majorBidi" w:cstheme="majorBidi"/>
          <w:lang w:val="en-US"/>
        </w:rPr>
        <w:t xml:space="preserve">Membuktikan terpenuhi atau tidaknya unsur-unsur tindak pidana. Melalui proses pembuktian, harus dibuktikan apakah suatu perbuatan yang didakwakan telah memenuhi seluruh unsur-unsur yang diatur dalam undang-undang sehingga dapat dikategorikan sebagai tindak pidana. </w:t>
      </w:r>
    </w:p>
    <w:p w14:paraId="6CC653E2" w14:textId="77777777" w:rsidR="008D372B" w:rsidRPr="00CB082F" w:rsidRDefault="008D372B" w:rsidP="00E35317">
      <w:pPr>
        <w:pStyle w:val="ListParagraph"/>
        <w:numPr>
          <w:ilvl w:val="0"/>
          <w:numId w:val="61"/>
        </w:numPr>
        <w:spacing w:line="276" w:lineRule="auto"/>
        <w:ind w:left="567" w:hanging="283"/>
        <w:jc w:val="both"/>
        <w:rPr>
          <w:rFonts w:asciiTheme="majorBidi" w:hAnsiTheme="majorBidi" w:cstheme="majorBidi"/>
          <w:lang w:val="en-US"/>
        </w:rPr>
      </w:pPr>
      <w:r w:rsidRPr="00CB082F">
        <w:rPr>
          <w:rFonts w:asciiTheme="majorBidi" w:hAnsiTheme="majorBidi" w:cstheme="majorBidi"/>
          <w:lang w:val="en-US"/>
        </w:rPr>
        <w:t xml:space="preserve">Menilai kebenaran dan keabsahan keterangan para pihak. Hakim wajib menilai kebenaran dan keabsahan keterangan </w:t>
      </w:r>
      <w:r w:rsidRPr="00CB082F">
        <w:rPr>
          <w:rFonts w:asciiTheme="majorBidi" w:hAnsiTheme="majorBidi" w:cstheme="majorBidi"/>
          <w:lang w:val="en-US"/>
        </w:rPr>
        <w:lastRenderedPageBreak/>
        <w:t xml:space="preserve">saksi, ahli, dan terdakwa untuk menentukan fakta hukum yang sebenarnya. </w:t>
      </w:r>
    </w:p>
    <w:p w14:paraId="0F8CE90F" w14:textId="77777777" w:rsidR="008D372B" w:rsidRPr="00CB082F" w:rsidRDefault="008D372B" w:rsidP="00E35317">
      <w:pPr>
        <w:pStyle w:val="ListParagraph"/>
        <w:numPr>
          <w:ilvl w:val="0"/>
          <w:numId w:val="61"/>
        </w:numPr>
        <w:spacing w:line="276" w:lineRule="auto"/>
        <w:ind w:left="567" w:hanging="283"/>
        <w:jc w:val="both"/>
        <w:rPr>
          <w:rFonts w:asciiTheme="majorBidi" w:hAnsiTheme="majorBidi" w:cstheme="majorBidi"/>
          <w:lang w:val="en-US"/>
        </w:rPr>
      </w:pPr>
      <w:r w:rsidRPr="00CB082F">
        <w:rPr>
          <w:rFonts w:asciiTheme="majorBidi" w:hAnsiTheme="majorBidi" w:cstheme="majorBidi"/>
          <w:lang w:val="en-US"/>
        </w:rPr>
        <w:t xml:space="preserve">Memberikan kepastian hukum. Proses pembuktian bertujuan untuk memberikan kepastian hukum bagi semua pihak yang berperkara, sehingga tidak ada keraguan terhadap keputusan hukum yang diambil. </w:t>
      </w:r>
    </w:p>
    <w:p w14:paraId="2BD5A3EA" w14:textId="77777777" w:rsidR="008D372B" w:rsidRPr="00CB082F" w:rsidRDefault="008D372B" w:rsidP="00E35317">
      <w:pPr>
        <w:pStyle w:val="ListParagraph"/>
        <w:numPr>
          <w:ilvl w:val="0"/>
          <w:numId w:val="61"/>
        </w:numPr>
        <w:spacing w:line="276" w:lineRule="auto"/>
        <w:ind w:left="567" w:hanging="283"/>
        <w:jc w:val="both"/>
        <w:rPr>
          <w:rFonts w:asciiTheme="majorBidi" w:hAnsiTheme="majorBidi" w:cstheme="majorBidi"/>
          <w:lang w:val="en-US"/>
        </w:rPr>
      </w:pPr>
      <w:r w:rsidRPr="00CB082F">
        <w:rPr>
          <w:rFonts w:asciiTheme="majorBidi" w:hAnsiTheme="majorBidi" w:cstheme="majorBidi"/>
          <w:lang w:val="en-US"/>
        </w:rPr>
        <w:t xml:space="preserve">Menjamin keadilan. Keadilan merupakan tujuan utama dari setiap proses peradilan. Melalui pembuktian yang objektif dan adil, diharapkan dapat tercapai keputusan yang sesuai dengan rasa keadilan masyarakat. </w:t>
      </w:r>
    </w:p>
    <w:p w14:paraId="3DFE1C14" w14:textId="77777777" w:rsidR="008D372B" w:rsidRDefault="008D372B" w:rsidP="00E35317">
      <w:pPr>
        <w:pStyle w:val="ListParagraph"/>
        <w:spacing w:line="276" w:lineRule="auto"/>
        <w:ind w:left="284" w:firstLine="283"/>
        <w:jc w:val="both"/>
        <w:rPr>
          <w:rFonts w:asciiTheme="majorBidi" w:hAnsiTheme="majorBidi" w:cstheme="majorBidi"/>
          <w:lang w:val="en-US"/>
        </w:rPr>
      </w:pPr>
      <w:r w:rsidRPr="00CB082F">
        <w:rPr>
          <w:rFonts w:asciiTheme="majorBidi" w:hAnsiTheme="majorBidi" w:cstheme="majorBidi"/>
          <w:lang w:val="en-US"/>
        </w:rPr>
        <w:t>Untuk mencapai kepastian hukum dan menjamin keadilan dalam perkara pidana, pembuktian merupakan langkah krusial. Standar pembuktian yang tinggi menuntut adanya alat bukti yang tidak hanya sah secara hukum, tetapi juga cukup kuat untuk membuktikan seluruh unsur tindak pidana yang didakwakan. Alat bukti yang diajukan harus memenuhi syarat-syarat yuridis yang ketat dan memiliki relevansi yang jelas dengan peristiwa pidana yang sedang disidangkan. Pasal 184 ayat (1) KUHAP secara tegas mengatur jenis-jenis alat bukti yang dapat digunakan dalam proses peradilan pidana, yaitu: keterangan saksi, keterangan ahli, surat, petunjuk, dan keterangan terdakwa.</w:t>
      </w:r>
      <w:r>
        <w:rPr>
          <w:rStyle w:val="FootnoteReference"/>
          <w:rFonts w:asciiTheme="majorBidi" w:hAnsiTheme="majorBidi" w:cstheme="majorBidi"/>
          <w:lang w:val="en-US"/>
        </w:rPr>
        <w:footnoteReference w:id="131"/>
      </w:r>
      <w:r w:rsidRPr="00CB082F">
        <w:rPr>
          <w:rFonts w:asciiTheme="majorBidi" w:hAnsiTheme="majorBidi" w:cstheme="majorBidi"/>
          <w:lang w:val="en-US"/>
        </w:rPr>
        <w:t xml:space="preserve"> Ketentuan ini menjadi pedoman bagi hakim dalam menilai kekuatan pembuktian dan mengambil keputusan.</w:t>
      </w:r>
    </w:p>
    <w:p w14:paraId="5887FD76" w14:textId="77777777" w:rsidR="008D372B" w:rsidRDefault="008D372B" w:rsidP="00E35317">
      <w:pPr>
        <w:pStyle w:val="ListParagraph"/>
        <w:spacing w:line="276" w:lineRule="auto"/>
        <w:ind w:left="284" w:firstLine="283"/>
        <w:jc w:val="both"/>
        <w:rPr>
          <w:rFonts w:asciiTheme="majorBidi" w:hAnsiTheme="majorBidi" w:cstheme="majorBidi"/>
          <w:lang w:val="en-US"/>
        </w:rPr>
      </w:pPr>
      <w:r w:rsidRPr="00CB082F">
        <w:rPr>
          <w:rFonts w:asciiTheme="majorBidi" w:hAnsiTheme="majorBidi" w:cstheme="majorBidi"/>
          <w:lang w:val="en-US"/>
        </w:rPr>
        <w:t xml:space="preserve">Ketentuan Pasal 184 ayat (1) KUHAP yang membatasi jenis alat bukti, termasuk keterangan saksi, telah lama menjadi sorotan. Persyaratan saksi harus secara langsung melihat, mendengar, atau mengalami peristiwa yang diperkarakan seringkali menghambat proses peradilan. Tidak semua peristiwa pidana memiliki saksi yang memenuhi kriteria </w:t>
      </w:r>
      <w:r w:rsidRPr="00CB082F">
        <w:rPr>
          <w:rFonts w:asciiTheme="majorBidi" w:hAnsiTheme="majorBidi" w:cstheme="majorBidi"/>
          <w:lang w:val="en-US"/>
        </w:rPr>
        <w:lastRenderedPageBreak/>
        <w:t>tersebut, terutama dalam kasus-kasus yang melibatkan kejahatan terorganisir atau peristiwa yang terjadi di tempat tersembunyi. Oleh sebab itu</w:t>
      </w:r>
      <w:r>
        <w:rPr>
          <w:rFonts w:asciiTheme="majorBidi" w:hAnsiTheme="majorBidi" w:cstheme="majorBidi"/>
          <w:lang w:val="en-US"/>
        </w:rPr>
        <w:t>,</w:t>
      </w:r>
      <w:r w:rsidRPr="00CB082F">
        <w:rPr>
          <w:rFonts w:asciiTheme="majorBidi" w:hAnsiTheme="majorBidi" w:cstheme="majorBidi"/>
          <w:lang w:val="en-US"/>
        </w:rPr>
        <w:t xml:space="preserve"> Mahkamah Konstitusi dalam Putusan Nomor 65/PUU-VIII/2010 secara bijaksana memberikan solusi atas permasalahan dengan memperluas definisi saksi.</w:t>
      </w:r>
      <w:r>
        <w:rPr>
          <w:rStyle w:val="FootnoteReference"/>
          <w:rFonts w:asciiTheme="majorBidi" w:hAnsiTheme="majorBidi" w:cstheme="majorBidi"/>
          <w:lang w:val="en-US"/>
        </w:rPr>
        <w:footnoteReference w:id="132"/>
      </w:r>
      <w:r w:rsidRPr="00CB082F">
        <w:rPr>
          <w:rFonts w:asciiTheme="majorBidi" w:hAnsiTheme="majorBidi" w:cstheme="majorBidi"/>
          <w:lang w:val="en-US"/>
        </w:rPr>
        <w:t xml:space="preserve"> Dalam putusannya, Mahkamah Konstitusi mengakui keabsahan keterangan saksi yang diperoleh secara tidak langsung atau </w:t>
      </w:r>
      <w:r w:rsidRPr="00CB082F">
        <w:rPr>
          <w:rFonts w:asciiTheme="majorBidi" w:hAnsiTheme="majorBidi" w:cstheme="majorBidi"/>
          <w:i/>
          <w:iCs/>
          <w:lang w:val="en-US"/>
        </w:rPr>
        <w:t>testimonium de auditu</w:t>
      </w:r>
      <w:r w:rsidRPr="00CB082F">
        <w:rPr>
          <w:rFonts w:asciiTheme="majorBidi" w:hAnsiTheme="majorBidi" w:cstheme="majorBidi"/>
          <w:lang w:val="en-US"/>
        </w:rPr>
        <w:t>.</w:t>
      </w:r>
      <w:r w:rsidRPr="00CB082F">
        <w:rPr>
          <w:rStyle w:val="FootnoteReference"/>
          <w:rFonts w:asciiTheme="majorBidi" w:hAnsiTheme="majorBidi" w:cstheme="majorBidi"/>
          <w:lang w:val="en-US"/>
        </w:rPr>
        <w:footnoteReference w:id="133"/>
      </w:r>
      <w:r w:rsidRPr="00CB082F">
        <w:rPr>
          <w:rFonts w:asciiTheme="majorBidi" w:hAnsiTheme="majorBidi" w:cstheme="majorBidi"/>
          <w:lang w:val="en-US"/>
        </w:rPr>
        <w:t xml:space="preserve"> Penerimaan terhadap keterangan saksi </w:t>
      </w:r>
      <w:r w:rsidRPr="00CB082F">
        <w:rPr>
          <w:rFonts w:asciiTheme="majorBidi" w:hAnsiTheme="majorBidi" w:cstheme="majorBidi"/>
          <w:i/>
          <w:iCs/>
          <w:lang w:val="en-US"/>
        </w:rPr>
        <w:t>testimonium de auditu</w:t>
      </w:r>
      <w:r w:rsidRPr="00CB082F">
        <w:rPr>
          <w:rFonts w:asciiTheme="majorBidi" w:hAnsiTheme="majorBidi" w:cstheme="majorBidi"/>
          <w:lang w:val="en-US"/>
        </w:rPr>
        <w:t xml:space="preserve"> memberikan fleksibilitas yang lebih besar bagi hakim dalam menilai bukti bukti yang ada. Hakim tidak lagi terkungkung oleh batasan yang terlalu ketat, sehingga dapat mempertimbangkan berbagai jenis keterangan saksi yang relevan, meskipun tidak secara langsung menyaksikan peristiwa. Hal ini tentunya akan meningkatkan kualitas putusan perkara dan menjamin tercapainya keadilan. </w:t>
      </w:r>
    </w:p>
    <w:p w14:paraId="74137BAB" w14:textId="77777777" w:rsidR="008D372B" w:rsidRPr="00CB082F" w:rsidRDefault="008D372B" w:rsidP="00E35317">
      <w:pPr>
        <w:pStyle w:val="ListParagraph"/>
        <w:spacing w:line="276" w:lineRule="auto"/>
        <w:ind w:left="284" w:firstLine="283"/>
        <w:jc w:val="both"/>
        <w:rPr>
          <w:rFonts w:asciiTheme="majorBidi" w:hAnsiTheme="majorBidi" w:cstheme="majorBidi"/>
          <w:lang w:val="en-US"/>
        </w:rPr>
      </w:pPr>
      <w:r w:rsidRPr="00CB082F">
        <w:rPr>
          <w:rFonts w:asciiTheme="majorBidi" w:hAnsiTheme="majorBidi" w:cstheme="majorBidi"/>
          <w:lang w:val="en-US"/>
        </w:rPr>
        <w:t>Dalam hukum acara pidana, saksi yang memberikan keterangan berdasarkan apa yang didengar dari orang lain disebut</w:t>
      </w:r>
      <w:r>
        <w:rPr>
          <w:rFonts w:asciiTheme="majorBidi" w:hAnsiTheme="majorBidi" w:cstheme="majorBidi"/>
          <w:lang w:val="en-US"/>
        </w:rPr>
        <w:t xml:space="preserve"> dengan istilah</w:t>
      </w:r>
      <w:r w:rsidRPr="00CB082F">
        <w:rPr>
          <w:rFonts w:asciiTheme="majorBidi" w:hAnsiTheme="majorBidi" w:cstheme="majorBidi"/>
          <w:lang w:val="en-US"/>
        </w:rPr>
        <w:t xml:space="preserve"> saksi </w:t>
      </w:r>
      <w:r w:rsidRPr="00CB082F">
        <w:rPr>
          <w:rFonts w:asciiTheme="majorBidi" w:hAnsiTheme="majorBidi" w:cstheme="majorBidi"/>
          <w:i/>
          <w:iCs/>
          <w:lang w:val="en-US"/>
        </w:rPr>
        <w:t>testimonium de auditu</w:t>
      </w:r>
      <w:r w:rsidRPr="00CB082F">
        <w:rPr>
          <w:rFonts w:asciiTheme="majorBidi" w:hAnsiTheme="majorBidi" w:cstheme="majorBidi"/>
          <w:lang w:val="en-US"/>
        </w:rPr>
        <w:t xml:space="preserve">. Keterangan saksi ini dapat digunakan untuk melindungi hak-hak anak korban kekerasan seksual, meskipun tidak melihat atau menyaksikan langsung peristiwa tersebut. Kesaksian </w:t>
      </w:r>
      <w:r w:rsidRPr="00CB082F">
        <w:rPr>
          <w:rFonts w:asciiTheme="majorBidi" w:hAnsiTheme="majorBidi" w:cstheme="majorBidi"/>
          <w:i/>
          <w:iCs/>
          <w:lang w:val="en-US"/>
        </w:rPr>
        <w:t>testimonium de auditu</w:t>
      </w:r>
      <w:r w:rsidRPr="00CB082F">
        <w:rPr>
          <w:rFonts w:asciiTheme="majorBidi" w:hAnsiTheme="majorBidi" w:cstheme="majorBidi"/>
          <w:lang w:val="en-US"/>
        </w:rPr>
        <w:t xml:space="preserve"> adalah istilah hukum yang merujuk pada kesaksian yang didasarkan pada apa yang didengar oleh saksi, bukan pada pengalaman langsung. KUHAP secara umum tidak secara eksplisit melarang kesaksian </w:t>
      </w:r>
      <w:r w:rsidRPr="00CB082F">
        <w:rPr>
          <w:rFonts w:asciiTheme="majorBidi" w:hAnsiTheme="majorBidi" w:cstheme="majorBidi"/>
          <w:i/>
          <w:iCs/>
          <w:lang w:val="en-US"/>
        </w:rPr>
        <w:t>testimonium de auditu</w:t>
      </w:r>
      <w:r w:rsidRPr="00CB082F">
        <w:rPr>
          <w:rFonts w:asciiTheme="majorBidi" w:hAnsiTheme="majorBidi" w:cstheme="majorBidi"/>
          <w:lang w:val="en-US"/>
        </w:rPr>
        <w:t xml:space="preserve">. Namun, dalam praktiknya, kesaksian ini seringkali dipertimbangkan dengan hati-hati dan perlu diperkuat dengan </w:t>
      </w:r>
      <w:r w:rsidRPr="00CB082F">
        <w:rPr>
          <w:rFonts w:asciiTheme="majorBidi" w:hAnsiTheme="majorBidi" w:cstheme="majorBidi"/>
          <w:lang w:val="en-US"/>
        </w:rPr>
        <w:lastRenderedPageBreak/>
        <w:t>alat bukti lain.</w:t>
      </w:r>
      <w:r>
        <w:rPr>
          <w:rStyle w:val="FootnoteReference"/>
          <w:rFonts w:asciiTheme="majorBidi" w:hAnsiTheme="majorBidi" w:cstheme="majorBidi"/>
          <w:lang w:val="en-US"/>
        </w:rPr>
        <w:footnoteReference w:id="134"/>
      </w:r>
      <w:r w:rsidRPr="00CB082F">
        <w:rPr>
          <w:rFonts w:asciiTheme="majorBidi" w:hAnsiTheme="majorBidi" w:cstheme="majorBidi"/>
          <w:lang w:val="en-US"/>
        </w:rPr>
        <w:t xml:space="preserve"> Dalam sistem hukum positif Indonesia, kesaksian merupakan salah satu alat bukti yang penting dalam perkara pidana.</w:t>
      </w:r>
      <w:r>
        <w:rPr>
          <w:rStyle w:val="FootnoteReference"/>
          <w:rFonts w:asciiTheme="majorBidi" w:hAnsiTheme="majorBidi" w:cstheme="majorBidi"/>
          <w:lang w:val="en-US"/>
        </w:rPr>
        <w:footnoteReference w:id="135"/>
      </w:r>
      <w:r w:rsidRPr="00CB082F">
        <w:rPr>
          <w:rFonts w:asciiTheme="majorBidi" w:hAnsiTheme="majorBidi" w:cstheme="majorBidi"/>
          <w:lang w:val="en-US"/>
        </w:rPr>
        <w:t xml:space="preserve"> Namun, kesaksian tidak serta-merta dapat diterima begitu saja. Sesuai KUHAP Pasal 185 telah mengatur secara rinci syarat dan kriteria yang harus dipenuhi oleh seorang saksi agar keterangannya dapat dianggap sah dan dapat dipercaya. Beberapa syarat utama yang harus dipenuhi oleh seorang saksi adalah sebagai berikut:</w:t>
      </w:r>
      <w:r w:rsidRPr="00CB082F">
        <w:rPr>
          <w:rStyle w:val="FootnoteReference"/>
          <w:rFonts w:asciiTheme="majorBidi" w:hAnsiTheme="majorBidi" w:cstheme="majorBidi"/>
          <w:lang w:val="en-US"/>
        </w:rPr>
        <w:footnoteReference w:id="136"/>
      </w:r>
    </w:p>
    <w:p w14:paraId="2A7C4D3A" w14:textId="7040E650" w:rsidR="008D372B" w:rsidRPr="00CB082F" w:rsidRDefault="008D372B" w:rsidP="00E35317">
      <w:pPr>
        <w:pStyle w:val="ListParagraph"/>
        <w:numPr>
          <w:ilvl w:val="0"/>
          <w:numId w:val="62"/>
        </w:numPr>
        <w:spacing w:line="276" w:lineRule="auto"/>
        <w:ind w:left="567" w:hanging="283"/>
        <w:jc w:val="both"/>
        <w:rPr>
          <w:rFonts w:asciiTheme="majorBidi" w:hAnsiTheme="majorBidi" w:cstheme="majorBidi"/>
          <w:lang w:val="en-US"/>
        </w:rPr>
      </w:pPr>
      <w:r w:rsidRPr="00CB082F">
        <w:rPr>
          <w:rFonts w:asciiTheme="majorBidi" w:hAnsiTheme="majorBidi" w:cstheme="majorBidi"/>
          <w:lang w:val="en-US"/>
        </w:rPr>
        <w:t xml:space="preserve">Setiap saksi yang memberikan keterangan wajib disumpah menurut agama dan kepercayaannya untuk memberikan keterangan yang benar dan jujur. Hal ini bertujuan untuk menegaskan tanggung jawab moral saksi dalam memberikan keterangan. </w:t>
      </w:r>
    </w:p>
    <w:p w14:paraId="7DAB7884" w14:textId="77777777" w:rsidR="008D372B" w:rsidRPr="00CB082F" w:rsidRDefault="008D372B" w:rsidP="00E35317">
      <w:pPr>
        <w:pStyle w:val="ListParagraph"/>
        <w:numPr>
          <w:ilvl w:val="0"/>
          <w:numId w:val="62"/>
        </w:numPr>
        <w:spacing w:line="276" w:lineRule="auto"/>
        <w:ind w:left="567" w:hanging="283"/>
        <w:jc w:val="both"/>
        <w:rPr>
          <w:rFonts w:asciiTheme="majorBidi" w:hAnsiTheme="majorBidi" w:cstheme="majorBidi"/>
          <w:lang w:val="en-US"/>
        </w:rPr>
      </w:pPr>
      <w:r w:rsidRPr="00CB082F">
        <w:rPr>
          <w:rFonts w:asciiTheme="majorBidi" w:hAnsiTheme="majorBidi" w:cstheme="majorBidi"/>
          <w:lang w:val="en-US"/>
        </w:rPr>
        <w:t xml:space="preserve">Keterangan saksi harus berdasarkan pengalaman langsung, yakni apa yang dilihat, didengar, atau dialami sendiri oleh saksi. Keterangan yang bersifat opini atau hanya didasarkan pada rumor tidak dapat diterima sebagai bukti yang sah. </w:t>
      </w:r>
    </w:p>
    <w:p w14:paraId="363B66FA" w14:textId="77777777" w:rsidR="008D372B" w:rsidRPr="00CB082F" w:rsidRDefault="008D372B" w:rsidP="00E35317">
      <w:pPr>
        <w:pStyle w:val="ListParagraph"/>
        <w:numPr>
          <w:ilvl w:val="0"/>
          <w:numId w:val="62"/>
        </w:numPr>
        <w:spacing w:line="276" w:lineRule="auto"/>
        <w:ind w:left="567" w:hanging="283"/>
        <w:jc w:val="both"/>
        <w:rPr>
          <w:rFonts w:asciiTheme="majorBidi" w:hAnsiTheme="majorBidi" w:cstheme="majorBidi"/>
          <w:lang w:val="en-US"/>
        </w:rPr>
      </w:pPr>
      <w:r w:rsidRPr="00CB082F">
        <w:rPr>
          <w:rFonts w:asciiTheme="majorBidi" w:hAnsiTheme="majorBidi" w:cstheme="majorBidi"/>
          <w:lang w:val="en-US"/>
        </w:rPr>
        <w:t>Keterangan saksi harus konsisten, baik dengan keterangan saksi lainnya maupun dengan bukti-bukti yang lain. Jika terdapat ketidakkonsistenan, maka kredibilitas keterangan saksi tersebut menjadi diragukan.</w:t>
      </w:r>
    </w:p>
    <w:p w14:paraId="1FEA4496" w14:textId="77777777" w:rsidR="008D372B" w:rsidRPr="00CB082F" w:rsidRDefault="008D372B" w:rsidP="00E35317">
      <w:pPr>
        <w:pStyle w:val="ListParagraph"/>
        <w:numPr>
          <w:ilvl w:val="0"/>
          <w:numId w:val="62"/>
        </w:numPr>
        <w:spacing w:line="276" w:lineRule="auto"/>
        <w:ind w:left="567" w:hanging="283"/>
        <w:jc w:val="both"/>
        <w:rPr>
          <w:rFonts w:asciiTheme="majorBidi" w:hAnsiTheme="majorBidi" w:cstheme="majorBidi"/>
          <w:lang w:val="en-US"/>
        </w:rPr>
      </w:pPr>
      <w:r w:rsidRPr="00CB082F">
        <w:rPr>
          <w:rFonts w:asciiTheme="majorBidi" w:hAnsiTheme="majorBidi" w:cstheme="majorBidi"/>
          <w:lang w:val="en-US"/>
        </w:rPr>
        <w:t xml:space="preserve">Saksi harus dapat menjelaskan alasan logis mengapa ia memberikan keterangan tertentu. Alasan yang diberikan harus rasional dan masuk akal. </w:t>
      </w:r>
    </w:p>
    <w:p w14:paraId="7955F812" w14:textId="77777777" w:rsidR="008D372B" w:rsidRPr="00CB082F" w:rsidRDefault="008D372B" w:rsidP="00E35317">
      <w:pPr>
        <w:pStyle w:val="ListParagraph"/>
        <w:numPr>
          <w:ilvl w:val="0"/>
          <w:numId w:val="62"/>
        </w:numPr>
        <w:spacing w:line="276" w:lineRule="auto"/>
        <w:ind w:left="567" w:hanging="283"/>
        <w:jc w:val="both"/>
        <w:rPr>
          <w:rFonts w:asciiTheme="majorBidi" w:hAnsiTheme="majorBidi" w:cstheme="majorBidi"/>
          <w:lang w:val="en-US"/>
        </w:rPr>
      </w:pPr>
      <w:r w:rsidRPr="00CB082F">
        <w:rPr>
          <w:rFonts w:asciiTheme="majorBidi" w:hAnsiTheme="majorBidi" w:cstheme="majorBidi"/>
          <w:lang w:val="en-US"/>
        </w:rPr>
        <w:lastRenderedPageBreak/>
        <w:t xml:space="preserve">Latar belakang dan moralitas saksi juga menjadi pertimbangan dalam menilai kredibilitas keterangannya. Saksi yang memiliki kepentingan pribadi atau memiliki catatan kriminal yang buruk, misalnya, keterangannya cenderung lebih diragukan. </w:t>
      </w:r>
    </w:p>
    <w:p w14:paraId="721AB29D" w14:textId="04D07B75" w:rsidR="008D372B" w:rsidRDefault="008D372B" w:rsidP="00E35317">
      <w:pPr>
        <w:pStyle w:val="ListParagraph"/>
        <w:spacing w:line="276" w:lineRule="auto"/>
        <w:ind w:left="284" w:firstLine="283"/>
        <w:jc w:val="both"/>
        <w:rPr>
          <w:rFonts w:asciiTheme="majorBidi" w:hAnsiTheme="majorBidi" w:cstheme="majorBidi"/>
          <w:lang w:val="en-US"/>
        </w:rPr>
      </w:pPr>
      <w:r w:rsidRPr="00CB082F">
        <w:rPr>
          <w:rFonts w:asciiTheme="majorBidi" w:hAnsiTheme="majorBidi" w:cstheme="majorBidi"/>
          <w:lang w:val="en-US"/>
        </w:rPr>
        <w:t>Dengan demikian, syarat-syarat di</w:t>
      </w:r>
      <w:r w:rsidR="00822145">
        <w:rPr>
          <w:rFonts w:asciiTheme="majorBidi" w:hAnsiTheme="majorBidi" w:cstheme="majorBidi"/>
          <w:lang w:val="en-US"/>
        </w:rPr>
        <w:t xml:space="preserve"> </w:t>
      </w:r>
      <w:r w:rsidRPr="00CB082F">
        <w:rPr>
          <w:rFonts w:asciiTheme="majorBidi" w:hAnsiTheme="majorBidi" w:cstheme="majorBidi"/>
          <w:lang w:val="en-US"/>
        </w:rPr>
        <w:t>atas bertujuan untuk memastikan bahwa keterangan saksi yang diajukan di persidangan benar-benar dapat diandalkan dan tidak bias. Dengan demikian, hakim dapat membuat keputusan yang adil dan objektif berdasarkan bukti-bukti yang ada. Selain syarat-syarat di atas, KUHAP juga memberikan panduan teknis bagi hakim dalam menilai keterangan saksi, antara lain: Hakim harus memeriksa apakah keterangan saksi konsisten dengan keterangannya sendiri dalam bagian yang berbeda, Hakim harus membandingkan keterangan saksi dengan keterangan saksi lain dan bukti-bukti fisik yang ada, Hakim harus menilai apakah keterangan saksi logis dan masuk akal, Hakim harus mempertimbangkan latar belakang, moralitas, dan kepentingan saksi dalam memberikan keterangan.</w:t>
      </w:r>
      <w:r>
        <w:rPr>
          <w:rStyle w:val="FootnoteReference"/>
          <w:rFonts w:asciiTheme="majorBidi" w:hAnsiTheme="majorBidi" w:cstheme="majorBidi"/>
          <w:lang w:val="en-US"/>
        </w:rPr>
        <w:footnoteReference w:id="137"/>
      </w:r>
    </w:p>
    <w:p w14:paraId="0543166B" w14:textId="77777777" w:rsidR="008D372B" w:rsidRDefault="008D372B" w:rsidP="00E35317">
      <w:pPr>
        <w:pStyle w:val="ListParagraph"/>
        <w:spacing w:line="276" w:lineRule="auto"/>
        <w:ind w:left="284" w:firstLine="283"/>
        <w:jc w:val="both"/>
        <w:rPr>
          <w:rFonts w:asciiTheme="majorBidi" w:hAnsiTheme="majorBidi" w:cstheme="majorBidi"/>
        </w:rPr>
      </w:pPr>
      <w:r w:rsidRPr="00CB082F">
        <w:rPr>
          <w:rFonts w:asciiTheme="majorBidi" w:hAnsiTheme="majorBidi" w:cstheme="majorBidi"/>
        </w:rPr>
        <w:t xml:space="preserve">Pada Putusan Mahkamah Syariah Takengon Nomor 9/JN/2023/MS.Tkn memperlihatkan kekuatan </w:t>
      </w:r>
      <w:r>
        <w:rPr>
          <w:rFonts w:asciiTheme="majorBidi" w:hAnsiTheme="majorBidi" w:cstheme="majorBidi"/>
        </w:rPr>
        <w:t xml:space="preserve">alat </w:t>
      </w:r>
      <w:r w:rsidRPr="00CB082F">
        <w:rPr>
          <w:rFonts w:asciiTheme="majorBidi" w:hAnsiTheme="majorBidi" w:cstheme="majorBidi"/>
        </w:rPr>
        <w:t xml:space="preserve">bukti yang diperoleh dari keterangan saksi. </w:t>
      </w:r>
      <w:r w:rsidRPr="00AC4DFC">
        <w:rPr>
          <w:rFonts w:asciiTheme="majorBidi" w:hAnsiTheme="majorBidi" w:cstheme="majorBidi"/>
        </w:rPr>
        <w:t xml:space="preserve">Dalam pembuktian, kesaksian </w:t>
      </w:r>
      <w:r w:rsidRPr="00243B60">
        <w:rPr>
          <w:rFonts w:asciiTheme="majorBidi" w:hAnsiTheme="majorBidi" w:cstheme="majorBidi"/>
          <w:i/>
          <w:iCs/>
        </w:rPr>
        <w:t>testimonium de auditu</w:t>
      </w:r>
      <w:r w:rsidRPr="00AC4DFC">
        <w:rPr>
          <w:rFonts w:asciiTheme="majorBidi" w:hAnsiTheme="majorBidi" w:cstheme="majorBidi"/>
        </w:rPr>
        <w:t xml:space="preserve"> dapat memperoleh legitimasi yang lebih kuat ketika didukung oleh keterangan saksi lainnya yang relevan. Konsistensi antara saksi korban, saksi </w:t>
      </w:r>
      <w:r w:rsidRPr="00243B60">
        <w:rPr>
          <w:rFonts w:asciiTheme="majorBidi" w:hAnsiTheme="majorBidi" w:cstheme="majorBidi"/>
          <w:i/>
          <w:iCs/>
        </w:rPr>
        <w:t>testimonium de auditu</w:t>
      </w:r>
      <w:r w:rsidRPr="00AC4DFC">
        <w:rPr>
          <w:rFonts w:asciiTheme="majorBidi" w:hAnsiTheme="majorBidi" w:cstheme="majorBidi"/>
        </w:rPr>
        <w:t>, dan bahkan saksi ahli psikologi menciptakan suatu pola bukti yang</w:t>
      </w:r>
      <w:r>
        <w:rPr>
          <w:rFonts w:asciiTheme="majorBidi" w:hAnsiTheme="majorBidi" w:cstheme="majorBidi"/>
        </w:rPr>
        <w:t xml:space="preserve"> saling berhubungan satu sama lain,</w:t>
      </w:r>
      <w:r w:rsidRPr="00AC4DFC">
        <w:rPr>
          <w:rFonts w:asciiTheme="majorBidi" w:hAnsiTheme="majorBidi" w:cstheme="majorBidi"/>
        </w:rPr>
        <w:t xml:space="preserve"> sehingga memperkuat kredibilitas keseluruhan </w:t>
      </w:r>
      <w:r>
        <w:rPr>
          <w:rFonts w:asciiTheme="majorBidi" w:hAnsiTheme="majorBidi" w:cstheme="majorBidi"/>
        </w:rPr>
        <w:t xml:space="preserve">keterangan saksi dalam </w:t>
      </w:r>
      <w:r w:rsidRPr="00AC4DFC">
        <w:rPr>
          <w:rFonts w:asciiTheme="majorBidi" w:hAnsiTheme="majorBidi" w:cstheme="majorBidi"/>
        </w:rPr>
        <w:t xml:space="preserve"> per</w:t>
      </w:r>
      <w:r>
        <w:rPr>
          <w:rFonts w:asciiTheme="majorBidi" w:hAnsiTheme="majorBidi" w:cstheme="majorBidi"/>
        </w:rPr>
        <w:t xml:space="preserve">sidangan. </w:t>
      </w:r>
      <w:r w:rsidRPr="00CB082F">
        <w:rPr>
          <w:rFonts w:asciiTheme="majorBidi" w:hAnsiTheme="majorBidi" w:cstheme="majorBidi"/>
        </w:rPr>
        <w:t xml:space="preserve">Hal itu dapat tercermin dari dengan adanya keempat belas saksi yang dihadirkan, terdiri dari </w:t>
      </w:r>
      <w:r>
        <w:rPr>
          <w:rFonts w:asciiTheme="majorBidi" w:hAnsiTheme="majorBidi" w:cstheme="majorBidi"/>
        </w:rPr>
        <w:t>7 (</w:t>
      </w:r>
      <w:r w:rsidRPr="00CB082F">
        <w:rPr>
          <w:rFonts w:asciiTheme="majorBidi" w:hAnsiTheme="majorBidi" w:cstheme="majorBidi"/>
        </w:rPr>
        <w:t>tujuh</w:t>
      </w:r>
      <w:r>
        <w:rPr>
          <w:rFonts w:asciiTheme="majorBidi" w:hAnsiTheme="majorBidi" w:cstheme="majorBidi"/>
        </w:rPr>
        <w:t>)</w:t>
      </w:r>
      <w:r w:rsidRPr="00CB082F">
        <w:rPr>
          <w:rFonts w:asciiTheme="majorBidi" w:hAnsiTheme="majorBidi" w:cstheme="majorBidi"/>
        </w:rPr>
        <w:t xml:space="preserve"> saksi </w:t>
      </w:r>
      <w:r w:rsidRPr="00CB082F">
        <w:rPr>
          <w:rFonts w:asciiTheme="majorBidi" w:hAnsiTheme="majorBidi" w:cstheme="majorBidi"/>
        </w:rPr>
        <w:lastRenderedPageBreak/>
        <w:t xml:space="preserve">korban, </w:t>
      </w:r>
      <w:r>
        <w:rPr>
          <w:rFonts w:asciiTheme="majorBidi" w:hAnsiTheme="majorBidi" w:cstheme="majorBidi"/>
        </w:rPr>
        <w:t>6 (</w:t>
      </w:r>
      <w:r w:rsidRPr="00CB082F">
        <w:rPr>
          <w:rFonts w:asciiTheme="majorBidi" w:hAnsiTheme="majorBidi" w:cstheme="majorBidi"/>
        </w:rPr>
        <w:t>enam</w:t>
      </w:r>
      <w:r>
        <w:rPr>
          <w:rFonts w:asciiTheme="majorBidi" w:hAnsiTheme="majorBidi" w:cstheme="majorBidi"/>
        </w:rPr>
        <w:t>)</w:t>
      </w:r>
      <w:r w:rsidRPr="00CB082F">
        <w:rPr>
          <w:rFonts w:asciiTheme="majorBidi" w:hAnsiTheme="majorBidi" w:cstheme="majorBidi"/>
        </w:rPr>
        <w:t xml:space="preserve"> saksi </w:t>
      </w:r>
      <w:r w:rsidRPr="00CB082F">
        <w:rPr>
          <w:rFonts w:asciiTheme="majorBidi" w:hAnsiTheme="majorBidi" w:cstheme="majorBidi"/>
          <w:i/>
          <w:iCs/>
        </w:rPr>
        <w:t>testimonium de auditu</w:t>
      </w:r>
      <w:r w:rsidRPr="00CB082F">
        <w:rPr>
          <w:rFonts w:asciiTheme="majorBidi" w:hAnsiTheme="majorBidi" w:cstheme="majorBidi"/>
        </w:rPr>
        <w:t xml:space="preserve">, dan seorang saksi ahli psikologi, memberikan keterangan yang saling mendukung dan konsisten. </w:t>
      </w:r>
      <w:r w:rsidRPr="00243B60">
        <w:rPr>
          <w:rFonts w:asciiTheme="majorBidi" w:hAnsiTheme="majorBidi" w:cstheme="majorBidi"/>
        </w:rPr>
        <w:t>Keterkaitan antara kesaksian korban dan saksi testimonium de auditu, yang didukung oleh hasil asesmen psikologis, memperkuat konstruksi bukti dalam perkara ini. Hal ini menunjukkan bahwa dampak psikologis yang dialami korban sejalan dengan narasi yang disampaikan oleh saksi-saksi.</w:t>
      </w:r>
    </w:p>
    <w:p w14:paraId="79BFB134" w14:textId="77777777" w:rsidR="008D372B" w:rsidRDefault="008D372B" w:rsidP="00E35317">
      <w:pPr>
        <w:pStyle w:val="ListParagraph"/>
        <w:spacing w:line="276" w:lineRule="auto"/>
        <w:ind w:left="284" w:firstLine="283"/>
        <w:jc w:val="both"/>
        <w:rPr>
          <w:rFonts w:asciiTheme="majorBidi" w:hAnsiTheme="majorBidi" w:cstheme="majorBidi"/>
        </w:rPr>
      </w:pPr>
      <w:r w:rsidRPr="00CB082F">
        <w:rPr>
          <w:rFonts w:asciiTheme="majorBidi" w:hAnsiTheme="majorBidi" w:cstheme="majorBidi"/>
        </w:rPr>
        <w:t xml:space="preserve">Penulis memberikan gambaran menarik mengenai penerapan prinsip-prinsip umum keterangan saksi dalam praktik peradilan. Putusan Mahkamah Syariah Takengon Nomor 9/JN/2023/MS.Tkn, menunjukkan bahwa konsistensi keterangan dari berbagai sumber, seperti saksi korban, saksi yang mendengar langsung dari korban </w:t>
      </w:r>
      <w:r w:rsidRPr="00CB082F">
        <w:rPr>
          <w:rFonts w:asciiTheme="majorBidi" w:hAnsiTheme="majorBidi" w:cstheme="majorBidi"/>
          <w:i/>
          <w:iCs/>
        </w:rPr>
        <w:t>(testimonium de auditu</w:t>
      </w:r>
      <w:r w:rsidRPr="00CB082F">
        <w:rPr>
          <w:rFonts w:asciiTheme="majorBidi" w:hAnsiTheme="majorBidi" w:cstheme="majorBidi"/>
        </w:rPr>
        <w:t xml:space="preserve">), dan bahkan saksi ahli, menjadi faktor kunci dalam memperkuat kredibilitas suatu kesaksian. Konsep konsistensi ini sejalan dengan syarat-syarat umum yang harus dipenuhi oleh seorang saksi sebagaimana telah dijelaskan sebelumnya, yaitu sumpah, pengalaman langsung, konsistensi, alasan logis, dan latar belakang moral. </w:t>
      </w:r>
      <w:r w:rsidRPr="00766A04">
        <w:rPr>
          <w:rFonts w:asciiTheme="majorBidi" w:hAnsiTheme="majorBidi" w:cstheme="majorBidi"/>
        </w:rPr>
        <w:t xml:space="preserve">Putusan ini menegaskan bahwa kesaksian </w:t>
      </w:r>
      <w:r w:rsidRPr="00766A04">
        <w:rPr>
          <w:rFonts w:asciiTheme="majorBidi" w:hAnsiTheme="majorBidi" w:cstheme="majorBidi"/>
          <w:i/>
          <w:iCs/>
        </w:rPr>
        <w:t>testimonium de auditu</w:t>
      </w:r>
      <w:r w:rsidRPr="00766A04">
        <w:rPr>
          <w:rFonts w:asciiTheme="majorBidi" w:hAnsiTheme="majorBidi" w:cstheme="majorBidi"/>
        </w:rPr>
        <w:t>, meskipun seringkali menjadi objek perdebatan, dapat diakui sebagai bukti yang sah dalam peradilan, sepanjang didukung oleh bukti-bukti lain yang relevan dan memenuhi standar keberterimaan umum terhadap keterangan saksi.</w:t>
      </w:r>
    </w:p>
    <w:p w14:paraId="49FE09C8" w14:textId="4D1CFCAA" w:rsidR="008D372B" w:rsidRDefault="008D372B" w:rsidP="00E35317">
      <w:pPr>
        <w:pStyle w:val="ListParagraph"/>
        <w:spacing w:line="276" w:lineRule="auto"/>
        <w:ind w:left="284" w:firstLine="283"/>
        <w:jc w:val="both"/>
        <w:rPr>
          <w:rFonts w:asciiTheme="majorBidi" w:hAnsiTheme="majorBidi" w:cstheme="majorBidi"/>
        </w:rPr>
      </w:pPr>
      <w:r w:rsidRPr="00820805">
        <w:rPr>
          <w:rFonts w:asciiTheme="majorBidi" w:hAnsiTheme="majorBidi" w:cstheme="majorBidi"/>
        </w:rPr>
        <w:t>Analisis terhadap Putusan Mahkamah Syariah Takengon Nomor 9/JN/2023/MS.Tkn menunjukkan bahwa konsistensi keterangan antar</w:t>
      </w:r>
      <w:r w:rsidR="00822145">
        <w:rPr>
          <w:rFonts w:asciiTheme="majorBidi" w:hAnsiTheme="majorBidi" w:cstheme="majorBidi"/>
        </w:rPr>
        <w:t>a</w:t>
      </w:r>
      <w:r w:rsidRPr="00820805">
        <w:rPr>
          <w:rFonts w:asciiTheme="majorBidi" w:hAnsiTheme="majorBidi" w:cstheme="majorBidi"/>
        </w:rPr>
        <w:t xml:space="preserve"> saksi menjadi faktor krusial dalam penetapan putusan. Saksi korban, sebagai saksi mata, memberikan keterangan langsung mengenai peristiwa pelecehan seksual yang dialaminya. Sementara itu, saksi </w:t>
      </w:r>
      <w:r w:rsidRPr="00820805">
        <w:rPr>
          <w:rFonts w:asciiTheme="majorBidi" w:hAnsiTheme="majorBidi" w:cstheme="majorBidi"/>
          <w:i/>
          <w:iCs/>
        </w:rPr>
        <w:t>testimonium de auditu</w:t>
      </w:r>
      <w:r w:rsidRPr="00820805">
        <w:rPr>
          <w:rFonts w:asciiTheme="majorBidi" w:hAnsiTheme="majorBidi" w:cstheme="majorBidi"/>
        </w:rPr>
        <w:t xml:space="preserve"> menyajikan keterangan yang didasarkan pada informasi yang </w:t>
      </w:r>
      <w:r w:rsidRPr="00820805">
        <w:rPr>
          <w:rFonts w:asciiTheme="majorBidi" w:hAnsiTheme="majorBidi" w:cstheme="majorBidi"/>
        </w:rPr>
        <w:lastRenderedPageBreak/>
        <w:t>diperoleh secara</w:t>
      </w:r>
      <w:r>
        <w:rPr>
          <w:rFonts w:asciiTheme="majorBidi" w:hAnsiTheme="majorBidi" w:cstheme="majorBidi"/>
        </w:rPr>
        <w:t xml:space="preserve"> langsung dari korban</w:t>
      </w:r>
      <w:r w:rsidRPr="00CB082F">
        <w:rPr>
          <w:rFonts w:asciiTheme="majorBidi" w:hAnsiTheme="majorBidi" w:cstheme="majorBidi"/>
        </w:rPr>
        <w:t xml:space="preserve">. Keterkaitan antara </w:t>
      </w:r>
      <w:r>
        <w:rPr>
          <w:rFonts w:asciiTheme="majorBidi" w:hAnsiTheme="majorBidi" w:cstheme="majorBidi"/>
        </w:rPr>
        <w:t xml:space="preserve">kedua </w:t>
      </w:r>
      <w:r w:rsidRPr="00CB082F">
        <w:rPr>
          <w:rFonts w:asciiTheme="majorBidi" w:hAnsiTheme="majorBidi" w:cstheme="majorBidi"/>
        </w:rPr>
        <w:t>kesaksian ini menunjukkan bahwa tidak ada perbedaan signifikan dalam narasi atau keterangan yang disampaikan</w:t>
      </w:r>
      <w:r>
        <w:rPr>
          <w:rFonts w:asciiTheme="majorBidi" w:hAnsiTheme="majorBidi" w:cstheme="majorBidi"/>
        </w:rPr>
        <w:t xml:space="preserve"> untuk </w:t>
      </w:r>
      <w:r w:rsidRPr="00CB082F">
        <w:rPr>
          <w:rFonts w:asciiTheme="majorBidi" w:hAnsiTheme="majorBidi" w:cstheme="majorBidi"/>
        </w:rPr>
        <w:t xml:space="preserve">memperkuat keandalan informasi yang diberikan. Hal ini sejalan dengan prinsip hukum bahwa kesaksian yang konsisten dapat meningkatkan kredibilitas dan kepercayaan terhadap keterangan yang diberikan di persidangan. Selain itu, itu keterkaitan antara kesaksian saksi korban dan saksi </w:t>
      </w:r>
      <w:r w:rsidRPr="00CB082F">
        <w:rPr>
          <w:rFonts w:asciiTheme="majorBidi" w:hAnsiTheme="majorBidi" w:cstheme="majorBidi"/>
          <w:i/>
          <w:iCs/>
        </w:rPr>
        <w:t>testimonium de auditu</w:t>
      </w:r>
      <w:r w:rsidRPr="00CB082F">
        <w:rPr>
          <w:rFonts w:asciiTheme="majorBidi" w:hAnsiTheme="majorBidi" w:cstheme="majorBidi"/>
        </w:rPr>
        <w:t xml:space="preserve"> menunjukkan bahwa ada jaringan informasi yang saling mendukung. </w:t>
      </w:r>
    </w:p>
    <w:p w14:paraId="31CA1B18" w14:textId="77777777" w:rsidR="008D372B" w:rsidRDefault="008D372B" w:rsidP="00E35317">
      <w:pPr>
        <w:pStyle w:val="ListParagraph"/>
        <w:spacing w:line="276" w:lineRule="auto"/>
        <w:ind w:left="284" w:firstLine="283"/>
        <w:jc w:val="both"/>
        <w:rPr>
          <w:rFonts w:asciiTheme="majorBidi" w:hAnsiTheme="majorBidi" w:cstheme="majorBidi"/>
        </w:rPr>
      </w:pPr>
      <w:r w:rsidRPr="00485BD1">
        <w:rPr>
          <w:rFonts w:asciiTheme="majorBidi" w:hAnsiTheme="majorBidi" w:cstheme="majorBidi"/>
        </w:rPr>
        <w:t>Analisis terhadap kesaksian para saksi dalam kasus ini menunjukkan adanya pola konsistensi yang kuat. Keterangan spesifik saksi korban mengenai waktu, tempat, dan modus operandi tindakan pelecehan, yang kemudian dikonfirmasi oleh saksi lain, menciptakan narasi yang koheren dan kredibel. Selain itu, kesaksian orang tua korban yang menggambarkan dampak psikologis mendalam yang dialami anak-anak, seperti trauma dan rasa takut, semakin memperkuat dugaan adanya tindakan pelecehan seksual.</w:t>
      </w:r>
      <w:r>
        <w:rPr>
          <w:rStyle w:val="FootnoteReference"/>
          <w:rFonts w:asciiTheme="majorBidi" w:hAnsiTheme="majorBidi" w:cstheme="majorBidi"/>
        </w:rPr>
        <w:footnoteReference w:id="138"/>
      </w:r>
      <w:r w:rsidRPr="00485BD1">
        <w:rPr>
          <w:rFonts w:asciiTheme="majorBidi" w:hAnsiTheme="majorBidi" w:cstheme="majorBidi"/>
        </w:rPr>
        <w:t xml:space="preserve"> Hal ini menunjukkan bahwa tindakan terdakwa telah menimbulkan dampak yang signifikan terhadap korban dan lingkungan sosialnya.</w:t>
      </w:r>
    </w:p>
    <w:p w14:paraId="5932000E" w14:textId="77777777" w:rsidR="00E35317" w:rsidRDefault="008D372B" w:rsidP="00E35317">
      <w:pPr>
        <w:pStyle w:val="ListParagraph"/>
        <w:spacing w:line="276" w:lineRule="auto"/>
        <w:ind w:left="284" w:firstLine="283"/>
        <w:jc w:val="both"/>
        <w:rPr>
          <w:rFonts w:asciiTheme="majorBidi" w:hAnsiTheme="majorBidi" w:cstheme="majorBidi"/>
        </w:rPr>
      </w:pPr>
      <w:r w:rsidRPr="00485BD1">
        <w:rPr>
          <w:rFonts w:asciiTheme="majorBidi" w:hAnsiTheme="majorBidi" w:cstheme="majorBidi"/>
        </w:rPr>
        <w:t xml:space="preserve">Meskipun keterangan </w:t>
      </w:r>
      <w:r>
        <w:rPr>
          <w:rFonts w:asciiTheme="majorBidi" w:hAnsiTheme="majorBidi" w:cstheme="majorBidi"/>
        </w:rPr>
        <w:t xml:space="preserve">yang disampaikan orang tua korban </w:t>
      </w:r>
      <w:r w:rsidRPr="00485BD1">
        <w:rPr>
          <w:rFonts w:asciiTheme="majorBidi" w:hAnsiTheme="majorBidi" w:cstheme="majorBidi"/>
        </w:rPr>
        <w:t xml:space="preserve">saksi bersifat </w:t>
      </w:r>
      <w:r w:rsidRPr="00485BD1">
        <w:rPr>
          <w:rFonts w:asciiTheme="majorBidi" w:hAnsiTheme="majorBidi" w:cstheme="majorBidi"/>
          <w:i/>
          <w:iCs/>
        </w:rPr>
        <w:t>testimonium de auditu</w:t>
      </w:r>
      <w:r w:rsidRPr="00485BD1">
        <w:rPr>
          <w:rFonts w:asciiTheme="majorBidi" w:hAnsiTheme="majorBidi" w:cstheme="majorBidi"/>
        </w:rPr>
        <w:t xml:space="preserve">, majelis hakim dapat mempertimbangkan relevansi dan kredibilitas keterangan tersebut dalam keseluruhan </w:t>
      </w:r>
      <w:r>
        <w:rPr>
          <w:rFonts w:asciiTheme="majorBidi" w:hAnsiTheme="majorBidi" w:cstheme="majorBidi"/>
        </w:rPr>
        <w:t xml:space="preserve">alat </w:t>
      </w:r>
      <w:r w:rsidRPr="00485BD1">
        <w:rPr>
          <w:rFonts w:asciiTheme="majorBidi" w:hAnsiTheme="majorBidi" w:cstheme="majorBidi"/>
        </w:rPr>
        <w:t xml:space="preserve">bukti yang diajukan. Penilaian terhadap keterangan saksi </w:t>
      </w:r>
      <w:r w:rsidRPr="00485BD1">
        <w:rPr>
          <w:rFonts w:asciiTheme="majorBidi" w:hAnsiTheme="majorBidi" w:cstheme="majorBidi"/>
          <w:i/>
          <w:iCs/>
        </w:rPr>
        <w:t>testimonium de auditu</w:t>
      </w:r>
      <w:r w:rsidRPr="00485BD1">
        <w:rPr>
          <w:rFonts w:asciiTheme="majorBidi" w:hAnsiTheme="majorBidi" w:cstheme="majorBidi"/>
        </w:rPr>
        <w:t xml:space="preserve"> akan dilakukan secara komprehensif dengan </w:t>
      </w:r>
      <w:r>
        <w:rPr>
          <w:rFonts w:asciiTheme="majorBidi" w:hAnsiTheme="majorBidi" w:cstheme="majorBidi"/>
        </w:rPr>
        <w:t xml:space="preserve">cara </w:t>
      </w:r>
      <w:r w:rsidRPr="00485BD1">
        <w:rPr>
          <w:rFonts w:asciiTheme="majorBidi" w:hAnsiTheme="majorBidi" w:cstheme="majorBidi"/>
        </w:rPr>
        <w:t>mempertimbangkan faktor-faktor seperti konsistensi keterangan, kemampuan mengingat saksi, dan adan</w:t>
      </w:r>
      <w:r>
        <w:rPr>
          <w:rFonts w:asciiTheme="majorBidi" w:hAnsiTheme="majorBidi" w:cstheme="majorBidi"/>
        </w:rPr>
        <w:t xml:space="preserve">ya alat </w:t>
      </w:r>
      <w:r w:rsidRPr="00485BD1">
        <w:rPr>
          <w:rFonts w:asciiTheme="majorBidi" w:hAnsiTheme="majorBidi" w:cstheme="majorBidi"/>
        </w:rPr>
        <w:t xml:space="preserve">bukti </w:t>
      </w:r>
      <w:r w:rsidRPr="00485BD1">
        <w:rPr>
          <w:rFonts w:asciiTheme="majorBidi" w:hAnsiTheme="majorBidi" w:cstheme="majorBidi"/>
        </w:rPr>
        <w:lastRenderedPageBreak/>
        <w:t>lain yang mendukung.</w:t>
      </w:r>
      <w:r>
        <w:rPr>
          <w:rFonts w:asciiTheme="majorBidi" w:hAnsiTheme="majorBidi" w:cstheme="majorBidi"/>
        </w:rPr>
        <w:t xml:space="preserve"> </w:t>
      </w:r>
      <w:r w:rsidRPr="00CB082F">
        <w:rPr>
          <w:rFonts w:asciiTheme="majorBidi" w:hAnsiTheme="majorBidi" w:cstheme="majorBidi"/>
        </w:rPr>
        <w:t xml:space="preserve">Oleh sebab itu, </w:t>
      </w:r>
      <w:r w:rsidRPr="00CB082F">
        <w:rPr>
          <w:rFonts w:asciiTheme="majorBidi" w:hAnsiTheme="majorBidi" w:cstheme="majorBidi"/>
          <w:lang w:val="en-US"/>
        </w:rPr>
        <w:t xml:space="preserve">dalam kasus tindak pidana pelecehan seksual terhadap anak di bawah umur, kesaksian dari orang tua anak sebagai korban sering kali menjadi salah satu sumber informasi yang penting. </w:t>
      </w:r>
      <w:r w:rsidRPr="00C876B9">
        <w:rPr>
          <w:rFonts w:asciiTheme="majorBidi" w:hAnsiTheme="majorBidi" w:cstheme="majorBidi"/>
        </w:rPr>
        <w:t xml:space="preserve">Informasi yang diperoleh dari orang tua, meskipun bersifat </w:t>
      </w:r>
      <w:r w:rsidRPr="00C876B9">
        <w:rPr>
          <w:rFonts w:asciiTheme="majorBidi" w:hAnsiTheme="majorBidi" w:cstheme="majorBidi"/>
          <w:i/>
          <w:iCs/>
        </w:rPr>
        <w:t>testimonium de auditu</w:t>
      </w:r>
      <w:r w:rsidRPr="00C876B9">
        <w:rPr>
          <w:rFonts w:asciiTheme="majorBidi" w:hAnsiTheme="majorBidi" w:cstheme="majorBidi"/>
        </w:rPr>
        <w:t>, dapat memiliki nilai relevansi dalam proses peradilan. Keterangan orang tua mengenai apa yang diceritakan oleh anak mereka dapat memberikan</w:t>
      </w:r>
      <w:r>
        <w:rPr>
          <w:rFonts w:asciiTheme="majorBidi" w:hAnsiTheme="majorBidi" w:cstheme="majorBidi"/>
        </w:rPr>
        <w:t xml:space="preserve"> sebuah informasi </w:t>
      </w:r>
      <w:r w:rsidRPr="00C876B9">
        <w:rPr>
          <w:rFonts w:asciiTheme="majorBidi" w:hAnsiTheme="majorBidi" w:cstheme="majorBidi"/>
        </w:rPr>
        <w:t>yang penting untuk memahami peristiwa yang terjadi.</w:t>
      </w:r>
      <w:r>
        <w:rPr>
          <w:rFonts w:asciiTheme="majorBidi" w:hAnsiTheme="majorBidi" w:cstheme="majorBidi"/>
        </w:rPr>
        <w:t xml:space="preserve"> </w:t>
      </w:r>
    </w:p>
    <w:p w14:paraId="317E2E9A" w14:textId="5610AFB8" w:rsidR="008D372B" w:rsidRDefault="008D372B" w:rsidP="00E35317">
      <w:pPr>
        <w:pStyle w:val="ListParagraph"/>
        <w:spacing w:line="276" w:lineRule="auto"/>
        <w:ind w:left="284" w:firstLine="283"/>
        <w:jc w:val="both"/>
        <w:rPr>
          <w:rFonts w:asciiTheme="majorBidi" w:hAnsiTheme="majorBidi" w:cstheme="majorBidi"/>
          <w:lang w:val="en-US"/>
        </w:rPr>
      </w:pPr>
      <w:r w:rsidRPr="00CB082F">
        <w:rPr>
          <w:rFonts w:asciiTheme="majorBidi" w:hAnsiTheme="majorBidi" w:cstheme="majorBidi"/>
          <w:lang w:val="en-US"/>
        </w:rPr>
        <w:t>Dalam kasus pelecehan seksual terhadap anak, kesaksian orang tua seringkali menjadi sumber informasi yang penting. Terutama ketika anak sebagai korban mungkin tidak dapat atau tidak berani untuk berbicara tentang pengalaman traumatis</w:t>
      </w:r>
      <w:r>
        <w:rPr>
          <w:rFonts w:asciiTheme="majorBidi" w:hAnsiTheme="majorBidi" w:cstheme="majorBidi"/>
          <w:lang w:val="en-US"/>
        </w:rPr>
        <w:t xml:space="preserve"> yang dialaminya</w:t>
      </w:r>
      <w:r w:rsidRPr="00CB082F">
        <w:rPr>
          <w:rFonts w:asciiTheme="majorBidi" w:hAnsiTheme="majorBidi" w:cstheme="majorBidi"/>
          <w:lang w:val="en-US"/>
        </w:rPr>
        <w:t>. Sesuai dengan prinsip perlindungan anak dalam sistem peradilan pidana, pengadilan memiliki kewajiban untuk memberikan kesempatan kepada anak untuk didengar suaranya.</w:t>
      </w:r>
      <w:r>
        <w:rPr>
          <w:rStyle w:val="FootnoteReference"/>
          <w:rFonts w:asciiTheme="majorBidi" w:hAnsiTheme="majorBidi" w:cstheme="majorBidi"/>
          <w:lang w:val="en-US"/>
        </w:rPr>
        <w:footnoteReference w:id="139"/>
      </w:r>
      <w:r w:rsidRPr="00CB082F">
        <w:rPr>
          <w:rFonts w:asciiTheme="majorBidi" w:hAnsiTheme="majorBidi" w:cstheme="majorBidi"/>
          <w:lang w:val="en-US"/>
        </w:rPr>
        <w:t xml:space="preserve"> Namun, dalam praktiknya, seringkali anak mengalami kesulitan dalam menyampaikan pengalaman traumatis yang dialaminya. Dengan hal ini, keterangan orang tua yang mengetahui secara langsung kondisi anak dapat menjadi alat bukti yang sah. Meskipun bersifat </w:t>
      </w:r>
      <w:r w:rsidRPr="00CB082F">
        <w:rPr>
          <w:rFonts w:asciiTheme="majorBidi" w:hAnsiTheme="majorBidi" w:cstheme="majorBidi"/>
          <w:i/>
          <w:iCs/>
          <w:lang w:val="en-US"/>
        </w:rPr>
        <w:t>testimonium de auditu</w:t>
      </w:r>
      <w:r w:rsidRPr="00CB082F">
        <w:rPr>
          <w:rFonts w:asciiTheme="majorBidi" w:hAnsiTheme="majorBidi" w:cstheme="majorBidi"/>
          <w:lang w:val="en-US"/>
        </w:rPr>
        <w:t>, kesaksian orang tua dapat diperkuat dengan bukti-bukti lainnya, seperti laporan medis atau keterangan saksi lain, sehingga dapat menjadi dasar pertimbangan bagi hakim dalam mengambil keputusan.</w:t>
      </w:r>
    </w:p>
    <w:p w14:paraId="50CE9D57" w14:textId="77777777" w:rsidR="008D372B" w:rsidRDefault="008D372B" w:rsidP="00E35317">
      <w:pPr>
        <w:pStyle w:val="ListParagraph"/>
        <w:spacing w:line="276" w:lineRule="auto"/>
        <w:ind w:left="284" w:firstLine="283"/>
        <w:jc w:val="both"/>
        <w:rPr>
          <w:rFonts w:asciiTheme="majorBidi" w:hAnsiTheme="majorBidi" w:cstheme="majorBidi"/>
        </w:rPr>
      </w:pPr>
      <w:r w:rsidRPr="00493D48">
        <w:rPr>
          <w:rFonts w:asciiTheme="majorBidi" w:hAnsiTheme="majorBidi" w:cstheme="majorBidi"/>
          <w:lang w:val="en-US"/>
        </w:rPr>
        <w:t>Berdasarkan Putusan Mahkamah Syariah Takengon Nomor 9/JN/2023/MS.Tkn, keterangan</w:t>
      </w:r>
      <w:r>
        <w:rPr>
          <w:rFonts w:asciiTheme="majorBidi" w:hAnsiTheme="majorBidi" w:cstheme="majorBidi"/>
          <w:lang w:val="en-US"/>
        </w:rPr>
        <w:t xml:space="preserve"> </w:t>
      </w:r>
      <w:r w:rsidRPr="00493D48">
        <w:rPr>
          <w:rFonts w:asciiTheme="majorBidi" w:hAnsiTheme="majorBidi" w:cstheme="majorBidi"/>
          <w:lang w:val="en-US"/>
        </w:rPr>
        <w:t xml:space="preserve">dari orang tua </w:t>
      </w:r>
      <w:r>
        <w:rPr>
          <w:rFonts w:asciiTheme="majorBidi" w:hAnsiTheme="majorBidi" w:cstheme="majorBidi"/>
          <w:lang w:val="en-US"/>
        </w:rPr>
        <w:t xml:space="preserve">korban </w:t>
      </w:r>
      <w:r w:rsidRPr="00493D48">
        <w:rPr>
          <w:rFonts w:asciiTheme="majorBidi" w:hAnsiTheme="majorBidi" w:cstheme="majorBidi"/>
          <w:lang w:val="en-US"/>
        </w:rPr>
        <w:t xml:space="preserve">dapat menjadi alat bukti yang signifikan dalam upaya memahami pengalaman yang dialami anak. Dalam peristiwa yang dialami, </w:t>
      </w:r>
      <w:r w:rsidRPr="00493D48">
        <w:rPr>
          <w:rFonts w:asciiTheme="majorBidi" w:hAnsiTheme="majorBidi" w:cstheme="majorBidi"/>
          <w:lang w:val="en-US"/>
        </w:rPr>
        <w:lastRenderedPageBreak/>
        <w:t>anak seringkali mengalami kesulitan dalam memberikan keterangan secara langsung akibat kondisi psikologis yang terganggu.</w:t>
      </w:r>
      <w:r w:rsidRPr="00493D48">
        <w:rPr>
          <w:rFonts w:asciiTheme="majorBidi" w:hAnsiTheme="majorBidi" w:cstheme="majorBidi"/>
        </w:rPr>
        <w:t xml:space="preserve"> Keterikatan emosional yang kuat antara orang tua dan anak menjadikan</w:t>
      </w:r>
      <w:r>
        <w:rPr>
          <w:rFonts w:asciiTheme="majorBidi" w:hAnsiTheme="majorBidi" w:cstheme="majorBidi"/>
        </w:rPr>
        <w:t xml:space="preserve"> keduanya</w:t>
      </w:r>
      <w:r w:rsidRPr="00493D48">
        <w:rPr>
          <w:rFonts w:asciiTheme="majorBidi" w:hAnsiTheme="majorBidi" w:cstheme="majorBidi"/>
        </w:rPr>
        <w:t xml:space="preserve"> saksi yang paling memahami kondisi serta pengalaman hidup anak. Oleh karena itu, kesaksian orang tua seringkali menjadi kunci dalam mengungkap suatu peristiwa, terutama ketika melibatkan anak-anak. Meskipun potensi bias akibat kedekatan emosional ini perlu dipertimbangkan, namun dorongan kuat dan motivasi yang muncul untuk melindungi anak seringkali menguatkan niat orang tua untuk memberikan kesaksian yang jujur dan tulus. Kesaksian ini dapat mencakup berbagai aspek, mulai dari perubahan perilaku anak yang tidak biasa, keluhan yang disampaikan, hingga keterangan langsung dari anak mengenai kejadian yang dialaminya.</w:t>
      </w:r>
    </w:p>
    <w:p w14:paraId="2176F2D1" w14:textId="77777777" w:rsidR="008D372B" w:rsidRPr="0043398D" w:rsidRDefault="008D372B" w:rsidP="00E35317">
      <w:pPr>
        <w:pStyle w:val="ListParagraph"/>
        <w:spacing w:line="276" w:lineRule="auto"/>
        <w:ind w:left="284" w:firstLine="283"/>
        <w:jc w:val="both"/>
        <w:rPr>
          <w:rFonts w:asciiTheme="majorBidi" w:hAnsiTheme="majorBidi" w:cstheme="majorBidi"/>
        </w:rPr>
      </w:pPr>
      <w:r w:rsidRPr="0043398D">
        <w:rPr>
          <w:rFonts w:asciiTheme="majorBidi" w:hAnsiTheme="majorBidi" w:cstheme="majorBidi"/>
          <w:lang w:val="en-US"/>
        </w:rPr>
        <w:t xml:space="preserve">Penting untuk diingat bahwa kesaksian </w:t>
      </w:r>
      <w:r w:rsidRPr="0043398D">
        <w:rPr>
          <w:rFonts w:asciiTheme="majorBidi" w:hAnsiTheme="majorBidi" w:cstheme="majorBidi"/>
          <w:i/>
          <w:iCs/>
          <w:lang w:val="en-US"/>
        </w:rPr>
        <w:t>testimonium de auditu</w:t>
      </w:r>
      <w:r w:rsidRPr="0043398D">
        <w:rPr>
          <w:rFonts w:asciiTheme="majorBidi" w:hAnsiTheme="majorBidi" w:cstheme="majorBidi"/>
          <w:lang w:val="en-US"/>
        </w:rPr>
        <w:t xml:space="preserve"> dari orang tua harus dievaluasi dengan hati-hati. Oleh</w:t>
      </w:r>
      <w:r>
        <w:rPr>
          <w:rFonts w:asciiTheme="majorBidi" w:hAnsiTheme="majorBidi" w:cstheme="majorBidi"/>
          <w:lang w:val="en-US"/>
        </w:rPr>
        <w:t xml:space="preserve"> karena itu</w:t>
      </w:r>
      <w:r w:rsidRPr="0043398D">
        <w:rPr>
          <w:rFonts w:asciiTheme="majorBidi" w:hAnsiTheme="majorBidi" w:cstheme="majorBidi"/>
          <w:lang w:val="en-US"/>
        </w:rPr>
        <w:t xml:space="preserve">, </w:t>
      </w:r>
      <w:r>
        <w:rPr>
          <w:rFonts w:asciiTheme="majorBidi" w:hAnsiTheme="majorBidi" w:cstheme="majorBidi"/>
          <w:lang w:val="en-US"/>
        </w:rPr>
        <w:t xml:space="preserve">dalam </w:t>
      </w:r>
      <w:r w:rsidRPr="0043398D">
        <w:rPr>
          <w:rFonts w:asciiTheme="majorBidi" w:hAnsiTheme="majorBidi" w:cstheme="majorBidi"/>
          <w:lang w:val="en-US"/>
        </w:rPr>
        <w:t xml:space="preserve">setiap putusan yang dikeluarkan </w:t>
      </w:r>
      <w:r>
        <w:rPr>
          <w:rFonts w:asciiTheme="majorBidi" w:hAnsiTheme="majorBidi" w:cstheme="majorBidi"/>
          <w:lang w:val="en-US"/>
        </w:rPr>
        <w:t xml:space="preserve"> hakim </w:t>
      </w:r>
      <w:r w:rsidRPr="0043398D">
        <w:rPr>
          <w:rFonts w:asciiTheme="majorBidi" w:hAnsiTheme="majorBidi" w:cstheme="majorBidi"/>
          <w:lang w:val="en-US"/>
        </w:rPr>
        <w:t>perlu mempertimbangkan keandalan informasi yang disampaikan, termasuk kemungkinan adanya</w:t>
      </w:r>
      <w:r>
        <w:rPr>
          <w:rFonts w:asciiTheme="majorBidi" w:hAnsiTheme="majorBidi" w:cstheme="majorBidi"/>
          <w:lang w:val="en-US"/>
        </w:rPr>
        <w:t xml:space="preserve"> prasangka </w:t>
      </w:r>
      <w:r w:rsidRPr="0043398D">
        <w:rPr>
          <w:rFonts w:asciiTheme="majorBidi" w:hAnsiTheme="majorBidi" w:cstheme="majorBidi"/>
          <w:lang w:val="en-US"/>
        </w:rPr>
        <w:t>atau interpretasi yang salah. Dalam kasus pelecehan seksual, dimana emosi dan trauma dapat mempengaruhi dan menimbulkan persepsi yang berbeda, pengadilan harus memastikan bahwa kesaksian tersebut tidak hanya didasarkan pada asumsi atau kekhawatiran orang tua, tetapi juga didukung oleh alat bukti lain yang relevan.</w:t>
      </w:r>
    </w:p>
    <w:p w14:paraId="6B4DF817" w14:textId="77777777" w:rsidR="008D372B" w:rsidRPr="00F2208B" w:rsidRDefault="008D372B" w:rsidP="00E35317">
      <w:pPr>
        <w:pStyle w:val="ListParagraph"/>
        <w:spacing w:line="276" w:lineRule="auto"/>
        <w:ind w:left="284" w:firstLine="283"/>
        <w:jc w:val="both"/>
        <w:rPr>
          <w:rFonts w:asciiTheme="majorBidi" w:hAnsiTheme="majorBidi" w:cstheme="majorBidi"/>
          <w:lang w:val="en-US"/>
        </w:rPr>
      </w:pPr>
      <w:r w:rsidRPr="00F2208B">
        <w:rPr>
          <w:rFonts w:asciiTheme="majorBidi" w:hAnsiTheme="majorBidi" w:cstheme="majorBidi"/>
          <w:lang w:val="en-US"/>
        </w:rPr>
        <w:t>Dalam setiap perkara pidana, hakim memiliki tanggung jawab besar untuk memastikan keadilan ditegakkan. Oleh karena itu, hukum acara pidana telah menetapkan berbagai prinsip yang harus dipatuhi oleh hakim, salah satunya adalah prinsip kehati-hatian dalam menjatuhkan</w:t>
      </w:r>
      <w:r>
        <w:rPr>
          <w:rFonts w:asciiTheme="majorBidi" w:hAnsiTheme="majorBidi" w:cstheme="majorBidi"/>
          <w:lang w:val="en-US"/>
        </w:rPr>
        <w:t xml:space="preserve"> </w:t>
      </w:r>
      <w:r w:rsidRPr="00F2208B">
        <w:rPr>
          <w:rFonts w:asciiTheme="majorBidi" w:hAnsiTheme="majorBidi" w:cstheme="majorBidi"/>
          <w:lang w:val="en-US"/>
        </w:rPr>
        <w:t xml:space="preserve">hukuman. Hakim tidak boleh sembarangan menghukum seseorang, melainkan harus berdasarkan bukti-bukti yang kuat dan meyakinkan. Teori </w:t>
      </w:r>
      <w:r w:rsidRPr="00F2208B">
        <w:rPr>
          <w:rFonts w:asciiTheme="majorBidi" w:hAnsiTheme="majorBidi" w:cstheme="majorBidi"/>
          <w:lang w:val="en-US"/>
        </w:rPr>
        <w:lastRenderedPageBreak/>
        <w:t xml:space="preserve">pembuktian hukum </w:t>
      </w:r>
      <w:r w:rsidRPr="00F2208B">
        <w:rPr>
          <w:rFonts w:asciiTheme="majorBidi" w:hAnsiTheme="majorBidi" w:cstheme="majorBidi"/>
          <w:i/>
          <w:iCs/>
          <w:lang w:val="en-US"/>
        </w:rPr>
        <w:t>Negative Wettelijk</w:t>
      </w:r>
      <w:r w:rsidRPr="00F2208B">
        <w:rPr>
          <w:rFonts w:asciiTheme="majorBidi" w:hAnsiTheme="majorBidi" w:cstheme="majorBidi"/>
          <w:lang w:val="en-US"/>
        </w:rPr>
        <w:t xml:space="preserve"> atau pembuktian berdasarkan undang undang secara negatif mengharuskan adanya minimal dua alat bukti yang sah untuk menjatuhkan hukuman.</w:t>
      </w:r>
      <w:r w:rsidRPr="00CB082F">
        <w:rPr>
          <w:rStyle w:val="FootnoteReference"/>
          <w:rFonts w:asciiTheme="majorBidi" w:hAnsiTheme="majorBidi" w:cstheme="majorBidi"/>
          <w:lang w:val="en-US"/>
        </w:rPr>
        <w:footnoteReference w:id="140"/>
      </w:r>
      <w:r w:rsidRPr="00F2208B">
        <w:rPr>
          <w:rFonts w:asciiTheme="majorBidi" w:hAnsiTheme="majorBidi" w:cstheme="majorBidi"/>
          <w:lang w:val="en-US"/>
        </w:rPr>
        <w:t xml:space="preserve"> Hal ini menunjukkan bahwa hakim tidak boleh semata-mata mengandalkan kesaksian orang tua yang mana dalam hal ini sebagai saksi </w:t>
      </w:r>
      <w:r w:rsidRPr="00F2208B">
        <w:rPr>
          <w:rFonts w:asciiTheme="majorBidi" w:hAnsiTheme="majorBidi" w:cstheme="majorBidi"/>
          <w:i/>
          <w:iCs/>
          <w:lang w:val="en-US"/>
        </w:rPr>
        <w:t>testimonium de auditu</w:t>
      </w:r>
      <w:r w:rsidRPr="00F2208B">
        <w:rPr>
          <w:rFonts w:asciiTheme="majorBidi" w:hAnsiTheme="majorBidi" w:cstheme="majorBidi"/>
          <w:lang w:val="en-US"/>
        </w:rPr>
        <w:t xml:space="preserve">. Dalam kasus yang melibatkan anak sebagai korban, kesaksian orang tua seringkali menjadi titik awal dalam proses pembuktian. Meskipun kesaksian orang tua didasarkan pada apa yang tidak mereka lihat atau dengar, kesaksian ini tetap memiliki nilai yang penting. Meskipun memiliki nilai penting, adanya potensi bias emosional dalam kesaksian orang tua menuntut hakim untuk melakukan penyeimbangan dengan bukti-bukti lain yang objektif, seperti laporan medis atau keterangan saksi yang tidak memiliki hubungan emosional langsung dengan korban. Konsistensi antara kesaksian orang tua dengan bukti-bukti lain menjadi kunci dalam memperkuat kekuatan pembuktian. Namun, jika terdapat kontradiksi, maka hakim harus berhati-hati dalam menyimpulkan kebenaran materiil perkara, mengingat adanya prinsip </w:t>
      </w:r>
      <w:r w:rsidRPr="00F2208B">
        <w:rPr>
          <w:rFonts w:asciiTheme="majorBidi" w:hAnsiTheme="majorBidi" w:cstheme="majorBidi"/>
          <w:i/>
          <w:iCs/>
          <w:lang w:val="en-US"/>
        </w:rPr>
        <w:t>beyond reasonable doubt</w:t>
      </w:r>
      <w:r w:rsidRPr="00F2208B">
        <w:rPr>
          <w:rFonts w:asciiTheme="majorBidi" w:hAnsiTheme="majorBidi" w:cstheme="majorBidi"/>
          <w:lang w:val="en-US"/>
        </w:rPr>
        <w:t>/alasan yang tak dapat diragukan lagi yang dianut dalam sistem peradilan pidana yang mengharuskan hakim harus benar-benar yakin bahwa terdakwa telah bersalah melakukan tindak pidana.</w:t>
      </w:r>
    </w:p>
    <w:p w14:paraId="29338517" w14:textId="5DCD075D" w:rsidR="008D372B" w:rsidRPr="00476137" w:rsidRDefault="008D372B" w:rsidP="00E35317">
      <w:pPr>
        <w:pStyle w:val="Heading2"/>
        <w:numPr>
          <w:ilvl w:val="0"/>
          <w:numId w:val="72"/>
        </w:numPr>
        <w:spacing w:line="276" w:lineRule="auto"/>
        <w:ind w:left="284" w:hanging="284"/>
      </w:pPr>
      <w:bookmarkStart w:id="35" w:name="_Toc185961351"/>
      <w:bookmarkStart w:id="36" w:name="_Hlk185782862"/>
      <w:r w:rsidRPr="00476137">
        <w:t xml:space="preserve">Konsep </w:t>
      </w:r>
      <w:r w:rsidRPr="00E07EB5">
        <w:rPr>
          <w:i/>
          <w:iCs/>
        </w:rPr>
        <w:t>Testimonium De Auditu</w:t>
      </w:r>
      <w:r w:rsidRPr="00476137">
        <w:t xml:space="preserve"> pada Tindak Pidana Pelecehan Seksual terhadap Anak </w:t>
      </w:r>
      <w:r w:rsidR="00A37820">
        <w:t xml:space="preserve">dalam </w:t>
      </w:r>
      <w:r w:rsidRPr="00476137">
        <w:t>Per</w:t>
      </w:r>
      <w:r w:rsidR="00EE1704">
        <w:t>s</w:t>
      </w:r>
      <w:r w:rsidRPr="00476137">
        <w:t xml:space="preserve">pektif </w:t>
      </w:r>
      <w:r w:rsidR="00A37820">
        <w:t xml:space="preserve">Qanun </w:t>
      </w:r>
      <w:r w:rsidRPr="00476137">
        <w:t xml:space="preserve">Hukum Acara </w:t>
      </w:r>
      <w:r w:rsidRPr="00ED7DAC">
        <w:rPr>
          <w:i/>
          <w:iCs/>
        </w:rPr>
        <w:t>Jinayat</w:t>
      </w:r>
      <w:r w:rsidR="00A37820">
        <w:rPr>
          <w:i/>
          <w:iCs/>
        </w:rPr>
        <w:t xml:space="preserve"> </w:t>
      </w:r>
      <w:r w:rsidR="00A37820" w:rsidRPr="007E3EAF">
        <w:t>(QHAJ)</w:t>
      </w:r>
      <w:r w:rsidR="00A37820">
        <w:rPr>
          <w:i/>
          <w:iCs/>
        </w:rPr>
        <w:t xml:space="preserve"> </w:t>
      </w:r>
      <w:r w:rsidR="00A37820">
        <w:t xml:space="preserve">Studi </w:t>
      </w:r>
      <w:r w:rsidRPr="00476137">
        <w:t>Putusan Mahkamah Syariah Takengon Nomor 9/JN/2023/MS.Tkn.</w:t>
      </w:r>
      <w:bookmarkEnd w:id="35"/>
      <w:r w:rsidRPr="00476137">
        <w:t xml:space="preserve"> </w:t>
      </w:r>
    </w:p>
    <w:p w14:paraId="38858B36" w14:textId="77777777" w:rsidR="008D372B" w:rsidRDefault="008D372B" w:rsidP="00E35317">
      <w:pPr>
        <w:pStyle w:val="ListParagraph"/>
        <w:spacing w:line="276" w:lineRule="auto"/>
        <w:ind w:left="284" w:firstLine="283"/>
        <w:jc w:val="both"/>
        <w:rPr>
          <w:rFonts w:asciiTheme="majorBidi" w:hAnsiTheme="majorBidi" w:cstheme="majorBidi"/>
        </w:rPr>
      </w:pPr>
      <w:r w:rsidRPr="00CB082F">
        <w:rPr>
          <w:rFonts w:asciiTheme="majorBidi" w:hAnsiTheme="majorBidi" w:cstheme="majorBidi"/>
        </w:rPr>
        <w:lastRenderedPageBreak/>
        <w:t>Provinsi Aceh</w:t>
      </w:r>
      <w:r>
        <w:rPr>
          <w:rFonts w:asciiTheme="majorBidi" w:hAnsiTheme="majorBidi" w:cstheme="majorBidi"/>
        </w:rPr>
        <w:t xml:space="preserve"> </w:t>
      </w:r>
      <w:r w:rsidRPr="00CB082F">
        <w:rPr>
          <w:rFonts w:asciiTheme="majorBidi" w:hAnsiTheme="majorBidi" w:cstheme="majorBidi"/>
        </w:rPr>
        <w:t xml:space="preserve">merupakan salah satu </w:t>
      </w:r>
      <w:r>
        <w:rPr>
          <w:rFonts w:asciiTheme="majorBidi" w:hAnsiTheme="majorBidi" w:cstheme="majorBidi"/>
        </w:rPr>
        <w:t>P</w:t>
      </w:r>
      <w:r w:rsidRPr="00CB082F">
        <w:rPr>
          <w:rFonts w:asciiTheme="majorBidi" w:hAnsiTheme="majorBidi" w:cstheme="majorBidi"/>
        </w:rPr>
        <w:t>rovinsi yang terletak di ujung utara Pulau Sumatera, Indonesia. Provinsi Aceh memiliki keistimewaan dan ciri khas dalam penerapan sistem hukumnya. Aceh adalah satu-satunya Provinsi di Indonesia yang secara resmi menerapkan syariat Islam sebagai bagian dari sistem hukumnya.</w:t>
      </w:r>
      <w:r w:rsidRPr="00CB082F">
        <w:rPr>
          <w:rStyle w:val="FootnoteReference"/>
          <w:rFonts w:asciiTheme="majorBidi" w:hAnsiTheme="majorBidi" w:cstheme="majorBidi"/>
        </w:rPr>
        <w:footnoteReference w:id="141"/>
      </w:r>
      <w:r w:rsidRPr="00CB082F">
        <w:rPr>
          <w:rFonts w:asciiTheme="majorBidi" w:hAnsiTheme="majorBidi" w:cstheme="majorBidi"/>
        </w:rPr>
        <w:t xml:space="preserve"> Provinsi Aceh memiliki sistem peradilan khusus yang mengatur proses pemeriksaan dan penyelesaian perkara pidana yang bertentangan dengan syariat Islam.  </w:t>
      </w:r>
    </w:p>
    <w:p w14:paraId="763A77DF" w14:textId="77777777" w:rsidR="008D372B" w:rsidRDefault="008D372B" w:rsidP="00E35317">
      <w:pPr>
        <w:pStyle w:val="ListParagraph"/>
        <w:spacing w:line="276" w:lineRule="auto"/>
        <w:ind w:left="284" w:firstLine="283"/>
        <w:jc w:val="both"/>
        <w:rPr>
          <w:rFonts w:asciiTheme="majorBidi" w:hAnsiTheme="majorBidi" w:cstheme="majorBidi"/>
        </w:rPr>
      </w:pPr>
      <w:r w:rsidRPr="00F2208B">
        <w:rPr>
          <w:rFonts w:asciiTheme="majorBidi" w:hAnsiTheme="majorBidi" w:cstheme="majorBidi"/>
        </w:rPr>
        <w:t xml:space="preserve">Penerapan syariat </w:t>
      </w:r>
      <w:r>
        <w:rPr>
          <w:rFonts w:asciiTheme="majorBidi" w:hAnsiTheme="majorBidi" w:cstheme="majorBidi"/>
        </w:rPr>
        <w:t>I</w:t>
      </w:r>
      <w:r w:rsidRPr="00F2208B">
        <w:rPr>
          <w:rFonts w:asciiTheme="majorBidi" w:hAnsiTheme="majorBidi" w:cstheme="majorBidi"/>
        </w:rPr>
        <w:t>slam di Aceh dilandasi oleh beberapa payung hukum yang kuat. Undang-Undang Nomor 44 Tahun 1999 tentang Penyelenggaraan Keistimewaan Provinsi Aceh menjadi landasan utama, memberikan mandat kepada Aceh untuk melaksanakan syariat Islam secara penuh.</w:t>
      </w:r>
      <w:r>
        <w:rPr>
          <w:rStyle w:val="FootnoteReference"/>
          <w:rFonts w:asciiTheme="majorBidi" w:hAnsiTheme="majorBidi" w:cstheme="majorBidi"/>
        </w:rPr>
        <w:footnoteReference w:id="142"/>
      </w:r>
      <w:r w:rsidRPr="00F2208B">
        <w:rPr>
          <w:rFonts w:asciiTheme="majorBidi" w:hAnsiTheme="majorBidi" w:cstheme="majorBidi"/>
        </w:rPr>
        <w:t xml:space="preserve"> Hal ini diperkuat oleh Undang-Undang Nomor 18 Tahun 2001 tentang Otonomi Khusus yang mengakui keberadaan Qanun Aceh dan Mahkamah Syariah sebagai bagian integral dari sistem hukum nasional.</w:t>
      </w:r>
      <w:r>
        <w:rPr>
          <w:rStyle w:val="FootnoteReference"/>
          <w:rFonts w:asciiTheme="majorBidi" w:hAnsiTheme="majorBidi" w:cstheme="majorBidi"/>
        </w:rPr>
        <w:footnoteReference w:id="143"/>
      </w:r>
      <w:r w:rsidRPr="00F2208B">
        <w:rPr>
          <w:rFonts w:asciiTheme="majorBidi" w:hAnsiTheme="majorBidi" w:cstheme="majorBidi"/>
        </w:rPr>
        <w:t xml:space="preserve"> Puncaknya, Undang-Undang Nomor 11 Tahun 2006 tentang Pemerintahan Aceh memberikan legitimasi yang kuat bagi Pemerintah Aceh untuk secara aktif menerapkan syariat Islam. Realisasi dari legitimasi ini kemudian terwujud dalam bentuk Qanun Aceh Nomor 7 Tahun 2013 tentang Hukum Acara Jinayat (QHAJ) dan Qanun Aceh Nomor 6 Tahun 2014 tentang Hukum Jinayat (QHJ) yang secara rinci mengatur berbagai jenis pelanggaran dan sanksi yang berlaku di Aceh. Qanun Hukum </w:t>
      </w:r>
      <w:r w:rsidRPr="00F2208B">
        <w:rPr>
          <w:rFonts w:asciiTheme="majorBidi" w:hAnsiTheme="majorBidi" w:cstheme="majorBidi"/>
        </w:rPr>
        <w:lastRenderedPageBreak/>
        <w:t>Acara Jinayat (QHAJ) merupakan perwujudan nyata dari upaya untuk menerapkan prinsip-prinsip hukum Islam dalam sistem peradilan pidana</w:t>
      </w:r>
      <w:r>
        <w:rPr>
          <w:rFonts w:asciiTheme="majorBidi" w:hAnsiTheme="majorBidi" w:cstheme="majorBidi"/>
        </w:rPr>
        <w:t xml:space="preserve">. </w:t>
      </w:r>
    </w:p>
    <w:p w14:paraId="3C159D60" w14:textId="148E974E" w:rsidR="008D372B" w:rsidRPr="009637C1" w:rsidRDefault="008D372B" w:rsidP="00E35317">
      <w:pPr>
        <w:pStyle w:val="ListParagraph"/>
        <w:spacing w:line="276" w:lineRule="auto"/>
        <w:ind w:left="284" w:firstLine="283"/>
        <w:jc w:val="both"/>
        <w:rPr>
          <w:rFonts w:asciiTheme="majorBidi" w:hAnsiTheme="majorBidi" w:cstheme="majorBidi"/>
        </w:rPr>
      </w:pPr>
      <w:r w:rsidRPr="007F08D8">
        <w:rPr>
          <w:rFonts w:asciiTheme="majorBidi" w:hAnsiTheme="majorBidi" w:cstheme="majorBidi"/>
        </w:rPr>
        <w:t xml:space="preserve">Qanun Aceh Nomor 7 Tahun 2013 </w:t>
      </w:r>
      <w:r>
        <w:rPr>
          <w:rFonts w:asciiTheme="majorBidi" w:hAnsiTheme="majorBidi" w:cstheme="majorBidi"/>
        </w:rPr>
        <w:t xml:space="preserve">tentang hukum acara </w:t>
      </w:r>
      <w:r w:rsidRPr="00822145">
        <w:rPr>
          <w:rFonts w:asciiTheme="majorBidi" w:hAnsiTheme="majorBidi" w:cstheme="majorBidi"/>
          <w:i/>
          <w:iCs/>
        </w:rPr>
        <w:t>jin</w:t>
      </w:r>
      <w:r w:rsidR="00822145" w:rsidRPr="00822145">
        <w:rPr>
          <w:rFonts w:asciiTheme="majorBidi" w:hAnsiTheme="majorBidi" w:cstheme="majorBidi"/>
          <w:i/>
          <w:iCs/>
        </w:rPr>
        <w:t>a</w:t>
      </w:r>
      <w:r w:rsidRPr="00822145">
        <w:rPr>
          <w:rFonts w:asciiTheme="majorBidi" w:hAnsiTheme="majorBidi" w:cstheme="majorBidi"/>
          <w:i/>
          <w:iCs/>
        </w:rPr>
        <w:t>ya</w:t>
      </w:r>
      <w:r>
        <w:rPr>
          <w:rFonts w:asciiTheme="majorBidi" w:hAnsiTheme="majorBidi" w:cstheme="majorBidi"/>
        </w:rPr>
        <w:t xml:space="preserve">t </w:t>
      </w:r>
      <w:r w:rsidRPr="007F08D8">
        <w:rPr>
          <w:rFonts w:asciiTheme="majorBidi" w:hAnsiTheme="majorBidi" w:cstheme="majorBidi"/>
        </w:rPr>
        <w:t>secara eksplisit mengadopsi ketentuan Kitab Undang-Undang Hukum Acara Pidana (KUHAP) sebagai landasan</w:t>
      </w:r>
      <w:r>
        <w:rPr>
          <w:rFonts w:asciiTheme="majorBidi" w:hAnsiTheme="majorBidi" w:cstheme="majorBidi"/>
        </w:rPr>
        <w:t xml:space="preserve"> sistem</w:t>
      </w:r>
      <w:r w:rsidRPr="007F08D8">
        <w:rPr>
          <w:rFonts w:asciiTheme="majorBidi" w:hAnsiTheme="majorBidi" w:cstheme="majorBidi"/>
        </w:rPr>
        <w:t xml:space="preserve"> pembuktian dalam proses peradilan di lingkungan Mahkamah Syar'iyah </w:t>
      </w:r>
      <w:r>
        <w:rPr>
          <w:rFonts w:asciiTheme="majorBidi" w:hAnsiTheme="majorBidi" w:cstheme="majorBidi"/>
        </w:rPr>
        <w:t xml:space="preserve">di wilayah </w:t>
      </w:r>
      <w:r w:rsidRPr="007F08D8">
        <w:rPr>
          <w:rFonts w:asciiTheme="majorBidi" w:hAnsiTheme="majorBidi" w:cstheme="majorBidi"/>
        </w:rPr>
        <w:t>Aceh. Namun demikian, dalam perkara zina,</w:t>
      </w:r>
      <w:r>
        <w:rPr>
          <w:rFonts w:asciiTheme="majorBidi" w:hAnsiTheme="majorBidi" w:cstheme="majorBidi"/>
        </w:rPr>
        <w:t xml:space="preserve"> </w:t>
      </w:r>
      <w:r w:rsidR="00822145">
        <w:rPr>
          <w:rFonts w:asciiTheme="majorBidi" w:hAnsiTheme="majorBidi" w:cstheme="majorBidi"/>
        </w:rPr>
        <w:t xml:space="preserve">QHAJ </w:t>
      </w:r>
      <w:r w:rsidRPr="007F08D8">
        <w:rPr>
          <w:rFonts w:asciiTheme="majorBidi" w:hAnsiTheme="majorBidi" w:cstheme="majorBidi"/>
        </w:rPr>
        <w:t>juga menginkorporasikan kaidah hukum Islam yang mensyaratkan adanya empat orang saksi laki-laki yang adil dan merdeka untuk membuktikan tuduhan tersebut, sebagaimana tertuang dalam Pasal 182 ayat 5.</w:t>
      </w:r>
      <w:r>
        <w:rPr>
          <w:rStyle w:val="FootnoteReference"/>
          <w:rFonts w:asciiTheme="majorBidi" w:hAnsiTheme="majorBidi" w:cstheme="majorBidi"/>
        </w:rPr>
        <w:footnoteReference w:id="144"/>
      </w:r>
      <w:r>
        <w:rPr>
          <w:rFonts w:asciiTheme="majorBidi" w:hAnsiTheme="majorBidi" w:cstheme="majorBidi"/>
        </w:rPr>
        <w:t xml:space="preserve"> Oleh karena itu, d</w:t>
      </w:r>
      <w:r w:rsidRPr="009637C1">
        <w:rPr>
          <w:rFonts w:asciiTheme="majorBidi" w:hAnsiTheme="majorBidi" w:cstheme="majorBidi"/>
        </w:rPr>
        <w:t>alam sistem peradilan pidana yang menerapk</w:t>
      </w:r>
      <w:r w:rsidR="00822145">
        <w:rPr>
          <w:rFonts w:asciiTheme="majorBidi" w:hAnsiTheme="majorBidi" w:cstheme="majorBidi"/>
        </w:rPr>
        <w:t>a</w:t>
      </w:r>
      <w:r w:rsidRPr="009637C1">
        <w:rPr>
          <w:rFonts w:asciiTheme="majorBidi" w:hAnsiTheme="majorBidi" w:cstheme="majorBidi"/>
        </w:rPr>
        <w:t xml:space="preserve">n prinsip-prinsip hukum Islam, proses pembuktian memegang peranan krusial dalam menentukan kualifikasi suatu perbuatan sebagai tindak pidana serta penentuan besaran </w:t>
      </w:r>
      <w:r>
        <w:rPr>
          <w:rFonts w:asciiTheme="majorBidi" w:hAnsiTheme="majorBidi" w:cstheme="majorBidi"/>
        </w:rPr>
        <w:t xml:space="preserve">uqubah </w:t>
      </w:r>
      <w:r w:rsidRPr="009637C1">
        <w:rPr>
          <w:rFonts w:asciiTheme="majorBidi" w:hAnsiTheme="majorBidi" w:cstheme="majorBidi"/>
        </w:rPr>
        <w:t xml:space="preserve">yang layak dijatuhkan. </w:t>
      </w:r>
    </w:p>
    <w:p w14:paraId="24432CFD" w14:textId="10DE972B" w:rsidR="008D372B" w:rsidRPr="00B94C5A" w:rsidRDefault="008D372B" w:rsidP="00E35317">
      <w:pPr>
        <w:pStyle w:val="ListParagraph"/>
        <w:spacing w:line="276" w:lineRule="auto"/>
        <w:ind w:left="284" w:firstLine="283"/>
        <w:jc w:val="both"/>
        <w:rPr>
          <w:rFonts w:asciiTheme="majorBidi" w:hAnsiTheme="majorBidi" w:cstheme="majorBidi"/>
        </w:rPr>
      </w:pPr>
      <w:r>
        <w:rPr>
          <w:rFonts w:asciiTheme="majorBidi" w:hAnsiTheme="majorBidi" w:cstheme="majorBidi"/>
        </w:rPr>
        <w:t>Sistem pembuktian/</w:t>
      </w:r>
      <w:r w:rsidRPr="00B73AFD">
        <w:rPr>
          <w:rFonts w:asciiTheme="majorBidi" w:hAnsiTheme="majorBidi" w:cstheme="majorBidi"/>
          <w:i/>
          <w:iCs/>
        </w:rPr>
        <w:t>bayyinah</w:t>
      </w:r>
      <w:r w:rsidRPr="00F2208B">
        <w:rPr>
          <w:rFonts w:asciiTheme="majorBidi" w:hAnsiTheme="majorBidi" w:cstheme="majorBidi"/>
        </w:rPr>
        <w:t xml:space="preserve"> merupakan pilar penting dalam sistem peradilan Islam. Konsep</w:t>
      </w:r>
      <w:r w:rsidRPr="00B73AFD">
        <w:rPr>
          <w:rFonts w:asciiTheme="majorBidi" w:hAnsiTheme="majorBidi" w:cstheme="majorBidi"/>
        </w:rPr>
        <w:t xml:space="preserve"> pembuktian</w:t>
      </w:r>
      <w:r w:rsidRPr="00F2208B">
        <w:rPr>
          <w:rFonts w:asciiTheme="majorBidi" w:hAnsiTheme="majorBidi" w:cstheme="majorBidi"/>
        </w:rPr>
        <w:t xml:space="preserve">  dalam hukum Islam dapat diartikan sebagai </w:t>
      </w:r>
      <w:r>
        <w:rPr>
          <w:rFonts w:asciiTheme="majorBidi" w:hAnsiTheme="majorBidi" w:cstheme="majorBidi"/>
        </w:rPr>
        <w:t xml:space="preserve">sebuah </w:t>
      </w:r>
      <w:r w:rsidRPr="00F2208B">
        <w:rPr>
          <w:rFonts w:asciiTheme="majorBidi" w:hAnsiTheme="majorBidi" w:cstheme="majorBidi"/>
        </w:rPr>
        <w:t>bukti yang sah dan meyakinkan yang dapat diajukan dalam suatu persidangan untuk membuktikan atau menyangkal suatu tuduhan atau klaim. Konsep ini memiliki kedudukan yang sangat sentral dalam proses peradilan Islam, karena keputusan hukum yang adil harus didasarkan pada alat bukti yang kuat dan dapat dipertanggungjawabkan.</w:t>
      </w:r>
      <w:r w:rsidRPr="003D26D3">
        <w:t xml:space="preserve"> </w:t>
      </w:r>
      <w:r w:rsidRPr="003D26D3">
        <w:rPr>
          <w:rFonts w:asciiTheme="majorBidi" w:hAnsiTheme="majorBidi" w:cstheme="majorBidi"/>
        </w:rPr>
        <w:t xml:space="preserve">Dalam praktik peradilan di Aceh, sistem pembuktian pidana umumnya mengacu pada ketentuan Kitab Undang-Undang Hukum Acara Pidana (KUHAP). Hal ini terlihat dari kesamaan pengaturan alat bukti antara keduanya. Namun demikian, mengingat kekhasan Aceh sebagai wilayah </w:t>
      </w:r>
      <w:r w:rsidRPr="003D26D3">
        <w:rPr>
          <w:rFonts w:asciiTheme="majorBidi" w:hAnsiTheme="majorBidi" w:cstheme="majorBidi"/>
        </w:rPr>
        <w:lastRenderedPageBreak/>
        <w:t>dengan mayoritas penduduk muslim, sistem pembuktian di Aceh juga mengakomodasi metode-metode pembuktian yang telah mapan dalam tradisi hukum Islam, seperti</w:t>
      </w:r>
      <w:r w:rsidRPr="00B94C5A">
        <w:rPr>
          <w:rFonts w:asciiTheme="majorBidi" w:hAnsiTheme="majorBidi" w:cstheme="majorBidi"/>
        </w:rPr>
        <w:t>:</w:t>
      </w:r>
      <w:r w:rsidRPr="00CB082F">
        <w:rPr>
          <w:rStyle w:val="FootnoteReference"/>
          <w:rFonts w:asciiTheme="majorBidi" w:hAnsiTheme="majorBidi" w:cstheme="majorBidi"/>
        </w:rPr>
        <w:footnoteReference w:id="145"/>
      </w:r>
      <w:r w:rsidRPr="00B94C5A">
        <w:rPr>
          <w:rFonts w:asciiTheme="majorBidi" w:hAnsiTheme="majorBidi" w:cstheme="majorBidi"/>
        </w:rPr>
        <w:t xml:space="preserve"> </w:t>
      </w:r>
    </w:p>
    <w:p w14:paraId="4021B9D5" w14:textId="77777777" w:rsidR="008D372B" w:rsidRPr="00CB082F" w:rsidRDefault="008D372B" w:rsidP="00E35317">
      <w:pPr>
        <w:pStyle w:val="ListParagraph"/>
        <w:numPr>
          <w:ilvl w:val="0"/>
          <w:numId w:val="75"/>
        </w:numPr>
        <w:spacing w:line="276" w:lineRule="auto"/>
        <w:ind w:left="567" w:hanging="283"/>
        <w:jc w:val="both"/>
        <w:rPr>
          <w:rFonts w:asciiTheme="majorBidi" w:hAnsiTheme="majorBidi" w:cstheme="majorBidi"/>
        </w:rPr>
      </w:pPr>
      <w:r w:rsidRPr="00CB082F">
        <w:rPr>
          <w:rFonts w:asciiTheme="majorBidi" w:hAnsiTheme="majorBidi" w:cstheme="majorBidi"/>
          <w:i/>
          <w:iCs/>
        </w:rPr>
        <w:t>Syahada</w:t>
      </w:r>
      <w:r w:rsidRPr="00CB082F">
        <w:rPr>
          <w:rFonts w:asciiTheme="majorBidi" w:hAnsiTheme="majorBidi" w:cstheme="majorBidi"/>
        </w:rPr>
        <w:t xml:space="preserve">h (Keterangan saksi) merupakan pernyataan dari orang yang melihat atau mengetahui langsung suatu peristiwa. </w:t>
      </w:r>
    </w:p>
    <w:p w14:paraId="68E2E4A3" w14:textId="77777777" w:rsidR="008D372B" w:rsidRPr="00CB082F" w:rsidRDefault="008D372B" w:rsidP="00E35317">
      <w:pPr>
        <w:pStyle w:val="ListParagraph"/>
        <w:numPr>
          <w:ilvl w:val="0"/>
          <w:numId w:val="75"/>
        </w:numPr>
        <w:spacing w:line="276" w:lineRule="auto"/>
        <w:ind w:left="567" w:hanging="283"/>
        <w:jc w:val="both"/>
        <w:rPr>
          <w:rFonts w:asciiTheme="majorBidi" w:hAnsiTheme="majorBidi" w:cstheme="majorBidi"/>
        </w:rPr>
      </w:pPr>
      <w:r w:rsidRPr="00CB082F">
        <w:rPr>
          <w:rFonts w:asciiTheme="majorBidi" w:hAnsiTheme="majorBidi" w:cstheme="majorBidi"/>
          <w:i/>
          <w:iCs/>
        </w:rPr>
        <w:t>Iqrar</w:t>
      </w:r>
      <w:r w:rsidRPr="00CB082F">
        <w:rPr>
          <w:rFonts w:asciiTheme="majorBidi" w:hAnsiTheme="majorBidi" w:cstheme="majorBidi"/>
        </w:rPr>
        <w:t xml:space="preserve"> (Pengakuan) merupakan pengakuan dari pihak yang dituduh atas perbuatan yang dilakukannya. </w:t>
      </w:r>
    </w:p>
    <w:p w14:paraId="636A2D42" w14:textId="3D4F42C9" w:rsidR="008D372B" w:rsidRPr="00CB082F" w:rsidRDefault="008D372B" w:rsidP="00E35317">
      <w:pPr>
        <w:pStyle w:val="ListParagraph"/>
        <w:numPr>
          <w:ilvl w:val="0"/>
          <w:numId w:val="75"/>
        </w:numPr>
        <w:spacing w:line="276" w:lineRule="auto"/>
        <w:ind w:left="567" w:hanging="283"/>
        <w:jc w:val="both"/>
        <w:rPr>
          <w:rFonts w:asciiTheme="majorBidi" w:hAnsiTheme="majorBidi" w:cstheme="majorBidi"/>
        </w:rPr>
      </w:pPr>
      <w:r w:rsidRPr="00CB082F">
        <w:rPr>
          <w:rFonts w:asciiTheme="majorBidi" w:hAnsiTheme="majorBidi" w:cstheme="majorBidi"/>
          <w:i/>
          <w:iCs/>
        </w:rPr>
        <w:t>Kitabah</w:t>
      </w:r>
      <w:r w:rsidRPr="00CB082F">
        <w:rPr>
          <w:rFonts w:asciiTheme="majorBidi" w:hAnsiTheme="majorBidi" w:cstheme="majorBidi"/>
        </w:rPr>
        <w:t xml:space="preserve"> (Surat) mer</w:t>
      </w:r>
      <w:r w:rsidR="00822145">
        <w:rPr>
          <w:rFonts w:asciiTheme="majorBidi" w:hAnsiTheme="majorBidi" w:cstheme="majorBidi"/>
        </w:rPr>
        <w:t>u</w:t>
      </w:r>
      <w:r w:rsidRPr="00CB082F">
        <w:rPr>
          <w:rFonts w:asciiTheme="majorBidi" w:hAnsiTheme="majorBidi" w:cstheme="majorBidi"/>
        </w:rPr>
        <w:t xml:space="preserve">pakan dokumen tertulis yang dapat membuktikan suatu fakta. </w:t>
      </w:r>
    </w:p>
    <w:p w14:paraId="7B573A54" w14:textId="77777777" w:rsidR="008D372B" w:rsidRPr="00CB082F" w:rsidRDefault="008D372B" w:rsidP="00E35317">
      <w:pPr>
        <w:pStyle w:val="ListParagraph"/>
        <w:numPr>
          <w:ilvl w:val="0"/>
          <w:numId w:val="75"/>
        </w:numPr>
        <w:spacing w:line="276" w:lineRule="auto"/>
        <w:ind w:left="567" w:hanging="283"/>
        <w:jc w:val="both"/>
        <w:rPr>
          <w:rFonts w:asciiTheme="majorBidi" w:hAnsiTheme="majorBidi" w:cstheme="majorBidi"/>
        </w:rPr>
      </w:pPr>
      <w:r w:rsidRPr="00CB082F">
        <w:rPr>
          <w:rFonts w:asciiTheme="majorBidi" w:hAnsiTheme="majorBidi" w:cstheme="majorBidi"/>
          <w:i/>
          <w:iCs/>
        </w:rPr>
        <w:t>Qasam</w:t>
      </w:r>
      <w:r w:rsidRPr="00CB082F">
        <w:rPr>
          <w:rFonts w:asciiTheme="majorBidi" w:hAnsiTheme="majorBidi" w:cstheme="majorBidi"/>
        </w:rPr>
        <w:t xml:space="preserve"> (Sumpah) merupakan sumpah yang diucapkan oleh salah satu pihak dalam persengketaan. </w:t>
      </w:r>
    </w:p>
    <w:p w14:paraId="5C65A44C" w14:textId="77777777" w:rsidR="008D372B" w:rsidRPr="00CB082F" w:rsidRDefault="008D372B" w:rsidP="00E35317">
      <w:pPr>
        <w:pStyle w:val="ListParagraph"/>
        <w:numPr>
          <w:ilvl w:val="0"/>
          <w:numId w:val="75"/>
        </w:numPr>
        <w:spacing w:line="276" w:lineRule="auto"/>
        <w:ind w:left="567" w:hanging="283"/>
        <w:jc w:val="both"/>
        <w:rPr>
          <w:rFonts w:asciiTheme="majorBidi" w:hAnsiTheme="majorBidi" w:cstheme="majorBidi"/>
        </w:rPr>
      </w:pPr>
      <w:r w:rsidRPr="00CB082F">
        <w:rPr>
          <w:rFonts w:asciiTheme="majorBidi" w:hAnsiTheme="majorBidi" w:cstheme="majorBidi"/>
          <w:i/>
          <w:iCs/>
        </w:rPr>
        <w:t>Ilmu</w:t>
      </w:r>
      <w:r w:rsidRPr="00CB082F">
        <w:rPr>
          <w:rFonts w:asciiTheme="majorBidi" w:hAnsiTheme="majorBidi" w:cstheme="majorBidi"/>
        </w:rPr>
        <w:t xml:space="preserve"> (Keahlian) merupakan keterangan dari ahli atau pakar di bidang tertentu. </w:t>
      </w:r>
    </w:p>
    <w:p w14:paraId="425CD425" w14:textId="77777777" w:rsidR="008D372B" w:rsidRPr="00CB082F" w:rsidRDefault="008D372B" w:rsidP="00E35317">
      <w:pPr>
        <w:pStyle w:val="ListParagraph"/>
        <w:numPr>
          <w:ilvl w:val="0"/>
          <w:numId w:val="75"/>
        </w:numPr>
        <w:spacing w:line="276" w:lineRule="auto"/>
        <w:ind w:left="567" w:hanging="283"/>
        <w:jc w:val="both"/>
        <w:rPr>
          <w:rFonts w:asciiTheme="majorBidi" w:hAnsiTheme="majorBidi" w:cstheme="majorBidi"/>
        </w:rPr>
      </w:pPr>
      <w:r w:rsidRPr="00CB082F">
        <w:rPr>
          <w:rFonts w:asciiTheme="majorBidi" w:hAnsiTheme="majorBidi" w:cstheme="majorBidi"/>
          <w:i/>
          <w:iCs/>
        </w:rPr>
        <w:t>Qarinah</w:t>
      </w:r>
      <w:r w:rsidRPr="00CB082F">
        <w:rPr>
          <w:rFonts w:asciiTheme="majorBidi" w:hAnsiTheme="majorBidi" w:cstheme="majorBidi"/>
        </w:rPr>
        <w:t xml:space="preserve"> (Petunjuk) merupakan indikasi atau petunjuk yang dapat mengarah pada suatu kesimpulan.</w:t>
      </w:r>
    </w:p>
    <w:p w14:paraId="7E4375CA" w14:textId="36D1C5FE" w:rsidR="008D372B" w:rsidRDefault="008D372B" w:rsidP="00E35317">
      <w:pPr>
        <w:pStyle w:val="ListParagraph"/>
        <w:spacing w:line="276" w:lineRule="auto"/>
        <w:ind w:left="284" w:firstLine="283"/>
        <w:jc w:val="both"/>
        <w:rPr>
          <w:rFonts w:asciiTheme="majorBidi" w:hAnsiTheme="majorBidi" w:cstheme="majorBidi"/>
          <w:lang w:val="en-US"/>
        </w:rPr>
      </w:pPr>
      <w:r w:rsidRPr="00CB082F">
        <w:rPr>
          <w:rFonts w:asciiTheme="majorBidi" w:hAnsiTheme="majorBidi" w:cstheme="majorBidi"/>
          <w:lang w:val="en-US"/>
        </w:rPr>
        <w:t xml:space="preserve">Dalam peradilan </w:t>
      </w:r>
      <w:r w:rsidR="00ED7DAC">
        <w:rPr>
          <w:rFonts w:asciiTheme="majorBidi" w:hAnsiTheme="majorBidi" w:cstheme="majorBidi"/>
          <w:lang w:val="en-US"/>
        </w:rPr>
        <w:t>I</w:t>
      </w:r>
      <w:r w:rsidRPr="00CB082F">
        <w:rPr>
          <w:rFonts w:asciiTheme="majorBidi" w:hAnsiTheme="majorBidi" w:cstheme="majorBidi"/>
          <w:lang w:val="en-US"/>
        </w:rPr>
        <w:t>slam, keterangan saksi seringkali menjadi bukti utama, terutama untuk kasus-kasus yang sulit dibuktikan secara fisik. Adanya persyaratan jumlah saksi tertentu, seperti pada kasus zina yang mensyaratkan empat orang saksi adil, menunjukkan tingginya bobot yang diberikan pada keterangan saksi.</w:t>
      </w:r>
      <w:r>
        <w:rPr>
          <w:rStyle w:val="FootnoteReference"/>
          <w:rFonts w:asciiTheme="majorBidi" w:hAnsiTheme="majorBidi" w:cstheme="majorBidi"/>
          <w:lang w:val="en-US"/>
        </w:rPr>
        <w:footnoteReference w:id="146"/>
      </w:r>
      <w:r w:rsidRPr="00CB082F">
        <w:rPr>
          <w:rFonts w:asciiTheme="majorBidi" w:hAnsiTheme="majorBidi" w:cstheme="majorBidi"/>
          <w:lang w:val="en-US"/>
        </w:rPr>
        <w:t xml:space="preserve"> Selain itu, saksi dalam peradilan yang menganut syariat </w:t>
      </w:r>
      <w:r>
        <w:rPr>
          <w:rFonts w:asciiTheme="majorBidi" w:hAnsiTheme="majorBidi" w:cstheme="majorBidi"/>
          <w:lang w:val="en-US"/>
        </w:rPr>
        <w:t>I</w:t>
      </w:r>
      <w:r w:rsidRPr="00CB082F">
        <w:rPr>
          <w:rFonts w:asciiTheme="majorBidi" w:hAnsiTheme="majorBidi" w:cstheme="majorBidi"/>
          <w:lang w:val="en-US"/>
        </w:rPr>
        <w:t xml:space="preserve">slam harus memenuhi kriteria khusus seperti adil, dewasa/baligh, berakal sehat, melihat, dapat berbicara dan merdeka. Keterangan saksi juga harus disampaikan dibawah sumpah, yang menunjukkan pentingnya kejujuran dan kebenaran dalam memberikan keterangan. Perbedaan ini </w:t>
      </w:r>
      <w:r w:rsidRPr="00CB082F">
        <w:rPr>
          <w:rFonts w:asciiTheme="majorBidi" w:hAnsiTheme="majorBidi" w:cstheme="majorBidi"/>
          <w:lang w:val="en-US"/>
        </w:rPr>
        <w:lastRenderedPageBreak/>
        <w:t>muncul karena akar hukum acara jinayat yang berasal dari Al-Qur'an dan hadis</w:t>
      </w:r>
      <w:r w:rsidR="00ED7DAC">
        <w:rPr>
          <w:rFonts w:asciiTheme="majorBidi" w:hAnsiTheme="majorBidi" w:cstheme="majorBidi"/>
          <w:lang w:val="en-US"/>
        </w:rPr>
        <w:t>t</w:t>
      </w:r>
      <w:r w:rsidRPr="00CB082F">
        <w:rPr>
          <w:rFonts w:asciiTheme="majorBidi" w:hAnsiTheme="majorBidi" w:cstheme="majorBidi"/>
          <w:lang w:val="en-US"/>
        </w:rPr>
        <w:t>, serta tujuannya yang lebih spesifik untuk menegakkan hukum Allah</w:t>
      </w:r>
      <w:r w:rsidR="00ED7DAC">
        <w:rPr>
          <w:rFonts w:asciiTheme="majorBidi" w:hAnsiTheme="majorBidi" w:cstheme="majorBidi"/>
          <w:lang w:val="en-US"/>
        </w:rPr>
        <w:t xml:space="preserve"> SWT</w:t>
      </w:r>
      <w:r w:rsidRPr="00CB082F">
        <w:rPr>
          <w:rFonts w:asciiTheme="majorBidi" w:hAnsiTheme="majorBidi" w:cstheme="majorBidi"/>
          <w:lang w:val="en-US"/>
        </w:rPr>
        <w:t xml:space="preserve">. </w:t>
      </w:r>
    </w:p>
    <w:p w14:paraId="7D0ACB3A" w14:textId="24C1DC62" w:rsidR="008D372B" w:rsidRDefault="008D372B" w:rsidP="00E35317">
      <w:pPr>
        <w:pStyle w:val="ListParagraph"/>
        <w:spacing w:line="276" w:lineRule="auto"/>
        <w:ind w:left="284" w:firstLine="283"/>
        <w:jc w:val="both"/>
        <w:rPr>
          <w:rFonts w:asciiTheme="majorBidi" w:hAnsiTheme="majorBidi" w:cstheme="majorBidi"/>
          <w:lang w:val="en-US"/>
        </w:rPr>
      </w:pPr>
      <w:r w:rsidRPr="00F2208B">
        <w:rPr>
          <w:rFonts w:asciiTheme="majorBidi" w:hAnsiTheme="majorBidi" w:cstheme="majorBidi"/>
          <w:lang w:val="en-US"/>
        </w:rPr>
        <w:t xml:space="preserve">Putusan Mahkamah Syariah Takengon Nomor 9/JN/2023/MS.Tkn </w:t>
      </w:r>
      <w:r>
        <w:rPr>
          <w:rFonts w:asciiTheme="majorBidi" w:hAnsiTheme="majorBidi" w:cstheme="majorBidi"/>
          <w:lang w:val="en-US"/>
        </w:rPr>
        <w:t>menu</w:t>
      </w:r>
      <w:r w:rsidR="00822145">
        <w:rPr>
          <w:rFonts w:asciiTheme="majorBidi" w:hAnsiTheme="majorBidi" w:cstheme="majorBidi"/>
          <w:lang w:val="en-US"/>
        </w:rPr>
        <w:t>n</w:t>
      </w:r>
      <w:r>
        <w:rPr>
          <w:rFonts w:asciiTheme="majorBidi" w:hAnsiTheme="majorBidi" w:cstheme="majorBidi"/>
          <w:lang w:val="en-US"/>
        </w:rPr>
        <w:t xml:space="preserve">jukan penerapan prinsip-prinsip pembuktian yang baik dimana </w:t>
      </w:r>
      <w:r w:rsidRPr="00F2208B">
        <w:rPr>
          <w:rFonts w:asciiTheme="majorBidi" w:hAnsiTheme="majorBidi" w:cstheme="majorBidi"/>
          <w:lang w:val="en-US"/>
        </w:rPr>
        <w:t xml:space="preserve">hakim berusaha untuk mencapai kebenaran dan keadilan dengan mengumpulkan bukti-bukti dan mengambil keterangan keterangan para saksi sehingga dapat dipertanggungjawabkan dalam mengambil keputusan. </w:t>
      </w:r>
      <w:r>
        <w:rPr>
          <w:rFonts w:asciiTheme="majorBidi" w:hAnsiTheme="majorBidi" w:cstheme="majorBidi"/>
          <w:lang w:val="en-US"/>
        </w:rPr>
        <w:t xml:space="preserve">Oleh sebab itu, </w:t>
      </w:r>
      <w:r>
        <w:rPr>
          <w:rFonts w:asciiTheme="majorBidi" w:hAnsiTheme="majorBidi" w:cstheme="majorBidi"/>
        </w:rPr>
        <w:t>k</w:t>
      </w:r>
      <w:r w:rsidRPr="006B4C39">
        <w:rPr>
          <w:rFonts w:asciiTheme="majorBidi" w:hAnsiTheme="majorBidi" w:cstheme="majorBidi"/>
        </w:rPr>
        <w:t xml:space="preserve">esaksian memegang peranan penting dalam membuktikan </w:t>
      </w:r>
      <w:r>
        <w:rPr>
          <w:rFonts w:asciiTheme="majorBidi" w:hAnsiTheme="majorBidi" w:cstheme="majorBidi"/>
        </w:rPr>
        <w:t xml:space="preserve">telah </w:t>
      </w:r>
      <w:r w:rsidRPr="006B4C39">
        <w:rPr>
          <w:rFonts w:asciiTheme="majorBidi" w:hAnsiTheme="majorBidi" w:cstheme="majorBidi"/>
        </w:rPr>
        <w:t>terjadinya tindak pidana pelecehan seksual dalam perkara yang diadili oleh Mahkamah Syar'iyah Takengon. Hakim telah dengan cermat mempertimbangkan berbagai jenis kesaksian, mulai dari kesaksian langsung korban, kesaksian orang yang mendengar langsung peristiwa tersebut (</w:t>
      </w:r>
      <w:r w:rsidRPr="006B4C39">
        <w:rPr>
          <w:rFonts w:asciiTheme="majorBidi" w:hAnsiTheme="majorBidi" w:cstheme="majorBidi"/>
          <w:i/>
          <w:iCs/>
        </w:rPr>
        <w:t>testimonium de auditu</w:t>
      </w:r>
      <w:r w:rsidRPr="006B4C39">
        <w:rPr>
          <w:rFonts w:asciiTheme="majorBidi" w:hAnsiTheme="majorBidi" w:cstheme="majorBidi"/>
        </w:rPr>
        <w:t xml:space="preserve">), hingga keterangan ahli yang memberikan pendapat berdasarkan keahliannya. </w:t>
      </w:r>
    </w:p>
    <w:p w14:paraId="22237239" w14:textId="3C305A64" w:rsidR="008D372B" w:rsidRDefault="008D372B" w:rsidP="00E35317">
      <w:pPr>
        <w:pStyle w:val="ListParagraph"/>
        <w:spacing w:line="276" w:lineRule="auto"/>
        <w:ind w:left="284" w:firstLine="283"/>
        <w:jc w:val="both"/>
        <w:rPr>
          <w:rFonts w:asciiTheme="majorBidi" w:hAnsiTheme="majorBidi" w:cstheme="majorBidi"/>
          <w:lang w:val="en-US"/>
        </w:rPr>
      </w:pPr>
      <w:r w:rsidRPr="00F2208B">
        <w:rPr>
          <w:rFonts w:asciiTheme="majorBidi" w:hAnsiTheme="majorBidi" w:cstheme="majorBidi"/>
          <w:lang w:val="en-US"/>
        </w:rPr>
        <w:t>Saksi korban yang merupakan anak di bawah umur secara umum tidak memenuhi syarat untuk menjadi saksi dalam hukum Islam. Syarat utama untuk menjadi saksi dalam Islam adalah berakal sehat dan telah mencapai usia baligh.</w:t>
      </w:r>
      <w:r>
        <w:rPr>
          <w:rStyle w:val="FootnoteReference"/>
          <w:rFonts w:asciiTheme="majorBidi" w:hAnsiTheme="majorBidi" w:cstheme="majorBidi"/>
          <w:lang w:val="en-US"/>
        </w:rPr>
        <w:footnoteReference w:id="147"/>
      </w:r>
      <w:r w:rsidRPr="00F2208B">
        <w:rPr>
          <w:rFonts w:asciiTheme="majorBidi" w:hAnsiTheme="majorBidi" w:cstheme="majorBidi"/>
          <w:lang w:val="en-US"/>
        </w:rPr>
        <w:t xml:space="preserve"> Dengan demikian, kesaksian anak kecil umumnya tidak dapat diterima. Namun, permasalahan muncul ketika tidak ada saksi lain yang dapat memberikan keterangan mengenai tindak pelecehan yang terjadi. Seringkali, korban anak yang memiliki kedekatan dengan orang tuanya akan menceritakan kejadian tersebut kepada orang tua mereka. Meskipun orang tua tidak menyaksikan secara langsung peristiwa itu,</w:t>
      </w:r>
      <w:r w:rsidR="00C974D6">
        <w:rPr>
          <w:rFonts w:asciiTheme="majorBidi" w:hAnsiTheme="majorBidi" w:cstheme="majorBidi"/>
          <w:lang w:val="en-US"/>
        </w:rPr>
        <w:t xml:space="preserve"> namun orang tua</w:t>
      </w:r>
      <w:r w:rsidRPr="00F2208B">
        <w:rPr>
          <w:rFonts w:asciiTheme="majorBidi" w:hAnsiTheme="majorBidi" w:cstheme="majorBidi"/>
          <w:lang w:val="en-US"/>
        </w:rPr>
        <w:t xml:space="preserve"> mendapatkan informasi secara langsung dari anaknya. </w:t>
      </w:r>
      <w:r w:rsidRPr="00F2208B">
        <w:rPr>
          <w:rFonts w:asciiTheme="majorBidi" w:hAnsiTheme="majorBidi" w:cstheme="majorBidi"/>
          <w:lang w:val="en-US"/>
        </w:rPr>
        <w:lastRenderedPageBreak/>
        <w:t xml:space="preserve">Keterangan orang tua yang diperoleh dari informasi anak </w:t>
      </w:r>
      <w:r w:rsidR="00C974D6">
        <w:rPr>
          <w:rFonts w:asciiTheme="majorBidi" w:hAnsiTheme="majorBidi" w:cstheme="majorBidi"/>
          <w:lang w:val="en-US"/>
        </w:rPr>
        <w:t xml:space="preserve">dan diberikan pada saat persidangan </w:t>
      </w:r>
      <w:r w:rsidRPr="00F2208B">
        <w:rPr>
          <w:rFonts w:asciiTheme="majorBidi" w:hAnsiTheme="majorBidi" w:cstheme="majorBidi"/>
          <w:lang w:val="en-US"/>
        </w:rPr>
        <w:t xml:space="preserve">ini dalam istilah hukum disebut </w:t>
      </w:r>
      <w:r w:rsidRPr="00F2208B">
        <w:rPr>
          <w:rFonts w:asciiTheme="majorBidi" w:hAnsiTheme="majorBidi" w:cstheme="majorBidi"/>
          <w:i/>
          <w:iCs/>
          <w:lang w:val="en-US"/>
        </w:rPr>
        <w:t>testimonium de auditu</w:t>
      </w:r>
      <w:r>
        <w:rPr>
          <w:rFonts w:asciiTheme="majorBidi" w:hAnsiTheme="majorBidi" w:cstheme="majorBidi"/>
          <w:i/>
          <w:iCs/>
          <w:lang w:val="en-US"/>
        </w:rPr>
        <w:t>.</w:t>
      </w:r>
      <w:r w:rsidRPr="00F2208B">
        <w:rPr>
          <w:rFonts w:asciiTheme="majorBidi" w:hAnsiTheme="majorBidi" w:cstheme="majorBidi"/>
          <w:lang w:val="en-US"/>
        </w:rPr>
        <w:t xml:space="preserve"> </w:t>
      </w:r>
    </w:p>
    <w:p w14:paraId="44E1BBD0" w14:textId="26089069" w:rsidR="008D372B" w:rsidRDefault="008D372B" w:rsidP="00E35317">
      <w:pPr>
        <w:pStyle w:val="ListParagraph"/>
        <w:spacing w:line="276" w:lineRule="auto"/>
        <w:ind w:left="284" w:firstLine="283"/>
        <w:jc w:val="both"/>
        <w:rPr>
          <w:rFonts w:asciiTheme="majorBidi" w:hAnsiTheme="majorBidi" w:cstheme="majorBidi"/>
        </w:rPr>
      </w:pPr>
      <w:r>
        <w:rPr>
          <w:rFonts w:asciiTheme="majorBidi" w:hAnsiTheme="majorBidi" w:cstheme="majorBidi"/>
          <w:lang w:val="en-US"/>
        </w:rPr>
        <w:t>Konsep kes</w:t>
      </w:r>
      <w:r w:rsidRPr="00F2208B">
        <w:rPr>
          <w:rFonts w:asciiTheme="majorBidi" w:hAnsiTheme="majorBidi" w:cstheme="majorBidi"/>
          <w:lang w:val="en-US"/>
        </w:rPr>
        <w:t>aksi</w:t>
      </w:r>
      <w:r>
        <w:rPr>
          <w:rFonts w:asciiTheme="majorBidi" w:hAnsiTheme="majorBidi" w:cstheme="majorBidi"/>
          <w:lang w:val="en-US"/>
        </w:rPr>
        <w:t>an</w:t>
      </w:r>
      <w:r w:rsidRPr="00F2208B">
        <w:rPr>
          <w:rFonts w:asciiTheme="majorBidi" w:hAnsiTheme="majorBidi" w:cstheme="majorBidi"/>
          <w:lang w:val="en-US"/>
        </w:rPr>
        <w:t xml:space="preserve"> </w:t>
      </w:r>
      <w:r w:rsidRPr="00F2208B">
        <w:rPr>
          <w:rFonts w:asciiTheme="majorBidi" w:hAnsiTheme="majorBidi" w:cstheme="majorBidi"/>
          <w:i/>
          <w:iCs/>
          <w:lang w:val="en-US"/>
        </w:rPr>
        <w:t>testimonium de auditu</w:t>
      </w:r>
      <w:r>
        <w:rPr>
          <w:rFonts w:asciiTheme="majorBidi" w:hAnsiTheme="majorBidi" w:cstheme="majorBidi"/>
          <w:i/>
          <w:iCs/>
          <w:lang w:val="en-US"/>
        </w:rPr>
        <w:t xml:space="preserve"> </w:t>
      </w:r>
      <w:r w:rsidRPr="008419B5">
        <w:rPr>
          <w:rFonts w:asciiTheme="majorBidi" w:hAnsiTheme="majorBidi" w:cstheme="majorBidi"/>
          <w:lang w:val="en-US"/>
        </w:rPr>
        <w:t xml:space="preserve">dalam hukum </w:t>
      </w:r>
      <w:r>
        <w:rPr>
          <w:rFonts w:asciiTheme="majorBidi" w:hAnsiTheme="majorBidi" w:cstheme="majorBidi"/>
          <w:lang w:val="en-US"/>
        </w:rPr>
        <w:t>I</w:t>
      </w:r>
      <w:r w:rsidRPr="008419B5">
        <w:rPr>
          <w:rFonts w:asciiTheme="majorBidi" w:hAnsiTheme="majorBidi" w:cstheme="majorBidi"/>
          <w:lang w:val="en-US"/>
        </w:rPr>
        <w:t>slam dikenal dengan istilah</w:t>
      </w:r>
      <w:r>
        <w:rPr>
          <w:rFonts w:asciiTheme="majorBidi" w:hAnsiTheme="majorBidi" w:cstheme="majorBidi"/>
          <w:i/>
          <w:iCs/>
          <w:lang w:val="en-US"/>
        </w:rPr>
        <w:t xml:space="preserve"> </w:t>
      </w:r>
      <w:r w:rsidRPr="00F2208B">
        <w:rPr>
          <w:rFonts w:asciiTheme="majorBidi" w:hAnsiTheme="majorBidi" w:cstheme="majorBidi"/>
          <w:i/>
          <w:iCs/>
          <w:lang w:val="en-US"/>
        </w:rPr>
        <w:t>syahadah al istifadah</w:t>
      </w:r>
      <w:r>
        <w:rPr>
          <w:rFonts w:asciiTheme="majorBidi" w:hAnsiTheme="majorBidi" w:cstheme="majorBidi"/>
          <w:lang w:val="en-US"/>
        </w:rPr>
        <w:t xml:space="preserve">. </w:t>
      </w:r>
      <w:r w:rsidRPr="006B6571">
        <w:rPr>
          <w:rFonts w:asciiTheme="majorBidi" w:hAnsiTheme="majorBidi" w:cstheme="majorBidi"/>
          <w:i/>
          <w:iCs/>
          <w:lang w:val="en-US"/>
        </w:rPr>
        <w:t>Syahadah al istifadah</w:t>
      </w:r>
      <w:r>
        <w:rPr>
          <w:rFonts w:asciiTheme="majorBidi" w:hAnsiTheme="majorBidi" w:cstheme="majorBidi"/>
          <w:lang w:val="en-US"/>
        </w:rPr>
        <w:t xml:space="preserve"> </w:t>
      </w:r>
      <w:r w:rsidRPr="00F2208B">
        <w:rPr>
          <w:rFonts w:asciiTheme="majorBidi" w:hAnsiTheme="majorBidi" w:cstheme="majorBidi"/>
          <w:lang w:val="en-US"/>
        </w:rPr>
        <w:t>adalah kesaksian yang diperoleh dari pendengaran atau laporan orang lain mengenai suatu peristiwa.</w:t>
      </w:r>
      <w:r>
        <w:rPr>
          <w:rStyle w:val="FootnoteReference"/>
          <w:rFonts w:asciiTheme="majorBidi" w:hAnsiTheme="majorBidi" w:cstheme="majorBidi"/>
          <w:lang w:val="en-US"/>
        </w:rPr>
        <w:footnoteReference w:id="148"/>
      </w:r>
      <w:r w:rsidRPr="00F2208B">
        <w:rPr>
          <w:rFonts w:asciiTheme="majorBidi" w:hAnsiTheme="majorBidi" w:cstheme="majorBidi"/>
          <w:lang w:val="en-US"/>
        </w:rPr>
        <w:t xml:space="preserve"> Dalam hukum Islam, kesaksian ini memiliki karakteristik yang berbeda dibandingkan dengan kesaksian yang diperoleh dari pengamatannya secara langsung. Keterangan </w:t>
      </w:r>
      <w:r>
        <w:rPr>
          <w:rFonts w:asciiTheme="majorBidi" w:hAnsiTheme="majorBidi" w:cstheme="majorBidi"/>
          <w:lang w:val="en-US"/>
        </w:rPr>
        <w:t xml:space="preserve">dari </w:t>
      </w:r>
      <w:r w:rsidRPr="00F2208B">
        <w:rPr>
          <w:rFonts w:asciiTheme="majorBidi" w:hAnsiTheme="majorBidi" w:cstheme="majorBidi"/>
          <w:i/>
          <w:iCs/>
          <w:lang w:val="en-US"/>
        </w:rPr>
        <w:t>syahadah al istifadah</w:t>
      </w:r>
      <w:r w:rsidRPr="00F2208B">
        <w:rPr>
          <w:rFonts w:asciiTheme="majorBidi" w:hAnsiTheme="majorBidi" w:cstheme="majorBidi"/>
          <w:lang w:val="en-US"/>
        </w:rPr>
        <w:t xml:space="preserve"> diperbolehkan jika kabar</w:t>
      </w:r>
      <w:r>
        <w:rPr>
          <w:rFonts w:asciiTheme="majorBidi" w:hAnsiTheme="majorBidi" w:cstheme="majorBidi"/>
          <w:lang w:val="en-US"/>
        </w:rPr>
        <w:t>/berita</w:t>
      </w:r>
      <w:r w:rsidRPr="00F2208B">
        <w:rPr>
          <w:rFonts w:asciiTheme="majorBidi" w:hAnsiTheme="majorBidi" w:cstheme="majorBidi"/>
          <w:lang w:val="en-US"/>
        </w:rPr>
        <w:t xml:space="preserve"> tersebut sudah tersebar luas</w:t>
      </w:r>
      <w:r>
        <w:rPr>
          <w:rFonts w:asciiTheme="majorBidi" w:hAnsiTheme="majorBidi" w:cstheme="majorBidi"/>
          <w:lang w:val="en-US"/>
        </w:rPr>
        <w:t xml:space="preserve"> di</w:t>
      </w:r>
      <w:r w:rsidR="00822145">
        <w:rPr>
          <w:rFonts w:asciiTheme="majorBidi" w:hAnsiTheme="majorBidi" w:cstheme="majorBidi"/>
          <w:lang w:val="en-US"/>
        </w:rPr>
        <w:t xml:space="preserve"> </w:t>
      </w:r>
      <w:r>
        <w:rPr>
          <w:rFonts w:asciiTheme="majorBidi" w:hAnsiTheme="majorBidi" w:cstheme="majorBidi"/>
          <w:lang w:val="en-US"/>
        </w:rPr>
        <w:t>kalangan masyarakat</w:t>
      </w:r>
      <w:r w:rsidRPr="00F2208B">
        <w:rPr>
          <w:rFonts w:asciiTheme="majorBidi" w:hAnsiTheme="majorBidi" w:cstheme="majorBidi"/>
          <w:lang w:val="en-US"/>
        </w:rPr>
        <w:t>.</w:t>
      </w:r>
      <w:r w:rsidRPr="00E6676E">
        <w:t xml:space="preserve"> </w:t>
      </w:r>
      <w:r w:rsidRPr="00E6676E">
        <w:rPr>
          <w:rFonts w:asciiTheme="majorBidi" w:hAnsiTheme="majorBidi" w:cstheme="majorBidi"/>
        </w:rPr>
        <w:t xml:space="preserve">Meskipun </w:t>
      </w:r>
      <w:r w:rsidRPr="00E6676E">
        <w:rPr>
          <w:rFonts w:asciiTheme="majorBidi" w:hAnsiTheme="majorBidi" w:cstheme="majorBidi"/>
          <w:i/>
          <w:iCs/>
        </w:rPr>
        <w:t xml:space="preserve">syahadah al-istifadah </w:t>
      </w:r>
      <w:r w:rsidRPr="00E6676E">
        <w:rPr>
          <w:rFonts w:asciiTheme="majorBidi" w:hAnsiTheme="majorBidi" w:cstheme="majorBidi"/>
        </w:rPr>
        <w:t xml:space="preserve">dapat memberikan informasi tambahan dalam suatu perkara, namun secara yuridis, kesaksian jenis ini memiliki keterbatasan sebagai alat bukti. Hal ini disebabkan karena </w:t>
      </w:r>
      <w:r w:rsidRPr="00E6676E">
        <w:rPr>
          <w:rFonts w:asciiTheme="majorBidi" w:hAnsiTheme="majorBidi" w:cstheme="majorBidi"/>
          <w:i/>
          <w:iCs/>
        </w:rPr>
        <w:t>syahadah al-istifadah</w:t>
      </w:r>
      <w:r w:rsidRPr="00E6676E">
        <w:rPr>
          <w:rFonts w:asciiTheme="majorBidi" w:hAnsiTheme="majorBidi" w:cstheme="majorBidi"/>
        </w:rPr>
        <w:t xml:space="preserve"> tidak memenuhi syarat-syarat umum kesaksian dalam hukum Islam, yakni persyaratan untuk melihat secara langsung peristiwa yang disaksikannya. Oleh karena itu, dalam praktik peradilan, </w:t>
      </w:r>
      <w:r w:rsidRPr="007C45D7">
        <w:rPr>
          <w:rFonts w:asciiTheme="majorBidi" w:hAnsiTheme="majorBidi" w:cstheme="majorBidi"/>
          <w:i/>
          <w:iCs/>
        </w:rPr>
        <w:t>syahadah al-istifadah</w:t>
      </w:r>
      <w:r w:rsidRPr="00E6676E">
        <w:rPr>
          <w:rFonts w:asciiTheme="majorBidi" w:hAnsiTheme="majorBidi" w:cstheme="majorBidi"/>
        </w:rPr>
        <w:t xml:space="preserve"> umumnya tidak dapat berdiri sendiri sebagai bukti utama</w:t>
      </w:r>
      <w:r w:rsidRPr="00F2208B">
        <w:rPr>
          <w:rFonts w:asciiTheme="majorBidi" w:hAnsiTheme="majorBidi" w:cstheme="majorBidi"/>
        </w:rPr>
        <w:t>.</w:t>
      </w:r>
      <w:r w:rsidRPr="00CB082F">
        <w:rPr>
          <w:rStyle w:val="FootnoteReference"/>
          <w:rFonts w:asciiTheme="majorBidi" w:hAnsiTheme="majorBidi" w:cstheme="majorBidi"/>
        </w:rPr>
        <w:footnoteReference w:id="149"/>
      </w:r>
      <w:r w:rsidRPr="00F2208B">
        <w:rPr>
          <w:rFonts w:asciiTheme="majorBidi" w:hAnsiTheme="majorBidi" w:cstheme="majorBidi"/>
        </w:rPr>
        <w:t xml:space="preserve"> </w:t>
      </w:r>
    </w:p>
    <w:p w14:paraId="459B6D6A" w14:textId="263C642D" w:rsidR="00543ACE" w:rsidRPr="003D7277" w:rsidRDefault="008D372B" w:rsidP="00E35317">
      <w:pPr>
        <w:pStyle w:val="ListParagraph"/>
        <w:spacing w:line="276" w:lineRule="auto"/>
        <w:ind w:left="284" w:firstLine="283"/>
        <w:jc w:val="both"/>
        <w:rPr>
          <w:rFonts w:asciiTheme="majorBidi" w:hAnsiTheme="majorBidi" w:cstheme="majorBidi"/>
        </w:rPr>
      </w:pPr>
      <w:r>
        <w:rPr>
          <w:rFonts w:asciiTheme="majorBidi" w:hAnsiTheme="majorBidi" w:cstheme="majorBidi"/>
        </w:rPr>
        <w:t xml:space="preserve"> </w:t>
      </w:r>
      <w:r w:rsidRPr="000A0D77">
        <w:rPr>
          <w:rFonts w:asciiTheme="majorBidi" w:hAnsiTheme="majorBidi" w:cstheme="majorBidi"/>
        </w:rPr>
        <w:t>Berdasarkan analisi</w:t>
      </w:r>
      <w:r>
        <w:rPr>
          <w:rFonts w:asciiTheme="majorBidi" w:hAnsiTheme="majorBidi" w:cstheme="majorBidi"/>
        </w:rPr>
        <w:t xml:space="preserve">s </w:t>
      </w:r>
      <w:r w:rsidRPr="000A0D77">
        <w:rPr>
          <w:rFonts w:asciiTheme="majorBidi" w:hAnsiTheme="majorBidi" w:cstheme="majorBidi"/>
        </w:rPr>
        <w:t>terhadap Qanun Aceh Nomor 7 Tahun 2013 tentang Hukum Acara Jinayat (QHAJ), pen</w:t>
      </w:r>
      <w:r>
        <w:rPr>
          <w:rFonts w:asciiTheme="majorBidi" w:hAnsiTheme="majorBidi" w:cstheme="majorBidi"/>
        </w:rPr>
        <w:t>ulis</w:t>
      </w:r>
      <w:r w:rsidRPr="000A0D77">
        <w:rPr>
          <w:rFonts w:asciiTheme="majorBidi" w:hAnsiTheme="majorBidi" w:cstheme="majorBidi"/>
        </w:rPr>
        <w:t xml:space="preserve"> berpandangan bahwa </w:t>
      </w:r>
      <w:r>
        <w:rPr>
          <w:rFonts w:asciiTheme="majorBidi" w:hAnsiTheme="majorBidi" w:cstheme="majorBidi"/>
        </w:rPr>
        <w:t>P</w:t>
      </w:r>
      <w:r w:rsidRPr="000A0D77">
        <w:rPr>
          <w:rFonts w:asciiTheme="majorBidi" w:hAnsiTheme="majorBidi" w:cstheme="majorBidi"/>
        </w:rPr>
        <w:t xml:space="preserve">utusan </w:t>
      </w:r>
      <w:r>
        <w:rPr>
          <w:rFonts w:asciiTheme="majorBidi" w:hAnsiTheme="majorBidi" w:cstheme="majorBidi"/>
        </w:rPr>
        <w:t xml:space="preserve">Mahkamah Syariah Takengon </w:t>
      </w:r>
      <w:r w:rsidRPr="00187788">
        <w:rPr>
          <w:rFonts w:asciiTheme="majorBidi" w:hAnsiTheme="majorBidi" w:cstheme="majorBidi"/>
        </w:rPr>
        <w:t xml:space="preserve">Nomor 9/JN/2023/MS.Tkn </w:t>
      </w:r>
      <w:r w:rsidRPr="000A0D77">
        <w:rPr>
          <w:rFonts w:asciiTheme="majorBidi" w:hAnsiTheme="majorBidi" w:cstheme="majorBidi"/>
        </w:rPr>
        <w:t xml:space="preserve">yang menerima kesaksian </w:t>
      </w:r>
      <w:r w:rsidRPr="006B6571">
        <w:rPr>
          <w:rFonts w:asciiTheme="majorBidi" w:hAnsiTheme="majorBidi" w:cstheme="majorBidi"/>
          <w:i/>
          <w:iCs/>
        </w:rPr>
        <w:t>testimonium de auditu</w:t>
      </w:r>
      <w:r w:rsidRPr="000A0D77">
        <w:rPr>
          <w:rFonts w:asciiTheme="majorBidi" w:hAnsiTheme="majorBidi" w:cstheme="majorBidi"/>
        </w:rPr>
        <w:t xml:space="preserve"> bertentangan dengan ketentuan hukum yang berlaku. Hal ini disebabkan oleh syarat mutlak dalam QHAJ yang mensyaratkan adanya</w:t>
      </w:r>
      <w:r>
        <w:rPr>
          <w:rFonts w:asciiTheme="majorBidi" w:hAnsiTheme="majorBidi" w:cstheme="majorBidi"/>
        </w:rPr>
        <w:t xml:space="preserve"> </w:t>
      </w:r>
      <w:r w:rsidRPr="00F2208B">
        <w:rPr>
          <w:rFonts w:asciiTheme="majorBidi" w:hAnsiTheme="majorBidi" w:cstheme="majorBidi"/>
        </w:rPr>
        <w:t xml:space="preserve">kesaksian mengharuskan </w:t>
      </w:r>
      <w:r w:rsidRPr="00F2208B">
        <w:rPr>
          <w:rFonts w:asciiTheme="majorBidi" w:hAnsiTheme="majorBidi" w:cstheme="majorBidi"/>
        </w:rPr>
        <w:lastRenderedPageBreak/>
        <w:t xml:space="preserve">saksi memberikan keterangan berdasarkan pengamatan </w:t>
      </w:r>
      <w:r>
        <w:rPr>
          <w:rFonts w:asciiTheme="majorBidi" w:hAnsiTheme="majorBidi" w:cstheme="majorBidi"/>
        </w:rPr>
        <w:t xml:space="preserve">secara </w:t>
      </w:r>
      <w:r w:rsidRPr="00F2208B">
        <w:rPr>
          <w:rFonts w:asciiTheme="majorBidi" w:hAnsiTheme="majorBidi" w:cstheme="majorBidi"/>
        </w:rPr>
        <w:t>langsung</w:t>
      </w:r>
      <w:r w:rsidRPr="000A0D77">
        <w:rPr>
          <w:rFonts w:asciiTheme="majorBidi" w:hAnsiTheme="majorBidi" w:cstheme="majorBidi"/>
        </w:rPr>
        <w:t xml:space="preserve">  sebagai alat bukti yang sah</w:t>
      </w:r>
      <w:r w:rsidRPr="00F2208B">
        <w:rPr>
          <w:rFonts w:asciiTheme="majorBidi" w:hAnsiTheme="majorBidi" w:cstheme="majorBidi"/>
        </w:rPr>
        <w:t>.</w:t>
      </w:r>
      <w:r w:rsidRPr="00CB082F">
        <w:rPr>
          <w:rStyle w:val="FootnoteReference"/>
          <w:rFonts w:asciiTheme="majorBidi" w:hAnsiTheme="majorBidi" w:cstheme="majorBidi"/>
        </w:rPr>
        <w:footnoteReference w:id="150"/>
      </w:r>
      <w:r w:rsidRPr="00F2208B">
        <w:rPr>
          <w:rFonts w:asciiTheme="majorBidi" w:hAnsiTheme="majorBidi" w:cstheme="majorBidi"/>
        </w:rPr>
        <w:t xml:space="preserve"> Keterangan </w:t>
      </w:r>
      <w:r>
        <w:rPr>
          <w:rFonts w:asciiTheme="majorBidi" w:hAnsiTheme="majorBidi" w:cstheme="majorBidi"/>
        </w:rPr>
        <w:t xml:space="preserve">saksi </w:t>
      </w:r>
      <w:r w:rsidRPr="00F2208B">
        <w:rPr>
          <w:rFonts w:asciiTheme="majorBidi" w:hAnsiTheme="majorBidi" w:cstheme="majorBidi"/>
        </w:rPr>
        <w:t xml:space="preserve">yang sah adalah keterangan saksi </w:t>
      </w:r>
      <w:r w:rsidR="00C83117" w:rsidRPr="00C83117">
        <w:rPr>
          <w:rFonts w:asciiTheme="majorBidi" w:hAnsiTheme="majorBidi" w:cstheme="majorBidi"/>
        </w:rPr>
        <w:t>yang ia dengar sendiri, ia lihat sendiri dan ia alami sendiri</w:t>
      </w:r>
      <w:r w:rsidR="00C83117">
        <w:rPr>
          <w:rFonts w:asciiTheme="majorBidi" w:hAnsiTheme="majorBidi" w:cstheme="majorBidi"/>
        </w:rPr>
        <w:t xml:space="preserve">. </w:t>
      </w:r>
      <w:r w:rsidRPr="00F2208B">
        <w:rPr>
          <w:rFonts w:asciiTheme="majorBidi" w:hAnsiTheme="majorBidi" w:cstheme="majorBidi"/>
        </w:rPr>
        <w:t xml:space="preserve">Dengan kata lain, kesaksian yang hanya didasarkan pada apa yang didengar dari orang lain, tanpa adanya bukti langsung atau pengamatan pribadi, dianggap tidak memiliki kekuatan pembuktian yang cukup dalam persidangan. </w:t>
      </w:r>
    </w:p>
    <w:p w14:paraId="464DAC21" w14:textId="6C0A36B3" w:rsidR="008D372B" w:rsidRPr="00184568" w:rsidRDefault="008D372B" w:rsidP="00E35317">
      <w:pPr>
        <w:pStyle w:val="ListParagraph"/>
        <w:spacing w:line="276" w:lineRule="auto"/>
        <w:ind w:left="284" w:firstLine="283"/>
        <w:jc w:val="both"/>
        <w:rPr>
          <w:rFonts w:asciiTheme="majorBidi" w:hAnsiTheme="majorBidi" w:cstheme="majorBidi"/>
        </w:rPr>
      </w:pPr>
      <w:r w:rsidRPr="00F2208B">
        <w:rPr>
          <w:rFonts w:asciiTheme="majorBidi" w:hAnsiTheme="majorBidi" w:cstheme="majorBidi"/>
        </w:rPr>
        <w:t xml:space="preserve">Sebaliknya, </w:t>
      </w:r>
      <w:r>
        <w:rPr>
          <w:rFonts w:asciiTheme="majorBidi" w:hAnsiTheme="majorBidi" w:cstheme="majorBidi"/>
        </w:rPr>
        <w:t xml:space="preserve">meskipun dalam dalam QHAJ </w:t>
      </w:r>
      <w:r w:rsidRPr="004A62F0">
        <w:rPr>
          <w:rFonts w:asciiTheme="majorBidi" w:hAnsiTheme="majorBidi" w:cstheme="majorBidi"/>
          <w:i/>
          <w:iCs/>
        </w:rPr>
        <w:t>testimonium de auditu</w:t>
      </w:r>
      <w:r>
        <w:rPr>
          <w:rFonts w:asciiTheme="majorBidi" w:hAnsiTheme="majorBidi" w:cstheme="majorBidi"/>
        </w:rPr>
        <w:t xml:space="preserve"> tidak memenuhi ketentuan sebagai keterangan saksi, </w:t>
      </w:r>
      <w:r w:rsidRPr="00F2208B">
        <w:rPr>
          <w:rFonts w:asciiTheme="majorBidi" w:hAnsiTheme="majorBidi" w:cstheme="majorBidi"/>
        </w:rPr>
        <w:t xml:space="preserve">penulis berpendapat bahwa keterangan yang disampaikan oleh orang tua korban  </w:t>
      </w:r>
      <w:r w:rsidRPr="00F2208B">
        <w:rPr>
          <w:rFonts w:asciiTheme="majorBidi" w:hAnsiTheme="majorBidi" w:cstheme="majorBidi"/>
          <w:i/>
          <w:iCs/>
        </w:rPr>
        <w:t>(testimonium de auditu</w:t>
      </w:r>
      <w:r>
        <w:rPr>
          <w:rFonts w:asciiTheme="majorBidi" w:hAnsiTheme="majorBidi" w:cstheme="majorBidi"/>
          <w:i/>
          <w:iCs/>
        </w:rPr>
        <w:t>/syahadah al istifadah</w:t>
      </w:r>
      <w:r w:rsidRPr="00F2208B">
        <w:rPr>
          <w:rFonts w:asciiTheme="majorBidi" w:hAnsiTheme="majorBidi" w:cstheme="majorBidi"/>
        </w:rPr>
        <w:t xml:space="preserve">) </w:t>
      </w:r>
      <w:r>
        <w:rPr>
          <w:rFonts w:asciiTheme="majorBidi" w:hAnsiTheme="majorBidi" w:cstheme="majorBidi"/>
        </w:rPr>
        <w:t>dapat</w:t>
      </w:r>
      <w:r w:rsidRPr="00F2208B">
        <w:rPr>
          <w:rFonts w:asciiTheme="majorBidi" w:hAnsiTheme="majorBidi" w:cstheme="majorBidi"/>
        </w:rPr>
        <w:t xml:space="preserve"> dianggap sebagai </w:t>
      </w:r>
      <w:r w:rsidRPr="00F2208B">
        <w:rPr>
          <w:rFonts w:asciiTheme="majorBidi" w:hAnsiTheme="majorBidi" w:cstheme="majorBidi"/>
          <w:i/>
          <w:iCs/>
        </w:rPr>
        <w:t>qarinah</w:t>
      </w:r>
      <w:r w:rsidRPr="00F2208B">
        <w:rPr>
          <w:rFonts w:asciiTheme="majorBidi" w:hAnsiTheme="majorBidi" w:cstheme="majorBidi"/>
        </w:rPr>
        <w:t xml:space="preserve"> yang dapat membantu hakim dalam membangun gambaran keseluruhan mengenai suatu peristiwa. Hal itu sebagaimana dijelaskan oleh Wahbah az-Zuhaili bahwa </w:t>
      </w:r>
      <w:r w:rsidRPr="004A62F0">
        <w:rPr>
          <w:rFonts w:asciiTheme="majorBidi" w:hAnsiTheme="majorBidi" w:cstheme="majorBidi"/>
          <w:i/>
          <w:iCs/>
        </w:rPr>
        <w:t xml:space="preserve">qarinah </w:t>
      </w:r>
      <w:r w:rsidRPr="00F2208B">
        <w:rPr>
          <w:rFonts w:asciiTheme="majorBidi" w:hAnsiTheme="majorBidi" w:cstheme="majorBidi"/>
        </w:rPr>
        <w:t>adalah sebuah tanda atau petunjuk yang dapat menghubungkan suatu peristiwa yang jelas dengan peristiwa yang belum pasti.</w:t>
      </w:r>
      <w:r>
        <w:rPr>
          <w:rStyle w:val="FootnoteReference"/>
          <w:rFonts w:asciiTheme="majorBidi" w:hAnsiTheme="majorBidi" w:cstheme="majorBidi"/>
        </w:rPr>
        <w:footnoteReference w:id="151"/>
      </w:r>
      <w:r w:rsidRPr="00F2208B">
        <w:rPr>
          <w:rFonts w:asciiTheme="majorBidi" w:hAnsiTheme="majorBidi" w:cstheme="majorBidi"/>
        </w:rPr>
        <w:t xml:space="preserve"> </w:t>
      </w:r>
      <w:r w:rsidRPr="00184568">
        <w:rPr>
          <w:rFonts w:asciiTheme="majorBidi" w:hAnsiTheme="majorBidi" w:cstheme="majorBidi"/>
        </w:rPr>
        <w:t xml:space="preserve">Penerimaan keterangan saksi sebagai </w:t>
      </w:r>
      <w:r w:rsidRPr="00184568">
        <w:rPr>
          <w:rFonts w:asciiTheme="majorBidi" w:hAnsiTheme="majorBidi" w:cstheme="majorBidi"/>
          <w:i/>
          <w:iCs/>
        </w:rPr>
        <w:t>qarinah</w:t>
      </w:r>
      <w:r w:rsidRPr="00184568">
        <w:rPr>
          <w:rFonts w:asciiTheme="majorBidi" w:hAnsiTheme="majorBidi" w:cstheme="majorBidi"/>
        </w:rPr>
        <w:t xml:space="preserve"> dalam proses peradilan mensyaratkan terpenuhinya dua kriteria pokok yang telah dirumuskan dalam kaidah-kaidah hukum yaitu: </w:t>
      </w:r>
      <w:r w:rsidRPr="00184568">
        <w:rPr>
          <w:rFonts w:asciiTheme="majorBidi" w:hAnsiTheme="majorBidi" w:cstheme="majorBidi"/>
          <w:i/>
          <w:iCs/>
        </w:rPr>
        <w:t>pertama</w:t>
      </w:r>
      <w:r w:rsidRPr="00184568">
        <w:rPr>
          <w:rFonts w:asciiTheme="majorBidi" w:hAnsiTheme="majorBidi" w:cstheme="majorBidi"/>
        </w:rPr>
        <w:t xml:space="preserve">, </w:t>
      </w:r>
      <w:bookmarkStart w:id="37" w:name="_Hlk179203540"/>
      <w:r w:rsidRPr="00184568">
        <w:rPr>
          <w:rFonts w:asciiTheme="majorBidi" w:hAnsiTheme="majorBidi" w:cstheme="majorBidi"/>
        </w:rPr>
        <w:t xml:space="preserve">adanya fakta yang jelas dan pasti yang dapat dijadikan dasar dan </w:t>
      </w:r>
      <w:r w:rsidRPr="00184568">
        <w:rPr>
          <w:rFonts w:asciiTheme="majorBidi" w:hAnsiTheme="majorBidi" w:cstheme="majorBidi"/>
          <w:i/>
          <w:iCs/>
        </w:rPr>
        <w:t>kedua</w:t>
      </w:r>
      <w:r w:rsidRPr="00184568">
        <w:rPr>
          <w:rFonts w:asciiTheme="majorBidi" w:hAnsiTheme="majorBidi" w:cstheme="majorBidi"/>
        </w:rPr>
        <w:t xml:space="preserve">, adanya hubungan yang logis antara fakta dengan peristiwa yang ingin dibuktikan. </w:t>
      </w:r>
      <w:bookmarkEnd w:id="37"/>
      <w:r w:rsidRPr="00184568">
        <w:rPr>
          <w:rFonts w:asciiTheme="majorBidi" w:hAnsiTheme="majorBidi" w:cstheme="majorBidi"/>
        </w:rPr>
        <w:t xml:space="preserve">Pendekatan ini sejalan dengan pandangan ulama Hanafi yang secara luas memanfaatkan </w:t>
      </w:r>
      <w:r w:rsidRPr="00184568">
        <w:rPr>
          <w:rFonts w:asciiTheme="majorBidi" w:hAnsiTheme="majorBidi" w:cstheme="majorBidi"/>
          <w:i/>
          <w:iCs/>
        </w:rPr>
        <w:t>qarinah</w:t>
      </w:r>
      <w:r w:rsidRPr="00184568">
        <w:rPr>
          <w:rFonts w:asciiTheme="majorBidi" w:hAnsiTheme="majorBidi" w:cstheme="majorBidi"/>
        </w:rPr>
        <w:t xml:space="preserve"> sebagai alat bukti dalam peradilan Islam.</w:t>
      </w:r>
      <w:r>
        <w:rPr>
          <w:rStyle w:val="FootnoteReference"/>
          <w:rFonts w:asciiTheme="majorBidi" w:hAnsiTheme="majorBidi" w:cstheme="majorBidi"/>
        </w:rPr>
        <w:footnoteReference w:id="152"/>
      </w:r>
      <w:r w:rsidRPr="00184568">
        <w:rPr>
          <w:rFonts w:asciiTheme="majorBidi" w:hAnsiTheme="majorBidi" w:cstheme="majorBidi"/>
        </w:rPr>
        <w:t xml:space="preserve"> Dengan demikian, meskipun tidak dapat berdiri sendiri sebagai </w:t>
      </w:r>
      <w:r w:rsidR="00CD703D" w:rsidRPr="00184568">
        <w:rPr>
          <w:rFonts w:asciiTheme="majorBidi" w:hAnsiTheme="majorBidi" w:cstheme="majorBidi"/>
        </w:rPr>
        <w:t xml:space="preserve">alat </w:t>
      </w:r>
      <w:r w:rsidRPr="00184568">
        <w:rPr>
          <w:rFonts w:asciiTheme="majorBidi" w:hAnsiTheme="majorBidi" w:cstheme="majorBidi"/>
        </w:rPr>
        <w:t xml:space="preserve">bukti mutlak, keterangan orang tua korban dapat menjadi salah satu elemen penting </w:t>
      </w:r>
      <w:r w:rsidRPr="00184568">
        <w:rPr>
          <w:rFonts w:asciiTheme="majorBidi" w:hAnsiTheme="majorBidi" w:cstheme="majorBidi"/>
        </w:rPr>
        <w:lastRenderedPageBreak/>
        <w:t>dalam proses pembuktian, terutama jika didukung oleh bukti-bukti lain yang relevan.</w:t>
      </w:r>
      <w:r w:rsidRPr="00CB082F">
        <w:rPr>
          <w:rStyle w:val="FootnoteReference"/>
          <w:rFonts w:asciiTheme="majorBidi" w:hAnsiTheme="majorBidi" w:cstheme="majorBidi"/>
        </w:rPr>
        <w:footnoteReference w:id="153"/>
      </w:r>
    </w:p>
    <w:p w14:paraId="2CD151A5" w14:textId="0FD601CF" w:rsidR="008D372B" w:rsidRPr="00184568" w:rsidRDefault="008D372B" w:rsidP="00E35317">
      <w:pPr>
        <w:pStyle w:val="ListParagraph"/>
        <w:spacing w:line="276" w:lineRule="auto"/>
        <w:ind w:left="284" w:firstLine="283"/>
        <w:jc w:val="both"/>
        <w:rPr>
          <w:rFonts w:asciiTheme="majorBidi" w:hAnsiTheme="majorBidi" w:cstheme="majorBidi"/>
        </w:rPr>
      </w:pPr>
      <w:r w:rsidRPr="00187788">
        <w:rPr>
          <w:rFonts w:asciiTheme="majorBidi" w:hAnsiTheme="majorBidi" w:cstheme="majorBidi"/>
        </w:rPr>
        <w:t xml:space="preserve">Analisis terhadap Putusan Mahkamah Syar'iyah Takengon Nomor 9/JN/2023/MS.Tkn mengindikasikan adanya upaya untuk memberikan legitimasi terhadap penggunaan </w:t>
      </w:r>
      <w:r w:rsidRPr="00187788">
        <w:rPr>
          <w:rFonts w:asciiTheme="majorBidi" w:hAnsiTheme="majorBidi" w:cstheme="majorBidi"/>
          <w:i/>
          <w:iCs/>
        </w:rPr>
        <w:t>syahadah al-istifadah</w:t>
      </w:r>
      <w:r w:rsidRPr="00187788">
        <w:rPr>
          <w:rFonts w:asciiTheme="majorBidi" w:hAnsiTheme="majorBidi" w:cstheme="majorBidi"/>
        </w:rPr>
        <w:t xml:space="preserve"> sebagai </w:t>
      </w:r>
      <w:r w:rsidRPr="00187788">
        <w:rPr>
          <w:rFonts w:asciiTheme="majorBidi" w:hAnsiTheme="majorBidi" w:cstheme="majorBidi"/>
          <w:i/>
          <w:iCs/>
        </w:rPr>
        <w:t>qarinah</w:t>
      </w:r>
      <w:r w:rsidRPr="00187788">
        <w:rPr>
          <w:rFonts w:asciiTheme="majorBidi" w:hAnsiTheme="majorBidi" w:cstheme="majorBidi"/>
        </w:rPr>
        <w:t xml:space="preserve"> dalam proses peradilan. Penulis berargumen bahwa jenis kesaksian ini dapat berkontribusi signifikan dalam membantu hakim memahami perkara secara lebih komprehensif, sehingga memungkinkan pengambilan keputusan yang lebih adil dan tepat.</w:t>
      </w:r>
      <w:r>
        <w:rPr>
          <w:rFonts w:asciiTheme="majorBidi" w:hAnsiTheme="majorBidi" w:cstheme="majorBidi"/>
        </w:rPr>
        <w:t xml:space="preserve"> </w:t>
      </w:r>
      <w:r w:rsidRPr="00F2208B">
        <w:rPr>
          <w:rFonts w:asciiTheme="majorBidi" w:hAnsiTheme="majorBidi" w:cstheme="majorBidi"/>
        </w:rPr>
        <w:t xml:space="preserve">Dalam </w:t>
      </w:r>
      <w:r w:rsidR="00CD703D" w:rsidRPr="00F2208B">
        <w:rPr>
          <w:rFonts w:asciiTheme="majorBidi" w:hAnsiTheme="majorBidi" w:cstheme="majorBidi"/>
        </w:rPr>
        <w:t>Hukum Acara Jinayat,</w:t>
      </w:r>
      <w:r w:rsidRPr="00F2208B">
        <w:rPr>
          <w:rFonts w:asciiTheme="majorBidi" w:hAnsiTheme="majorBidi" w:cstheme="majorBidi"/>
        </w:rPr>
        <w:t xml:space="preserve"> </w:t>
      </w:r>
      <w:r w:rsidRPr="00F2208B">
        <w:rPr>
          <w:rFonts w:asciiTheme="majorBidi" w:hAnsiTheme="majorBidi" w:cstheme="majorBidi"/>
          <w:i/>
          <w:iCs/>
        </w:rPr>
        <w:t>syahadah al-istifadah</w:t>
      </w:r>
      <w:r w:rsidRPr="00F2208B">
        <w:rPr>
          <w:rFonts w:asciiTheme="majorBidi" w:hAnsiTheme="majorBidi" w:cstheme="majorBidi"/>
        </w:rPr>
        <w:t xml:space="preserve"> dapat berfungsi sebagai petunjuk penting yang dapat memperkuat bukti-bukti lain dalam persidangan. Pandangan ini sejalan dengan pendapat Ibnu Qayyim al-Jauziyah dalam kitabnya </w:t>
      </w:r>
      <w:r w:rsidRPr="00F2208B">
        <w:rPr>
          <w:rFonts w:asciiTheme="majorBidi" w:hAnsiTheme="majorBidi" w:cstheme="majorBidi"/>
          <w:i/>
          <w:iCs/>
        </w:rPr>
        <w:t>Al-Turuq al-Hukmiyah fi al-Siyasah al-Syar'iyah</w:t>
      </w:r>
      <w:r w:rsidRPr="00CD703D">
        <w:rPr>
          <w:rFonts w:asciiTheme="majorBidi" w:hAnsiTheme="majorBidi" w:cstheme="majorBidi"/>
        </w:rPr>
        <w:t xml:space="preserve"> </w:t>
      </w:r>
      <w:r w:rsidR="00CD703D" w:rsidRPr="00CD703D">
        <w:rPr>
          <w:rFonts w:asciiTheme="majorBidi" w:hAnsiTheme="majorBidi" w:cstheme="majorBidi"/>
        </w:rPr>
        <w:t>yang</w:t>
      </w:r>
      <w:r w:rsidR="00CD703D">
        <w:rPr>
          <w:rFonts w:asciiTheme="majorBidi" w:hAnsiTheme="majorBidi" w:cstheme="majorBidi"/>
          <w:i/>
          <w:iCs/>
        </w:rPr>
        <w:t xml:space="preserve"> </w:t>
      </w:r>
      <w:r w:rsidR="00CD703D" w:rsidRPr="00CD703D">
        <w:rPr>
          <w:rFonts w:asciiTheme="majorBidi" w:hAnsiTheme="majorBidi" w:cstheme="majorBidi"/>
        </w:rPr>
        <w:t>diterjemahkan</w:t>
      </w:r>
      <w:r w:rsidR="00CD703D">
        <w:rPr>
          <w:rFonts w:asciiTheme="majorBidi" w:hAnsiTheme="majorBidi" w:cstheme="majorBidi"/>
        </w:rPr>
        <w:t xml:space="preserve"> kedalam bahasa Indonesia </w:t>
      </w:r>
      <w:r w:rsidR="00CD703D" w:rsidRPr="00CD703D">
        <w:rPr>
          <w:rFonts w:asciiTheme="majorBidi" w:hAnsiTheme="majorBidi" w:cstheme="majorBidi"/>
        </w:rPr>
        <w:t>oleh</w:t>
      </w:r>
      <w:r w:rsidR="00CD703D">
        <w:rPr>
          <w:rFonts w:asciiTheme="majorBidi" w:hAnsiTheme="majorBidi" w:cstheme="majorBidi"/>
        </w:rPr>
        <w:t xml:space="preserve"> </w:t>
      </w:r>
      <w:r w:rsidR="00CD703D" w:rsidRPr="00CD703D">
        <w:rPr>
          <w:rFonts w:asciiTheme="majorBidi" w:hAnsiTheme="majorBidi" w:cstheme="majorBidi"/>
        </w:rPr>
        <w:t>Adnan Qohar</w:t>
      </w:r>
      <w:r w:rsidR="00CD703D">
        <w:rPr>
          <w:rFonts w:asciiTheme="majorBidi" w:hAnsiTheme="majorBidi" w:cstheme="majorBidi"/>
        </w:rPr>
        <w:t xml:space="preserve"> dan</w:t>
      </w:r>
      <w:r w:rsidR="00CD703D" w:rsidRPr="00CD703D">
        <w:rPr>
          <w:rFonts w:asciiTheme="majorBidi" w:hAnsiTheme="majorBidi" w:cstheme="majorBidi"/>
        </w:rPr>
        <w:t xml:space="preserve"> Anshoruddin</w:t>
      </w:r>
      <w:r w:rsidR="00CD703D">
        <w:rPr>
          <w:rFonts w:asciiTheme="majorBidi" w:hAnsiTheme="majorBidi" w:cstheme="majorBidi"/>
        </w:rPr>
        <w:t xml:space="preserve"> </w:t>
      </w:r>
      <w:r>
        <w:rPr>
          <w:rFonts w:asciiTheme="majorBidi" w:hAnsiTheme="majorBidi" w:cstheme="majorBidi"/>
        </w:rPr>
        <w:t xml:space="preserve">yang </w:t>
      </w:r>
      <w:r w:rsidRPr="00631B76">
        <w:rPr>
          <w:rFonts w:asciiTheme="majorBidi" w:hAnsiTheme="majorBidi" w:cstheme="majorBidi"/>
        </w:rPr>
        <w:t xml:space="preserve">memberikan legitimasi terhadap penggunaan </w:t>
      </w:r>
      <w:r w:rsidRPr="00910A7E">
        <w:rPr>
          <w:rFonts w:asciiTheme="majorBidi" w:hAnsiTheme="majorBidi" w:cstheme="majorBidi"/>
          <w:i/>
          <w:iCs/>
        </w:rPr>
        <w:t xml:space="preserve">syahadah al-istifadah </w:t>
      </w:r>
      <w:r w:rsidRPr="00631B76">
        <w:rPr>
          <w:rFonts w:asciiTheme="majorBidi" w:hAnsiTheme="majorBidi" w:cstheme="majorBidi"/>
        </w:rPr>
        <w:t>dalam proses peradilan</w:t>
      </w:r>
      <w:r w:rsidRPr="00F2208B">
        <w:rPr>
          <w:rFonts w:asciiTheme="majorBidi" w:hAnsiTheme="majorBidi" w:cstheme="majorBidi"/>
        </w:rPr>
        <w:t xml:space="preserve">. Ibnu Qayyim al-Jauziyah </w:t>
      </w:r>
      <w:r>
        <w:rPr>
          <w:rFonts w:asciiTheme="majorBidi" w:hAnsiTheme="majorBidi" w:cstheme="majorBidi"/>
        </w:rPr>
        <w:t>berpandangan</w:t>
      </w:r>
      <w:r w:rsidRPr="00F2208B">
        <w:rPr>
          <w:rFonts w:asciiTheme="majorBidi" w:hAnsiTheme="majorBidi" w:cstheme="majorBidi"/>
        </w:rPr>
        <w:t xml:space="preserve"> bahwa hakim diperbolehkan untuk memutus perkara berdasarkan </w:t>
      </w:r>
      <w:r w:rsidRPr="00F2208B">
        <w:rPr>
          <w:rFonts w:asciiTheme="majorBidi" w:hAnsiTheme="majorBidi" w:cstheme="majorBidi"/>
          <w:i/>
          <w:iCs/>
        </w:rPr>
        <w:t>syahadah al-istifadah.</w:t>
      </w:r>
      <w:r>
        <w:rPr>
          <w:rFonts w:asciiTheme="majorBidi" w:hAnsiTheme="majorBidi" w:cstheme="majorBidi"/>
        </w:rPr>
        <w:t xml:space="preserve"> </w:t>
      </w:r>
      <w:r w:rsidRPr="00631B76">
        <w:rPr>
          <w:rFonts w:asciiTheme="majorBidi" w:hAnsiTheme="majorBidi" w:cstheme="majorBidi"/>
        </w:rPr>
        <w:t>Meskipu</w:t>
      </w:r>
      <w:r>
        <w:rPr>
          <w:rFonts w:asciiTheme="majorBidi" w:hAnsiTheme="majorBidi" w:cstheme="majorBidi"/>
        </w:rPr>
        <w:t xml:space="preserve">n </w:t>
      </w:r>
      <w:r w:rsidRPr="00631B76">
        <w:rPr>
          <w:rFonts w:asciiTheme="majorBidi" w:hAnsiTheme="majorBidi" w:cstheme="majorBidi"/>
          <w:i/>
          <w:iCs/>
        </w:rPr>
        <w:t>Syahadah al-istifadah</w:t>
      </w:r>
      <w:r w:rsidRPr="00631B76">
        <w:rPr>
          <w:rFonts w:asciiTheme="majorBidi" w:hAnsiTheme="majorBidi" w:cstheme="majorBidi"/>
        </w:rPr>
        <w:t xml:space="preserve"> tidak memenuhi syarat sebagai</w:t>
      </w:r>
      <w:r>
        <w:rPr>
          <w:rFonts w:asciiTheme="majorBidi" w:hAnsiTheme="majorBidi" w:cstheme="majorBidi"/>
        </w:rPr>
        <w:t xml:space="preserve"> kesaksian</w:t>
      </w:r>
      <w:r w:rsidRPr="00631B76">
        <w:rPr>
          <w:rFonts w:asciiTheme="majorBidi" w:hAnsiTheme="majorBidi" w:cstheme="majorBidi"/>
        </w:rPr>
        <w:t xml:space="preserve">, </w:t>
      </w:r>
      <w:r w:rsidRPr="00631B76">
        <w:rPr>
          <w:rFonts w:asciiTheme="majorBidi" w:hAnsiTheme="majorBidi" w:cstheme="majorBidi"/>
          <w:i/>
          <w:iCs/>
        </w:rPr>
        <w:t>Syahadah al-istifadah</w:t>
      </w:r>
      <w:r w:rsidRPr="00631B76">
        <w:rPr>
          <w:rFonts w:asciiTheme="majorBidi" w:hAnsiTheme="majorBidi" w:cstheme="majorBidi"/>
        </w:rPr>
        <w:t xml:space="preserve"> memiliki daya ungkit yang signifikan dalam proses pembuktian, terutama dalam kondisi dimana bukti langsung sulit diperoleh.</w:t>
      </w:r>
      <w:r>
        <w:rPr>
          <w:rFonts w:asciiTheme="majorBidi" w:hAnsiTheme="majorBidi" w:cstheme="majorBidi"/>
        </w:rPr>
        <w:t xml:space="preserve"> </w:t>
      </w:r>
      <w:r w:rsidRPr="00184568">
        <w:rPr>
          <w:rFonts w:asciiTheme="majorBidi" w:hAnsiTheme="majorBidi" w:cstheme="majorBidi"/>
        </w:rPr>
        <w:t xml:space="preserve">Dengan demikian, </w:t>
      </w:r>
      <w:r w:rsidRPr="00184568">
        <w:rPr>
          <w:rFonts w:asciiTheme="majorBidi" w:hAnsiTheme="majorBidi" w:cstheme="majorBidi"/>
          <w:i/>
          <w:iCs/>
        </w:rPr>
        <w:t>syahadah al-istifadah</w:t>
      </w:r>
      <w:r w:rsidRPr="00184568">
        <w:rPr>
          <w:rFonts w:asciiTheme="majorBidi" w:hAnsiTheme="majorBidi" w:cstheme="majorBidi"/>
        </w:rPr>
        <w:t xml:space="preserve"> dapat menjadi alat untuk mencegah terjadinya kecurangan baik dari pihak saksi maupun hakim. Bahkan beliau menilai </w:t>
      </w:r>
      <w:r w:rsidRPr="00184568">
        <w:rPr>
          <w:rFonts w:asciiTheme="majorBidi" w:hAnsiTheme="majorBidi" w:cstheme="majorBidi"/>
          <w:i/>
          <w:iCs/>
        </w:rPr>
        <w:t>syahadah al-istifadah</w:t>
      </w:r>
      <w:r w:rsidRPr="00184568">
        <w:rPr>
          <w:rFonts w:asciiTheme="majorBidi" w:hAnsiTheme="majorBidi" w:cstheme="majorBidi"/>
        </w:rPr>
        <w:t xml:space="preserve"> yang memberikan keterangan berdasarkan berita yang telah tersebar bobot keterangannya lebih tinggi dibandingkan dengan kesaksian dua orang laki-laki yang secara formal memenuhi syarat sebagai </w:t>
      </w:r>
      <w:r w:rsidRPr="00184568">
        <w:rPr>
          <w:rFonts w:asciiTheme="majorBidi" w:hAnsiTheme="majorBidi" w:cstheme="majorBidi"/>
        </w:rPr>
        <w:lastRenderedPageBreak/>
        <w:t>saksi.</w:t>
      </w:r>
      <w:r>
        <w:rPr>
          <w:rStyle w:val="FootnoteReference"/>
          <w:rFonts w:asciiTheme="majorBidi" w:hAnsiTheme="majorBidi" w:cstheme="majorBidi"/>
        </w:rPr>
        <w:footnoteReference w:id="154"/>
      </w:r>
      <w:r w:rsidRPr="00184568">
        <w:rPr>
          <w:rFonts w:asciiTheme="majorBidi" w:hAnsiTheme="majorBidi" w:cstheme="majorBidi"/>
        </w:rPr>
        <w:t xml:space="preserve"> Hal ini menunjukkan pentingnya informasi yang diperoleh secara langsung dan kredibel dalam proses peradilan. Namun, penting untuk dicatat bahwa penggunaan kesaksian ini harus dilakukan dengan hati-hati. </w:t>
      </w:r>
    </w:p>
    <w:p w14:paraId="7535F0BE" w14:textId="3198DD11" w:rsidR="008D372B" w:rsidRDefault="008D372B" w:rsidP="00E35317">
      <w:pPr>
        <w:pStyle w:val="ListParagraph"/>
        <w:spacing w:line="276" w:lineRule="auto"/>
        <w:ind w:left="284" w:firstLine="283"/>
        <w:jc w:val="both"/>
        <w:rPr>
          <w:rFonts w:asciiTheme="majorBidi" w:hAnsiTheme="majorBidi" w:cstheme="majorBidi"/>
        </w:rPr>
      </w:pPr>
      <w:r w:rsidRPr="00F2208B">
        <w:rPr>
          <w:rFonts w:asciiTheme="majorBidi" w:hAnsiTheme="majorBidi" w:cstheme="majorBidi"/>
        </w:rPr>
        <w:t xml:space="preserve">Untuk meminimalisir terjadinya kecurangan dalam memberikan kesaksian palsu, diperlukannnya syarat syarat agar kesaksian itu dapat diterima. Syarat utama agar suatu kesaksian dapat diterima sebagai </w:t>
      </w:r>
      <w:r w:rsidRPr="00F2208B">
        <w:rPr>
          <w:rFonts w:asciiTheme="majorBidi" w:hAnsiTheme="majorBidi" w:cstheme="majorBidi"/>
          <w:i/>
          <w:iCs/>
        </w:rPr>
        <w:t>syahadah al-istifadah</w:t>
      </w:r>
      <w:r w:rsidRPr="00F2208B">
        <w:rPr>
          <w:rFonts w:asciiTheme="majorBidi" w:hAnsiTheme="majorBidi" w:cstheme="majorBidi"/>
        </w:rPr>
        <w:t xml:space="preserve"> adalah berita tersebut harus sudah menjadi pengetahuan umum atau pembicaraan di kalangan masyarakat. Artinya, informasi tersebut bukan hanya diketahui oleh satu atau dua orang, tetapi sudah menyebar luas</w:t>
      </w:r>
      <w:r w:rsidRPr="00F2208B">
        <w:rPr>
          <w:rFonts w:asciiTheme="majorBidi" w:hAnsiTheme="majorBidi" w:cstheme="majorBidi"/>
          <w:b/>
          <w:bCs/>
        </w:rPr>
        <w:t xml:space="preserve">. </w:t>
      </w:r>
      <w:r w:rsidRPr="00F2208B">
        <w:rPr>
          <w:rFonts w:asciiTheme="majorBidi" w:hAnsiTheme="majorBidi" w:cstheme="majorBidi"/>
        </w:rPr>
        <w:t xml:space="preserve">Keterangan yang diperoleh dari orang yang mendengar langsung dari pihak yang terlibat dalam suatu peristiwa dalam hal ini adalah korban, dapat memberikan informasi yang akurat dan terpercaya. Penerapan syarat </w:t>
      </w:r>
      <w:r w:rsidRPr="00F2208B">
        <w:rPr>
          <w:rFonts w:asciiTheme="majorBidi" w:hAnsiTheme="majorBidi" w:cstheme="majorBidi"/>
          <w:i/>
          <w:iCs/>
        </w:rPr>
        <w:t>syahadah al-istifadah</w:t>
      </w:r>
      <w:r w:rsidRPr="00F2208B">
        <w:rPr>
          <w:rFonts w:asciiTheme="majorBidi" w:hAnsiTheme="majorBidi" w:cstheme="majorBidi"/>
        </w:rPr>
        <w:t xml:space="preserve"> dalam Putusan Mahkamah Syariah Takengon Nomor 9/JN/2023/MS.Tkn, terutama yang berkaitan dengan kasus pelecehan seksual terhadap anak di bawah umur, sangat penting untuk memastikan bahwa kesaksian yang diajukan memiliki bobot dan kredibilitas yang cukup. </w:t>
      </w:r>
    </w:p>
    <w:p w14:paraId="3161A601" w14:textId="77777777" w:rsidR="008D372B" w:rsidRDefault="008D372B" w:rsidP="00E35317">
      <w:pPr>
        <w:pStyle w:val="ListParagraph"/>
        <w:spacing w:line="276" w:lineRule="auto"/>
        <w:ind w:left="284" w:firstLine="283"/>
        <w:jc w:val="both"/>
        <w:rPr>
          <w:rFonts w:asciiTheme="majorBidi" w:hAnsiTheme="majorBidi" w:cstheme="majorBidi"/>
        </w:rPr>
      </w:pPr>
      <w:r>
        <w:rPr>
          <w:rFonts w:asciiTheme="majorBidi" w:hAnsiTheme="majorBidi" w:cstheme="majorBidi"/>
        </w:rPr>
        <w:t xml:space="preserve">Dalam </w:t>
      </w:r>
      <w:r w:rsidRPr="00F16E33">
        <w:rPr>
          <w:rFonts w:asciiTheme="majorBidi" w:hAnsiTheme="majorBidi" w:cstheme="majorBidi"/>
        </w:rPr>
        <w:t>Putusan Mahkamah Syar'iyah Takengon Nomor 9/JN/2023/MS.Tkn, kesaksian enam orang saksi yang telah mendengar kabar mengenai peristiwa pelecehan seksual tersebut telah memberikan kontribusi signifikan dalam mengungkap kebenaran perkara.</w:t>
      </w:r>
      <w:r>
        <w:rPr>
          <w:rFonts w:asciiTheme="majorBidi" w:hAnsiTheme="majorBidi" w:cstheme="majorBidi"/>
        </w:rPr>
        <w:t xml:space="preserve"> </w:t>
      </w:r>
      <w:r w:rsidRPr="00022B70">
        <w:rPr>
          <w:rFonts w:asciiTheme="majorBidi" w:hAnsiTheme="majorBidi" w:cstheme="majorBidi"/>
        </w:rPr>
        <w:t xml:space="preserve">Salah satu </w:t>
      </w:r>
      <w:r>
        <w:rPr>
          <w:rFonts w:asciiTheme="majorBidi" w:hAnsiTheme="majorBidi" w:cstheme="majorBidi"/>
        </w:rPr>
        <w:t xml:space="preserve">kesaksian </w:t>
      </w:r>
      <w:r w:rsidRPr="00022B70">
        <w:rPr>
          <w:rFonts w:asciiTheme="majorBidi" w:hAnsiTheme="majorBidi" w:cstheme="majorBidi"/>
        </w:rPr>
        <w:t>orang tua korban, Itawari binti Munawar, memberikan kesaksian mengenai tindakan pelecehan seksual yang dialami oleh anaknya</w:t>
      </w:r>
      <w:r>
        <w:rPr>
          <w:rFonts w:asciiTheme="majorBidi" w:hAnsiTheme="majorBidi" w:cstheme="majorBidi"/>
        </w:rPr>
        <w:t xml:space="preserve"> yang bernama</w:t>
      </w:r>
      <w:r w:rsidRPr="00022B70">
        <w:rPr>
          <w:rFonts w:asciiTheme="majorBidi" w:hAnsiTheme="majorBidi" w:cstheme="majorBidi"/>
        </w:rPr>
        <w:t xml:space="preserve"> Laila Aina. Dalam kesaksiannya, Itawari menjelaskan bahwa anaknya me</w:t>
      </w:r>
      <w:r>
        <w:rPr>
          <w:rFonts w:asciiTheme="majorBidi" w:hAnsiTheme="majorBidi" w:cstheme="majorBidi"/>
        </w:rPr>
        <w:t>nceritakan</w:t>
      </w:r>
      <w:r w:rsidRPr="00022B70">
        <w:rPr>
          <w:rFonts w:asciiTheme="majorBidi" w:hAnsiTheme="majorBidi" w:cstheme="majorBidi"/>
        </w:rPr>
        <w:t xml:space="preserve"> kepada dirinya bahwa Terdakwa melakukan pelecehan seksual pada </w:t>
      </w:r>
      <w:r w:rsidRPr="00022B70">
        <w:rPr>
          <w:rFonts w:asciiTheme="majorBidi" w:hAnsiTheme="majorBidi" w:cstheme="majorBidi"/>
        </w:rPr>
        <w:lastRenderedPageBreak/>
        <w:t xml:space="preserve">dua kesempatan berbeda. Pertama, pada hari Rabu sekitar bulan Desember 2022, saat anaknya dan teman-temannya sedang belajar di kelas, Terdakwa masuk dan meminta </w:t>
      </w:r>
      <w:r>
        <w:rPr>
          <w:rFonts w:asciiTheme="majorBidi" w:hAnsiTheme="majorBidi" w:cstheme="majorBidi"/>
        </w:rPr>
        <w:t>korban</w:t>
      </w:r>
      <w:r w:rsidRPr="00022B70">
        <w:rPr>
          <w:rFonts w:asciiTheme="majorBidi" w:hAnsiTheme="majorBidi" w:cstheme="majorBidi"/>
        </w:rPr>
        <w:t xml:space="preserve"> untuk menulis. Setelah anaknya mengumpulkan tulisan, Terdakwa memeriksa dan kemudian melakukan tindakan yang tidak pantas dengan meraba kemaluan anaknya dari luar pakaian. Kedua, pada hari Kamis, 5 Januari 2023, Terdakwa kembali melakukan tindakan serupa di dalam kelas saat anaknya sedang belajar</w:t>
      </w:r>
      <w:r>
        <w:rPr>
          <w:rFonts w:asciiTheme="majorBidi" w:hAnsiTheme="majorBidi" w:cstheme="majorBidi"/>
        </w:rPr>
        <w:t>.</w:t>
      </w:r>
      <w:r>
        <w:rPr>
          <w:rStyle w:val="FootnoteReference"/>
          <w:rFonts w:asciiTheme="majorBidi" w:hAnsiTheme="majorBidi" w:cstheme="majorBidi"/>
        </w:rPr>
        <w:footnoteReference w:id="155"/>
      </w:r>
      <w:r>
        <w:rPr>
          <w:rFonts w:asciiTheme="majorBidi" w:hAnsiTheme="majorBidi" w:cstheme="majorBidi"/>
        </w:rPr>
        <w:t xml:space="preserve"> </w:t>
      </w:r>
    </w:p>
    <w:p w14:paraId="0A2A4D4F" w14:textId="77777777" w:rsidR="008D372B" w:rsidRDefault="008D372B" w:rsidP="00E35317">
      <w:pPr>
        <w:pStyle w:val="ListParagraph"/>
        <w:spacing w:line="276" w:lineRule="auto"/>
        <w:ind w:left="284" w:firstLine="283"/>
        <w:jc w:val="both"/>
        <w:rPr>
          <w:rFonts w:asciiTheme="majorBidi" w:hAnsiTheme="majorBidi" w:cstheme="majorBidi"/>
        </w:rPr>
      </w:pPr>
      <w:r w:rsidRPr="00CB082F">
        <w:rPr>
          <w:rFonts w:asciiTheme="majorBidi" w:hAnsiTheme="majorBidi" w:cstheme="majorBidi"/>
        </w:rPr>
        <w:t xml:space="preserve">Dalam </w:t>
      </w:r>
      <w:r>
        <w:rPr>
          <w:rFonts w:asciiTheme="majorBidi" w:hAnsiTheme="majorBidi" w:cstheme="majorBidi"/>
        </w:rPr>
        <w:t>P</w:t>
      </w:r>
      <w:r w:rsidRPr="00CB082F">
        <w:rPr>
          <w:rFonts w:asciiTheme="majorBidi" w:hAnsiTheme="majorBidi" w:cstheme="majorBidi"/>
        </w:rPr>
        <w:t xml:space="preserve">utusan Mahkamah Syariah Takengon Nomor 9/JN/2023/MS.Tkn, dapat diamati secara langsung bagaimana prinsip hukum Islam terkait penerimaan </w:t>
      </w:r>
      <w:r w:rsidRPr="00CB082F">
        <w:rPr>
          <w:rFonts w:asciiTheme="majorBidi" w:hAnsiTheme="majorBidi" w:cstheme="majorBidi"/>
          <w:i/>
          <w:iCs/>
        </w:rPr>
        <w:t>syahadah al-istifadah</w:t>
      </w:r>
      <w:r w:rsidRPr="00CB082F">
        <w:rPr>
          <w:rFonts w:asciiTheme="majorBidi" w:hAnsiTheme="majorBidi" w:cstheme="majorBidi"/>
        </w:rPr>
        <w:t xml:space="preserve"> </w:t>
      </w:r>
      <w:r>
        <w:rPr>
          <w:rFonts w:asciiTheme="majorBidi" w:hAnsiTheme="majorBidi" w:cstheme="majorBidi"/>
        </w:rPr>
        <w:t xml:space="preserve">sebagai </w:t>
      </w:r>
      <w:r w:rsidRPr="004B16DC">
        <w:rPr>
          <w:rFonts w:asciiTheme="majorBidi" w:hAnsiTheme="majorBidi" w:cstheme="majorBidi"/>
          <w:i/>
          <w:iCs/>
        </w:rPr>
        <w:t>qarinah</w:t>
      </w:r>
      <w:r>
        <w:rPr>
          <w:rFonts w:asciiTheme="majorBidi" w:hAnsiTheme="majorBidi" w:cstheme="majorBidi"/>
        </w:rPr>
        <w:t xml:space="preserve"> </w:t>
      </w:r>
      <w:r w:rsidRPr="00CB082F">
        <w:rPr>
          <w:rFonts w:asciiTheme="majorBidi" w:hAnsiTheme="majorBidi" w:cstheme="majorBidi"/>
        </w:rPr>
        <w:t>diterapkan dalam praktik peradilan. Putusan ini dapat dijadikan contoh atau rujukan untuk kasus-kasus yang serupa di masa mendatang, di mana hakim telah memberikan ruang bagi penerimaan kesaksian</w:t>
      </w:r>
      <w:r>
        <w:rPr>
          <w:rFonts w:asciiTheme="majorBidi" w:hAnsiTheme="majorBidi" w:cstheme="majorBidi"/>
        </w:rPr>
        <w:t xml:space="preserve"> orang tua (</w:t>
      </w:r>
      <w:r w:rsidRPr="004B16DC">
        <w:rPr>
          <w:rFonts w:asciiTheme="majorBidi" w:hAnsiTheme="majorBidi" w:cstheme="majorBidi"/>
          <w:i/>
          <w:iCs/>
        </w:rPr>
        <w:t>syahadah al istifadah</w:t>
      </w:r>
      <w:r>
        <w:rPr>
          <w:rFonts w:asciiTheme="majorBidi" w:hAnsiTheme="majorBidi" w:cstheme="majorBidi"/>
        </w:rPr>
        <w:t>)</w:t>
      </w:r>
      <w:r w:rsidRPr="00CB082F">
        <w:rPr>
          <w:rFonts w:asciiTheme="majorBidi" w:hAnsiTheme="majorBidi" w:cstheme="majorBidi"/>
        </w:rPr>
        <w:t xml:space="preserve"> yang diperoleh secara tidak langsung sebagai salah satu alat bukti yang relevan. Dengan demikian, </w:t>
      </w:r>
      <w:r>
        <w:rPr>
          <w:rFonts w:asciiTheme="majorBidi" w:hAnsiTheme="majorBidi" w:cstheme="majorBidi"/>
        </w:rPr>
        <w:t>P</w:t>
      </w:r>
      <w:r w:rsidRPr="00CB082F">
        <w:rPr>
          <w:rFonts w:asciiTheme="majorBidi" w:hAnsiTheme="majorBidi" w:cstheme="majorBidi"/>
        </w:rPr>
        <w:t xml:space="preserve">utusan tersebut dapat diinterpretasikan sebagai upaya untuk mengakomodasi dinamika sosial yang kompleks dalam penerapan hukum Islam. Lebih lanjut, penerimaan </w:t>
      </w:r>
      <w:r w:rsidRPr="00CB082F">
        <w:rPr>
          <w:rFonts w:asciiTheme="majorBidi" w:hAnsiTheme="majorBidi" w:cstheme="majorBidi"/>
          <w:i/>
          <w:iCs/>
        </w:rPr>
        <w:t>syahadah al-istifadah</w:t>
      </w:r>
      <w:r w:rsidRPr="00CB082F">
        <w:rPr>
          <w:rFonts w:asciiTheme="majorBidi" w:hAnsiTheme="majorBidi" w:cstheme="majorBidi"/>
        </w:rPr>
        <w:t xml:space="preserve"> dalam </w:t>
      </w:r>
      <w:r>
        <w:rPr>
          <w:rFonts w:asciiTheme="majorBidi" w:hAnsiTheme="majorBidi" w:cstheme="majorBidi"/>
        </w:rPr>
        <w:t>P</w:t>
      </w:r>
      <w:r w:rsidRPr="00CB082F">
        <w:rPr>
          <w:rFonts w:asciiTheme="majorBidi" w:hAnsiTheme="majorBidi" w:cstheme="majorBidi"/>
        </w:rPr>
        <w:t xml:space="preserve">utusan ini sejalan dengan pandangan Ibnu Qayyim al-Jauziyah yang memberikan legitimasi atau wewenang yang sah terhadap penggunaan kesaksian yang diperoleh secara tidak langsung sebagai salah satu sumber informasi dalam proses peradilan. Hal ini menunjukkan bahwa hukum Islam memiliki fleksibilitas dalam merespons perkembangan zaman dan kebutuhan masyarakat. </w:t>
      </w:r>
    </w:p>
    <w:p w14:paraId="13E4741E" w14:textId="77777777" w:rsidR="008D372B" w:rsidRDefault="008D372B" w:rsidP="00E35317">
      <w:pPr>
        <w:pStyle w:val="ListParagraph"/>
        <w:spacing w:line="276" w:lineRule="auto"/>
        <w:ind w:left="284" w:firstLine="283"/>
        <w:jc w:val="both"/>
        <w:rPr>
          <w:rFonts w:asciiTheme="majorBidi" w:hAnsiTheme="majorBidi" w:cstheme="majorBidi"/>
        </w:rPr>
      </w:pPr>
      <w:r w:rsidRPr="00F2208B">
        <w:rPr>
          <w:rFonts w:asciiTheme="majorBidi" w:hAnsiTheme="majorBidi" w:cstheme="majorBidi"/>
        </w:rPr>
        <w:lastRenderedPageBreak/>
        <w:t xml:space="preserve">Putusan Mahkamah Syariah Takengon Nomor 9/JN/2023/MS.Tkn memberikan gambaran menarik tentang penerapan pandangan Ibnu Qayyim al-Jauziyah terkait bobot </w:t>
      </w:r>
      <w:r w:rsidRPr="00F2208B">
        <w:rPr>
          <w:rFonts w:asciiTheme="majorBidi" w:hAnsiTheme="majorBidi" w:cstheme="majorBidi"/>
          <w:i/>
          <w:iCs/>
        </w:rPr>
        <w:t>syahadah al-istifadah</w:t>
      </w:r>
      <w:r w:rsidRPr="00F2208B">
        <w:rPr>
          <w:rFonts w:asciiTheme="majorBidi" w:hAnsiTheme="majorBidi" w:cstheme="majorBidi"/>
        </w:rPr>
        <w:t xml:space="preserve">. Dalam putusan tersebut, hakim memberikan pertimbangan yang signifikan terhadap kesaksian orang tua korban yang memperoleh informasi secara tidak langsung dari anaknya. Hal ini selaras dengan pendapat Ibnu Qayyim yang menyatakan bahwa </w:t>
      </w:r>
      <w:r w:rsidRPr="00F2208B">
        <w:rPr>
          <w:rFonts w:asciiTheme="majorBidi" w:hAnsiTheme="majorBidi" w:cstheme="majorBidi"/>
          <w:i/>
          <w:iCs/>
        </w:rPr>
        <w:t>syahadah al-istifadah</w:t>
      </w:r>
      <w:r w:rsidRPr="00F2208B">
        <w:rPr>
          <w:rFonts w:asciiTheme="majorBidi" w:hAnsiTheme="majorBidi" w:cstheme="majorBidi"/>
        </w:rPr>
        <w:t>, dalam konteks tertentu, dapat memiliki bobot yang lebih tinggi dibandingkan dengan kesaksian dua orang laki-laki yang memenuhi syarat formal.</w:t>
      </w:r>
    </w:p>
    <w:p w14:paraId="3E476104" w14:textId="77777777" w:rsidR="008D372B" w:rsidRPr="00F2208B" w:rsidRDefault="008D372B" w:rsidP="00E35317">
      <w:pPr>
        <w:pStyle w:val="ListParagraph"/>
        <w:spacing w:line="276" w:lineRule="auto"/>
        <w:ind w:left="284" w:firstLine="283"/>
        <w:jc w:val="both"/>
        <w:rPr>
          <w:rFonts w:asciiTheme="majorBidi" w:hAnsiTheme="majorBidi" w:cstheme="majorBidi"/>
        </w:rPr>
      </w:pPr>
      <w:r w:rsidRPr="00F2208B">
        <w:rPr>
          <w:rFonts w:asciiTheme="majorBidi" w:hAnsiTheme="majorBidi" w:cstheme="majorBidi"/>
        </w:rPr>
        <w:t xml:space="preserve">Meskipun Putusan Mahkamah Syariah Takengon Nomor 9/JN/2023/MS.Tkn memberikan ruang yang lebih luas bagi penerimaan </w:t>
      </w:r>
      <w:r w:rsidRPr="00F2208B">
        <w:rPr>
          <w:rFonts w:asciiTheme="majorBidi" w:hAnsiTheme="majorBidi" w:cstheme="majorBidi"/>
          <w:i/>
          <w:iCs/>
        </w:rPr>
        <w:t>syahadah al-istifadah</w:t>
      </w:r>
      <w:r>
        <w:rPr>
          <w:rFonts w:asciiTheme="majorBidi" w:hAnsiTheme="majorBidi" w:cstheme="majorBidi"/>
          <w:i/>
          <w:iCs/>
        </w:rPr>
        <w:t xml:space="preserve"> </w:t>
      </w:r>
      <w:r w:rsidRPr="004B16DC">
        <w:rPr>
          <w:rFonts w:asciiTheme="majorBidi" w:hAnsiTheme="majorBidi" w:cstheme="majorBidi"/>
        </w:rPr>
        <w:t xml:space="preserve">sebagai </w:t>
      </w:r>
      <w:r>
        <w:rPr>
          <w:rFonts w:asciiTheme="majorBidi" w:hAnsiTheme="majorBidi" w:cstheme="majorBidi"/>
          <w:i/>
          <w:iCs/>
        </w:rPr>
        <w:t>qarinah</w:t>
      </w:r>
      <w:r w:rsidRPr="00F2208B">
        <w:rPr>
          <w:rFonts w:asciiTheme="majorBidi" w:hAnsiTheme="majorBidi" w:cstheme="majorBidi"/>
        </w:rPr>
        <w:t xml:space="preserve">, penting untuk menekankan bahwa penerimaan tersebut tidak bersifat mutlak. Hakim dalam perkara ini telah menunjukkan sikap kritis dalam mengevaluasi semua bukti yang diajukan, termasuk </w:t>
      </w:r>
      <w:r w:rsidRPr="00E61765">
        <w:rPr>
          <w:rFonts w:asciiTheme="majorBidi" w:hAnsiTheme="majorBidi" w:cstheme="majorBidi"/>
          <w:i/>
          <w:iCs/>
        </w:rPr>
        <w:t>syahadah al-istifadah</w:t>
      </w:r>
      <w:r w:rsidRPr="00F2208B">
        <w:rPr>
          <w:rFonts w:asciiTheme="majorBidi" w:hAnsiTheme="majorBidi" w:cstheme="majorBidi"/>
        </w:rPr>
        <w:t xml:space="preserve">. Hal ini mengindikasikan bahwa penerimaan </w:t>
      </w:r>
      <w:r w:rsidRPr="00F2208B">
        <w:rPr>
          <w:rFonts w:asciiTheme="majorBidi" w:hAnsiTheme="majorBidi" w:cstheme="majorBidi"/>
          <w:i/>
          <w:iCs/>
        </w:rPr>
        <w:t>syahadah al-istifadah</w:t>
      </w:r>
      <w:r w:rsidRPr="00F2208B">
        <w:rPr>
          <w:rFonts w:asciiTheme="majorBidi" w:hAnsiTheme="majorBidi" w:cstheme="majorBidi"/>
        </w:rPr>
        <w:t xml:space="preserve"> harus dilakukan dengan hati-hati dan disertai dengan pertimbangan-pertimbangan yang matang. Beberapa faktor yang perlu diperhatikan dalam mengevaluasi </w:t>
      </w:r>
      <w:r w:rsidRPr="00F2208B">
        <w:rPr>
          <w:rFonts w:asciiTheme="majorBidi" w:hAnsiTheme="majorBidi" w:cstheme="majorBidi"/>
          <w:i/>
          <w:iCs/>
        </w:rPr>
        <w:t>syahadah al-istifadah</w:t>
      </w:r>
      <w:r w:rsidRPr="00F2208B">
        <w:rPr>
          <w:rFonts w:asciiTheme="majorBidi" w:hAnsiTheme="majorBidi" w:cstheme="majorBidi"/>
        </w:rPr>
        <w:t xml:space="preserve"> antara lain:</w:t>
      </w:r>
      <w:r>
        <w:rPr>
          <w:rStyle w:val="FootnoteReference"/>
          <w:rFonts w:asciiTheme="majorBidi" w:hAnsiTheme="majorBidi" w:cstheme="majorBidi"/>
        </w:rPr>
        <w:footnoteReference w:id="156"/>
      </w:r>
      <w:r w:rsidRPr="00F2208B">
        <w:rPr>
          <w:rFonts w:asciiTheme="majorBidi" w:hAnsiTheme="majorBidi" w:cstheme="majorBidi"/>
        </w:rPr>
        <w:t xml:space="preserve"> </w:t>
      </w:r>
    </w:p>
    <w:p w14:paraId="5361A02F" w14:textId="77777777" w:rsidR="008D372B" w:rsidRPr="00CB082F" w:rsidRDefault="008D372B" w:rsidP="00E35317">
      <w:pPr>
        <w:pStyle w:val="ListParagraph"/>
        <w:numPr>
          <w:ilvl w:val="0"/>
          <w:numId w:val="96"/>
        </w:numPr>
        <w:spacing w:line="276" w:lineRule="auto"/>
        <w:ind w:left="567" w:hanging="283"/>
        <w:jc w:val="both"/>
        <w:rPr>
          <w:rFonts w:asciiTheme="majorBidi" w:hAnsiTheme="majorBidi" w:cstheme="majorBidi"/>
        </w:rPr>
      </w:pPr>
      <w:r w:rsidRPr="00CB082F">
        <w:rPr>
          <w:rFonts w:asciiTheme="majorBidi" w:hAnsiTheme="majorBidi" w:cstheme="majorBidi"/>
        </w:rPr>
        <w:t xml:space="preserve">Kredibilitas saksi, Hakim perlu menilai sejauh mana saksi yang memberikan informasi secara tidak langsung sehingga saksi itu memiliki kredibilitas yang memadai. </w:t>
      </w:r>
    </w:p>
    <w:p w14:paraId="634AFAB9" w14:textId="77777777" w:rsidR="008D372B" w:rsidRPr="00CB082F" w:rsidRDefault="008D372B" w:rsidP="00E35317">
      <w:pPr>
        <w:pStyle w:val="ListParagraph"/>
        <w:numPr>
          <w:ilvl w:val="0"/>
          <w:numId w:val="96"/>
        </w:numPr>
        <w:spacing w:line="276" w:lineRule="auto"/>
        <w:ind w:left="567" w:hanging="283"/>
        <w:jc w:val="both"/>
        <w:rPr>
          <w:rFonts w:asciiTheme="majorBidi" w:hAnsiTheme="majorBidi" w:cstheme="majorBidi"/>
        </w:rPr>
      </w:pPr>
      <w:r w:rsidRPr="00CB082F">
        <w:rPr>
          <w:rFonts w:asciiTheme="majorBidi" w:hAnsiTheme="majorBidi" w:cstheme="majorBidi"/>
        </w:rPr>
        <w:t xml:space="preserve">Konsistensi keterangan, Kesaksian yang diberikan harus konsisten dengan alat bukti lain yang tersedia. </w:t>
      </w:r>
    </w:p>
    <w:p w14:paraId="4E816844" w14:textId="77777777" w:rsidR="008D372B" w:rsidRPr="00CB082F" w:rsidRDefault="008D372B" w:rsidP="00E35317">
      <w:pPr>
        <w:pStyle w:val="ListParagraph"/>
        <w:numPr>
          <w:ilvl w:val="0"/>
          <w:numId w:val="96"/>
        </w:numPr>
        <w:spacing w:line="276" w:lineRule="auto"/>
        <w:ind w:left="567" w:hanging="283"/>
        <w:jc w:val="both"/>
        <w:rPr>
          <w:rFonts w:asciiTheme="majorBidi" w:hAnsiTheme="majorBidi" w:cstheme="majorBidi"/>
        </w:rPr>
      </w:pPr>
      <w:r w:rsidRPr="00CB082F">
        <w:rPr>
          <w:rFonts w:asciiTheme="majorBidi" w:hAnsiTheme="majorBidi" w:cstheme="majorBidi"/>
        </w:rPr>
        <w:lastRenderedPageBreak/>
        <w:t xml:space="preserve">Motivasi saksi, Hakim perlu mempertimbangkan kemungkinan adanya motivasi tersembunyi yang mendorong saksi untuk memberikan kesaksian tertentu. </w:t>
      </w:r>
    </w:p>
    <w:p w14:paraId="5589E978" w14:textId="77777777" w:rsidR="008D372B" w:rsidRPr="00CB082F" w:rsidRDefault="008D372B" w:rsidP="00E35317">
      <w:pPr>
        <w:pStyle w:val="ListParagraph"/>
        <w:numPr>
          <w:ilvl w:val="0"/>
          <w:numId w:val="96"/>
        </w:numPr>
        <w:spacing w:line="276" w:lineRule="auto"/>
        <w:ind w:left="567" w:hanging="283"/>
        <w:jc w:val="both"/>
        <w:rPr>
          <w:rFonts w:asciiTheme="majorBidi" w:hAnsiTheme="majorBidi" w:cstheme="majorBidi"/>
        </w:rPr>
      </w:pPr>
      <w:r w:rsidRPr="00CB082F">
        <w:rPr>
          <w:rFonts w:asciiTheme="majorBidi" w:hAnsiTheme="majorBidi" w:cstheme="majorBidi"/>
        </w:rPr>
        <w:t xml:space="preserve">Adanya bukti pendukung, </w:t>
      </w:r>
      <w:r w:rsidRPr="00CB082F">
        <w:rPr>
          <w:rFonts w:asciiTheme="majorBidi" w:hAnsiTheme="majorBidi" w:cstheme="majorBidi"/>
          <w:i/>
          <w:iCs/>
        </w:rPr>
        <w:t>Syahadah al-istifadah</w:t>
      </w:r>
      <w:r>
        <w:rPr>
          <w:rFonts w:asciiTheme="majorBidi" w:hAnsiTheme="majorBidi" w:cstheme="majorBidi"/>
        </w:rPr>
        <w:t xml:space="preserve"> harus </w:t>
      </w:r>
      <w:r w:rsidRPr="00CB082F">
        <w:rPr>
          <w:rFonts w:asciiTheme="majorBidi" w:hAnsiTheme="majorBidi" w:cstheme="majorBidi"/>
        </w:rPr>
        <w:t>didukung oleh bukti-bukti lain yang dapat memperkuat kebenaran informasi yang disampaikan.</w:t>
      </w:r>
    </w:p>
    <w:p w14:paraId="26CE8899" w14:textId="122730C6" w:rsidR="008D372B" w:rsidRDefault="008D372B" w:rsidP="00E35317">
      <w:pPr>
        <w:pStyle w:val="ListParagraph"/>
        <w:spacing w:line="276" w:lineRule="auto"/>
        <w:ind w:left="284" w:firstLine="283"/>
        <w:jc w:val="both"/>
        <w:rPr>
          <w:rFonts w:asciiTheme="majorBidi" w:hAnsiTheme="majorBidi" w:cstheme="majorBidi"/>
        </w:rPr>
      </w:pPr>
      <w:r w:rsidRPr="00CB082F">
        <w:rPr>
          <w:rFonts w:asciiTheme="majorBidi" w:hAnsiTheme="majorBidi" w:cstheme="majorBidi"/>
        </w:rPr>
        <w:t xml:space="preserve">Dengan demikian, keterkaitan antara prinsip yang diungkapkan oleh Ibnu Qayyim al-Jauziyah dan </w:t>
      </w:r>
      <w:r>
        <w:rPr>
          <w:rFonts w:asciiTheme="majorBidi" w:hAnsiTheme="majorBidi" w:cstheme="majorBidi"/>
        </w:rPr>
        <w:t>P</w:t>
      </w:r>
      <w:r w:rsidRPr="00CB082F">
        <w:rPr>
          <w:rFonts w:asciiTheme="majorBidi" w:hAnsiTheme="majorBidi" w:cstheme="majorBidi"/>
        </w:rPr>
        <w:t xml:space="preserve">utusan Mahkamah Syariah Takengon menunjukkan bahwa </w:t>
      </w:r>
      <w:r w:rsidRPr="00CB082F">
        <w:rPr>
          <w:rFonts w:asciiTheme="majorBidi" w:hAnsiTheme="majorBidi" w:cstheme="majorBidi"/>
          <w:i/>
          <w:iCs/>
        </w:rPr>
        <w:t>syahadah al-istifadah</w:t>
      </w:r>
      <w:r w:rsidRPr="00CB082F">
        <w:rPr>
          <w:rFonts w:asciiTheme="majorBidi" w:hAnsiTheme="majorBidi" w:cstheme="majorBidi"/>
        </w:rPr>
        <w:t xml:space="preserve"> memiliki peran yang signifikan dalam proses pembuktian. Informasi yang diperoleh secara langsung</w:t>
      </w:r>
      <w:r>
        <w:rPr>
          <w:rFonts w:asciiTheme="majorBidi" w:hAnsiTheme="majorBidi" w:cstheme="majorBidi"/>
        </w:rPr>
        <w:t xml:space="preserve"> dari korban</w:t>
      </w:r>
      <w:r w:rsidRPr="00CB082F">
        <w:rPr>
          <w:rFonts w:asciiTheme="majorBidi" w:hAnsiTheme="majorBidi" w:cstheme="majorBidi"/>
        </w:rPr>
        <w:t xml:space="preserve"> dan kredibel menjadi kunci dalam mencapai keadilan, terutama dalam kasus-kasus yang melibatkan kasus kasus serius seperti pelecehan seksual</w:t>
      </w:r>
      <w:r w:rsidR="00AF762C">
        <w:rPr>
          <w:rFonts w:asciiTheme="majorBidi" w:hAnsiTheme="majorBidi" w:cstheme="majorBidi"/>
        </w:rPr>
        <w:t xml:space="preserve"> pada anak di bawah umur</w:t>
      </w:r>
      <w:r w:rsidRPr="00CB082F">
        <w:rPr>
          <w:rFonts w:asciiTheme="majorBidi" w:hAnsiTheme="majorBidi" w:cstheme="majorBidi"/>
        </w:rPr>
        <w:t xml:space="preserve">. </w:t>
      </w:r>
    </w:p>
    <w:p w14:paraId="5C5B0D8D" w14:textId="7AD6D1E2" w:rsidR="008D372B" w:rsidRDefault="008D372B" w:rsidP="005B28C3">
      <w:pPr>
        <w:pStyle w:val="ListParagraph"/>
        <w:spacing w:line="276" w:lineRule="auto"/>
        <w:ind w:left="284" w:firstLine="283"/>
        <w:jc w:val="both"/>
        <w:rPr>
          <w:rFonts w:asciiTheme="majorBidi" w:hAnsiTheme="majorBidi" w:cstheme="majorBidi"/>
        </w:rPr>
      </w:pPr>
      <w:r w:rsidRPr="00F2208B">
        <w:rPr>
          <w:rFonts w:asciiTheme="majorBidi" w:hAnsiTheme="majorBidi" w:cstheme="majorBidi"/>
        </w:rPr>
        <w:t>Oleh karena itu, sesuai dengan ketentuan Pasal 180 Qanun Aceh Nomor 7 Tahun 2013 tentang Hukum Acara Jinayat, untuk mencapai keadilan dalam setiap perkara, hakim wajib mempertimbangkan minimal dua alat bukti yang sah.</w:t>
      </w:r>
      <w:r>
        <w:rPr>
          <w:rStyle w:val="FootnoteReference"/>
          <w:rFonts w:asciiTheme="majorBidi" w:hAnsiTheme="majorBidi" w:cstheme="majorBidi"/>
        </w:rPr>
        <w:footnoteReference w:id="157"/>
      </w:r>
      <w:r w:rsidRPr="00F2208B">
        <w:rPr>
          <w:rFonts w:asciiTheme="majorBidi" w:hAnsiTheme="majorBidi" w:cstheme="majorBidi"/>
        </w:rPr>
        <w:t xml:space="preserve"> Dalam menjatuhkan hukuman kepada terdakwa hanya dapat dilakukan apabila hakim telah memiliki keyakinan penuh, berdasarkan sekurang-kurangnya dua alat bukti yang sah, bahwa tindak pidana benar-benar terjadi dan terdakwa adalah pelakunya. Pengecualian ini berlaku pada jarimah zina. Dalam </w:t>
      </w:r>
      <w:r w:rsidR="00C3466D">
        <w:rPr>
          <w:rFonts w:asciiTheme="majorBidi" w:hAnsiTheme="majorBidi" w:cstheme="majorBidi"/>
        </w:rPr>
        <w:t>P</w:t>
      </w:r>
      <w:r w:rsidRPr="00F2208B">
        <w:rPr>
          <w:rFonts w:asciiTheme="majorBidi" w:hAnsiTheme="majorBidi" w:cstheme="majorBidi"/>
        </w:rPr>
        <w:t>utusan Nomor 9/JN/2023/MS.Tkn, dapat dilihat sebuah pendekatan yang lebih utuh dan menyeluruh dimana hakim tidak hanya mempertimbangkan keterangan saksi korban, tetapi juga memberikan bobot pada keterangan saksi yang mendengar cerita dari saksi korban (</w:t>
      </w:r>
      <w:r w:rsidRPr="00F2208B">
        <w:rPr>
          <w:rFonts w:asciiTheme="majorBidi" w:hAnsiTheme="majorBidi" w:cstheme="majorBidi"/>
          <w:i/>
          <w:iCs/>
        </w:rPr>
        <w:t>testimonium de auditu</w:t>
      </w:r>
      <w:r w:rsidR="00AF762C">
        <w:rPr>
          <w:rFonts w:asciiTheme="majorBidi" w:hAnsiTheme="majorBidi" w:cstheme="majorBidi"/>
          <w:i/>
          <w:iCs/>
        </w:rPr>
        <w:t>/</w:t>
      </w:r>
      <w:r w:rsidRPr="00F2208B">
        <w:rPr>
          <w:rFonts w:asciiTheme="majorBidi" w:hAnsiTheme="majorBidi" w:cstheme="majorBidi"/>
          <w:i/>
          <w:iCs/>
        </w:rPr>
        <w:t>syahadah al-istifadah</w:t>
      </w:r>
      <w:r w:rsidRPr="00F2208B">
        <w:rPr>
          <w:rFonts w:asciiTheme="majorBidi" w:hAnsiTheme="majorBidi" w:cstheme="majorBidi"/>
        </w:rPr>
        <w:t>)</w:t>
      </w:r>
      <w:r>
        <w:rPr>
          <w:rFonts w:asciiTheme="majorBidi" w:hAnsiTheme="majorBidi" w:cstheme="majorBidi"/>
        </w:rPr>
        <w:t xml:space="preserve"> sebagai </w:t>
      </w:r>
      <w:r w:rsidRPr="00641844">
        <w:rPr>
          <w:rFonts w:asciiTheme="majorBidi" w:hAnsiTheme="majorBidi" w:cstheme="majorBidi"/>
          <w:i/>
          <w:iCs/>
        </w:rPr>
        <w:t>qarinah</w:t>
      </w:r>
      <w:r w:rsidRPr="00F2208B">
        <w:rPr>
          <w:rFonts w:asciiTheme="majorBidi" w:hAnsiTheme="majorBidi" w:cstheme="majorBidi"/>
        </w:rPr>
        <w:t xml:space="preserve">. Meskipun keterangan jenis ini tidak </w:t>
      </w:r>
      <w:r w:rsidR="00AF762C">
        <w:rPr>
          <w:rFonts w:asciiTheme="majorBidi" w:hAnsiTheme="majorBidi" w:cstheme="majorBidi"/>
        </w:rPr>
        <w:lastRenderedPageBreak/>
        <w:t xml:space="preserve">dapat </w:t>
      </w:r>
      <w:r w:rsidRPr="00F2208B">
        <w:rPr>
          <w:rFonts w:asciiTheme="majorBidi" w:hAnsiTheme="majorBidi" w:cstheme="majorBidi"/>
        </w:rPr>
        <w:t xml:space="preserve">berdiri sendiri sebagai bukti yang cukup kuat. Namun, hakim menganggapnya sebagai petunjuk tambahan yang berharga untuk memahami keseluruhan peristiwa. Selain itu, hakim juga melibatkan ahli psikologi untuk memberikan perspektif yang lebih mendalam mengenai kondisi psikologis para korban. Keterangan ahli ini kemudian dipadukan dengan keterangan saksi dan alat bukti lainnya. </w:t>
      </w:r>
    </w:p>
    <w:p w14:paraId="2C23CE5D" w14:textId="77777777" w:rsidR="008D372B" w:rsidRDefault="008D372B" w:rsidP="005B28C3">
      <w:pPr>
        <w:pStyle w:val="ListParagraph"/>
        <w:spacing w:line="276" w:lineRule="auto"/>
        <w:ind w:left="284" w:firstLine="283"/>
        <w:jc w:val="both"/>
        <w:rPr>
          <w:rFonts w:asciiTheme="majorBidi" w:hAnsiTheme="majorBidi" w:cstheme="majorBidi"/>
        </w:rPr>
      </w:pPr>
      <w:r w:rsidRPr="00F2208B">
        <w:rPr>
          <w:rFonts w:asciiTheme="majorBidi" w:hAnsiTheme="majorBidi" w:cstheme="majorBidi"/>
        </w:rPr>
        <w:t>Dengan demikian, hakim dapat menyusun sebuah gambaran yang lebih utuh dan akurat tentang apa yang sebenarnya terjadi. Pendekatan yang diambil oleh hakim dalam kasus ini menunjukkan sebuah perkembangan yang positif dalam dunia peradilan. Hakim tidak lagi terpaku pada satu jenis bukti, tetapi mampu menggabungkan berbagai jenis bukti untuk mencapai sebuah keputusan yang adil dan bijaksana. Hal ini menunjukkan bahwa peradilan Islam terus beradaptasi dengan perkembangan zaman dan mampu memberikan respons yang tepat terhadap kompleksitas perkara yang diajukan.</w:t>
      </w:r>
    </w:p>
    <w:p w14:paraId="5FA0AB16" w14:textId="6613158F" w:rsidR="00194317" w:rsidRPr="00194317" w:rsidRDefault="00194317" w:rsidP="005B28C3">
      <w:pPr>
        <w:pStyle w:val="Heading2"/>
        <w:numPr>
          <w:ilvl w:val="0"/>
          <w:numId w:val="72"/>
        </w:numPr>
        <w:spacing w:line="276" w:lineRule="auto"/>
        <w:ind w:left="284" w:hanging="284"/>
      </w:pPr>
      <w:bookmarkStart w:id="38" w:name="_Toc185961352"/>
      <w:bookmarkEnd w:id="36"/>
      <w:r>
        <w:t xml:space="preserve">Perbandingan </w:t>
      </w:r>
      <w:r w:rsidR="009B7112" w:rsidRPr="00F2208B">
        <w:t xml:space="preserve">Konsep Kesaksian </w:t>
      </w:r>
      <w:r w:rsidR="009B7112" w:rsidRPr="00194317">
        <w:rPr>
          <w:i/>
          <w:iCs/>
        </w:rPr>
        <w:t>Testimonium De Auditu</w:t>
      </w:r>
      <w:r w:rsidR="009B7112" w:rsidRPr="00F2208B">
        <w:t xml:space="preserve"> </w:t>
      </w:r>
      <w:r w:rsidR="009B7112">
        <w:t>d</w:t>
      </w:r>
      <w:r w:rsidR="009B7112" w:rsidRPr="00F2208B">
        <w:t xml:space="preserve">alam </w:t>
      </w:r>
      <w:r w:rsidRPr="00F2208B">
        <w:t xml:space="preserve">KUHAP </w:t>
      </w:r>
      <w:r w:rsidR="009B7112">
        <w:t>d</w:t>
      </w:r>
      <w:r w:rsidR="009B7112" w:rsidRPr="00F2208B">
        <w:t xml:space="preserve">an </w:t>
      </w:r>
      <w:r w:rsidRPr="00F2208B">
        <w:t xml:space="preserve">Qanun Aceh Nomor </w:t>
      </w:r>
      <w:r w:rsidR="009B7112" w:rsidRPr="00F2208B">
        <w:t xml:space="preserve">7 </w:t>
      </w:r>
      <w:r w:rsidRPr="00F2208B">
        <w:t xml:space="preserve">Tahun </w:t>
      </w:r>
      <w:r w:rsidR="009B7112" w:rsidRPr="00F2208B">
        <w:t>2013 Tentang Hukum Acara Jinayat (</w:t>
      </w:r>
      <w:r w:rsidRPr="00F2208B">
        <w:t>QHAJ</w:t>
      </w:r>
      <w:r w:rsidR="009B7112" w:rsidRPr="00F2208B">
        <w:t>)</w:t>
      </w:r>
      <w:bookmarkEnd w:id="38"/>
    </w:p>
    <w:p w14:paraId="66A4EC23" w14:textId="44BB4707" w:rsidR="00194317" w:rsidRDefault="00194317" w:rsidP="005B28C3">
      <w:pPr>
        <w:pStyle w:val="ListParagraph"/>
        <w:spacing w:line="276" w:lineRule="auto"/>
        <w:ind w:left="284" w:firstLine="283"/>
        <w:jc w:val="both"/>
        <w:rPr>
          <w:rFonts w:asciiTheme="majorBidi" w:hAnsiTheme="majorBidi" w:cstheme="majorBidi"/>
        </w:rPr>
      </w:pPr>
      <w:r w:rsidRPr="00194317">
        <w:rPr>
          <w:rFonts w:asciiTheme="majorBidi" w:hAnsiTheme="majorBidi" w:cstheme="majorBidi"/>
        </w:rPr>
        <w:t xml:space="preserve">Konsep kesaksian </w:t>
      </w:r>
      <w:r w:rsidRPr="00194317">
        <w:rPr>
          <w:rFonts w:asciiTheme="majorBidi" w:hAnsiTheme="majorBidi" w:cstheme="majorBidi"/>
          <w:i/>
          <w:iCs/>
        </w:rPr>
        <w:t>testimonium de auditu</w:t>
      </w:r>
      <w:r>
        <w:rPr>
          <w:rFonts w:asciiTheme="majorBidi" w:hAnsiTheme="majorBidi" w:cstheme="majorBidi"/>
          <w:i/>
          <w:iCs/>
        </w:rPr>
        <w:t xml:space="preserve"> </w:t>
      </w:r>
      <w:r>
        <w:rPr>
          <w:rFonts w:asciiTheme="majorBidi" w:hAnsiTheme="majorBidi" w:cstheme="majorBidi"/>
        </w:rPr>
        <w:t xml:space="preserve">adalah </w:t>
      </w:r>
      <w:r w:rsidRPr="00194317">
        <w:rPr>
          <w:rFonts w:asciiTheme="majorBidi" w:hAnsiTheme="majorBidi" w:cstheme="majorBidi"/>
        </w:rPr>
        <w:t xml:space="preserve"> keterangan saksi yang didengar dari orang lain, memiliki posisi yang berbeda dalam sistem pembuktian KUHAP dan QHAJ. Perbedaan ini menunjukkan bahwa kedua sistem hukum memiliki pendekatan yang berbeda dalam menilai keabsahan dan bobot bukti, khususnya yang berkaitan dengan keterangan saksi. Faktor-faktor seperti tingkat kepercayaan terhadap saksi, kekuatan pembuktian lain, dan tujuan pembuktian hukum menjadi pertimbangan utama dalam menentukan penerimaan kesaksian </w:t>
      </w:r>
      <w:r w:rsidRPr="00B64CB2">
        <w:rPr>
          <w:rFonts w:asciiTheme="majorBidi" w:hAnsiTheme="majorBidi" w:cstheme="majorBidi"/>
          <w:i/>
          <w:iCs/>
        </w:rPr>
        <w:t>testimonium de auditu</w:t>
      </w:r>
      <w:r w:rsidRPr="00194317">
        <w:rPr>
          <w:rFonts w:asciiTheme="majorBidi" w:hAnsiTheme="majorBidi" w:cstheme="majorBidi"/>
        </w:rPr>
        <w:t xml:space="preserve"> dalam masing-masing sistem hukum.</w:t>
      </w:r>
    </w:p>
    <w:p w14:paraId="1E1C3AD9" w14:textId="58DB0D95" w:rsidR="00A660D8" w:rsidRPr="00194317" w:rsidRDefault="008D372B" w:rsidP="005B28C3">
      <w:pPr>
        <w:pStyle w:val="ListParagraph"/>
        <w:spacing w:line="276" w:lineRule="auto"/>
        <w:ind w:left="284" w:firstLine="283"/>
        <w:jc w:val="both"/>
        <w:rPr>
          <w:rFonts w:asciiTheme="majorBidi" w:hAnsiTheme="majorBidi" w:cstheme="majorBidi"/>
        </w:rPr>
      </w:pPr>
      <w:r w:rsidRPr="00F2208B">
        <w:rPr>
          <w:rFonts w:asciiTheme="majorBidi" w:hAnsiTheme="majorBidi" w:cstheme="majorBidi"/>
        </w:rPr>
        <w:lastRenderedPageBreak/>
        <w:t xml:space="preserve">Oleh sebab itu, tinjauan komparatif terhadap Kitab Undang-Undang Hukum Acara Pidana (KUHAP) dan Qanun Aceh Nomor 7 Tahun 2013 tentang Hukum Acara Jinayat (QHAJ) mengungkap perbedaan signifikan dalam pengaturan mengenai penerimaan keterangan saksi yang didengar dari orang lain atau </w:t>
      </w:r>
      <w:r w:rsidRPr="00F2208B">
        <w:rPr>
          <w:rFonts w:asciiTheme="majorBidi" w:hAnsiTheme="majorBidi" w:cstheme="majorBidi"/>
          <w:i/>
          <w:iCs/>
        </w:rPr>
        <w:t>testimonium de auditu</w:t>
      </w:r>
      <w:r w:rsidRPr="00F2208B">
        <w:rPr>
          <w:rFonts w:asciiTheme="majorBidi" w:hAnsiTheme="majorBidi" w:cstheme="majorBidi"/>
        </w:rPr>
        <w:t xml:space="preserve">. adanya perbedaan antara konsep kesaksian </w:t>
      </w:r>
      <w:r w:rsidRPr="00194317">
        <w:rPr>
          <w:rFonts w:asciiTheme="majorBidi" w:hAnsiTheme="majorBidi" w:cstheme="majorBidi"/>
          <w:i/>
          <w:iCs/>
        </w:rPr>
        <w:t>testimonium de auditu</w:t>
      </w:r>
      <w:r w:rsidRPr="00F2208B">
        <w:rPr>
          <w:rFonts w:asciiTheme="majorBidi" w:hAnsiTheme="majorBidi" w:cstheme="majorBidi"/>
        </w:rPr>
        <w:t xml:space="preserve"> dalam KUHAP dan Qanun Aceh Nomor 7 Tahun 2013 tentang hukum acara jinayat (QHAJ) adalah sebagai berikut: </w:t>
      </w:r>
    </w:p>
    <w:p w14:paraId="3447ED0F" w14:textId="2E627E1D" w:rsidR="008D372B" w:rsidRPr="00194317" w:rsidRDefault="008D372B" w:rsidP="00A660D8">
      <w:pPr>
        <w:pStyle w:val="ListParagraph"/>
        <w:spacing w:line="276" w:lineRule="auto"/>
        <w:ind w:firstLine="414"/>
        <w:jc w:val="center"/>
        <w:rPr>
          <w:rFonts w:asciiTheme="majorBidi" w:hAnsiTheme="majorBidi" w:cstheme="majorBidi"/>
          <w:b/>
          <w:bCs/>
        </w:rPr>
      </w:pPr>
      <w:r w:rsidRPr="00194317">
        <w:rPr>
          <w:rFonts w:asciiTheme="majorBidi" w:hAnsiTheme="majorBidi" w:cstheme="majorBidi"/>
          <w:b/>
          <w:bCs/>
        </w:rPr>
        <w:t xml:space="preserve">Tabel 4.1 Perbandingan Kesaksian </w:t>
      </w:r>
      <w:r w:rsidRPr="00194317">
        <w:rPr>
          <w:rFonts w:asciiTheme="majorBidi" w:hAnsiTheme="majorBidi" w:cstheme="majorBidi"/>
          <w:b/>
          <w:bCs/>
          <w:i/>
          <w:iCs/>
        </w:rPr>
        <w:t>Testimonium de Auditu</w:t>
      </w:r>
      <w:r w:rsidRPr="00194317">
        <w:rPr>
          <w:rFonts w:asciiTheme="majorBidi" w:hAnsiTheme="majorBidi" w:cstheme="majorBidi"/>
          <w:b/>
          <w:bCs/>
        </w:rPr>
        <w:t xml:space="preserve"> dalam KUHAP dan Qanun Aceh Nomor 7 Tahun 2013 tentang </w:t>
      </w:r>
      <w:r w:rsidR="00D259EC" w:rsidRPr="00194317">
        <w:rPr>
          <w:rFonts w:asciiTheme="majorBidi" w:hAnsiTheme="majorBidi" w:cstheme="majorBidi"/>
          <w:b/>
          <w:bCs/>
        </w:rPr>
        <w:t xml:space="preserve">Hukum Acara Jinayat </w:t>
      </w:r>
      <w:r w:rsidRPr="00194317">
        <w:rPr>
          <w:rFonts w:asciiTheme="majorBidi" w:hAnsiTheme="majorBidi" w:cstheme="majorBidi"/>
          <w:b/>
          <w:bCs/>
        </w:rPr>
        <w:t>(QHAJ)</w:t>
      </w:r>
    </w:p>
    <w:tbl>
      <w:tblPr>
        <w:tblStyle w:val="TableGrid"/>
        <w:tblW w:w="0" w:type="auto"/>
        <w:tblInd w:w="279" w:type="dxa"/>
        <w:tblLook w:val="04A0" w:firstRow="1" w:lastRow="0" w:firstColumn="1" w:lastColumn="0" w:noHBand="0" w:noVBand="1"/>
      </w:tblPr>
      <w:tblGrid>
        <w:gridCol w:w="1813"/>
        <w:gridCol w:w="1816"/>
        <w:gridCol w:w="1921"/>
      </w:tblGrid>
      <w:tr w:rsidR="008D372B" w:rsidRPr="00CB082F" w14:paraId="0B601407" w14:textId="77777777" w:rsidTr="005B28C3">
        <w:tc>
          <w:tcPr>
            <w:tcW w:w="1981" w:type="dxa"/>
            <w:shd w:val="clear" w:color="auto" w:fill="8EAADB" w:themeFill="accent1" w:themeFillTint="99"/>
          </w:tcPr>
          <w:p w14:paraId="2118F8B5" w14:textId="77777777" w:rsidR="00184568" w:rsidRDefault="00184568" w:rsidP="00184568">
            <w:pPr>
              <w:spacing w:line="276" w:lineRule="auto"/>
              <w:jc w:val="center"/>
              <w:rPr>
                <w:rFonts w:asciiTheme="majorBidi" w:hAnsiTheme="majorBidi" w:cstheme="majorBidi"/>
                <w:b/>
                <w:bCs/>
                <w:sz w:val="20"/>
                <w:szCs w:val="20"/>
                <w:lang w:val="en-US"/>
              </w:rPr>
            </w:pPr>
          </w:p>
          <w:p w14:paraId="5F55CA1F" w14:textId="77777777" w:rsidR="00184568" w:rsidRDefault="00184568" w:rsidP="00184568">
            <w:pPr>
              <w:spacing w:line="276" w:lineRule="auto"/>
              <w:rPr>
                <w:rFonts w:asciiTheme="majorBidi" w:hAnsiTheme="majorBidi" w:cstheme="majorBidi"/>
                <w:b/>
                <w:bCs/>
                <w:sz w:val="20"/>
                <w:szCs w:val="20"/>
                <w:lang w:val="en-US"/>
              </w:rPr>
            </w:pPr>
          </w:p>
          <w:p w14:paraId="465E3715" w14:textId="30A5AFCB" w:rsidR="008D372B" w:rsidRPr="00C90080" w:rsidRDefault="008D372B" w:rsidP="00184568">
            <w:pPr>
              <w:spacing w:line="276" w:lineRule="auto"/>
              <w:jc w:val="center"/>
              <w:rPr>
                <w:rFonts w:asciiTheme="majorBidi" w:hAnsiTheme="majorBidi" w:cstheme="majorBidi"/>
                <w:b/>
                <w:bCs/>
                <w:sz w:val="20"/>
                <w:szCs w:val="20"/>
                <w:lang w:val="en-US"/>
              </w:rPr>
            </w:pPr>
            <w:r w:rsidRPr="00C90080">
              <w:rPr>
                <w:rFonts w:asciiTheme="majorBidi" w:hAnsiTheme="majorBidi" w:cstheme="majorBidi"/>
                <w:b/>
                <w:bCs/>
                <w:sz w:val="20"/>
                <w:szCs w:val="20"/>
                <w:lang w:val="en-US"/>
              </w:rPr>
              <w:t xml:space="preserve">Aspek </w:t>
            </w:r>
            <w:r>
              <w:rPr>
                <w:rFonts w:asciiTheme="majorBidi" w:hAnsiTheme="majorBidi" w:cstheme="majorBidi"/>
                <w:b/>
                <w:bCs/>
                <w:sz w:val="20"/>
                <w:szCs w:val="20"/>
                <w:lang w:val="en-US"/>
              </w:rPr>
              <w:t>P</w:t>
            </w:r>
            <w:r w:rsidRPr="00C90080">
              <w:rPr>
                <w:rFonts w:asciiTheme="majorBidi" w:hAnsiTheme="majorBidi" w:cstheme="majorBidi"/>
                <w:b/>
                <w:bCs/>
                <w:sz w:val="20"/>
                <w:szCs w:val="20"/>
                <w:lang w:val="en-US"/>
              </w:rPr>
              <w:t>erbandingan</w:t>
            </w:r>
          </w:p>
        </w:tc>
        <w:tc>
          <w:tcPr>
            <w:tcW w:w="1735" w:type="dxa"/>
            <w:shd w:val="clear" w:color="auto" w:fill="8EAADB" w:themeFill="accent1" w:themeFillTint="99"/>
          </w:tcPr>
          <w:p w14:paraId="4B2070B1" w14:textId="77777777" w:rsidR="00184568" w:rsidRDefault="00184568" w:rsidP="0022706D">
            <w:pPr>
              <w:spacing w:line="276" w:lineRule="auto"/>
              <w:jc w:val="center"/>
              <w:rPr>
                <w:rFonts w:asciiTheme="majorBidi" w:hAnsiTheme="majorBidi" w:cstheme="majorBidi"/>
                <w:b/>
                <w:bCs/>
                <w:sz w:val="20"/>
                <w:szCs w:val="20"/>
                <w:lang w:val="en-US"/>
              </w:rPr>
            </w:pPr>
          </w:p>
          <w:p w14:paraId="39A9581A" w14:textId="77777777" w:rsidR="00184568" w:rsidRDefault="00184568" w:rsidP="00E037C7">
            <w:pPr>
              <w:spacing w:line="276" w:lineRule="auto"/>
              <w:rPr>
                <w:rFonts w:asciiTheme="majorBidi" w:hAnsiTheme="majorBidi" w:cstheme="majorBidi"/>
                <w:b/>
                <w:bCs/>
                <w:sz w:val="20"/>
                <w:szCs w:val="20"/>
                <w:lang w:val="en-US"/>
              </w:rPr>
            </w:pPr>
          </w:p>
          <w:p w14:paraId="27740A48" w14:textId="53212586" w:rsidR="008D372B" w:rsidRPr="00C90080" w:rsidRDefault="008D372B" w:rsidP="0022706D">
            <w:pPr>
              <w:spacing w:line="276" w:lineRule="auto"/>
              <w:jc w:val="center"/>
              <w:rPr>
                <w:rFonts w:asciiTheme="majorBidi" w:hAnsiTheme="majorBidi" w:cstheme="majorBidi"/>
                <w:b/>
                <w:bCs/>
                <w:sz w:val="20"/>
                <w:szCs w:val="20"/>
                <w:lang w:val="en-US"/>
              </w:rPr>
            </w:pPr>
            <w:r w:rsidRPr="00C90080">
              <w:rPr>
                <w:rFonts w:asciiTheme="majorBidi" w:hAnsiTheme="majorBidi" w:cstheme="majorBidi"/>
                <w:b/>
                <w:bCs/>
                <w:sz w:val="20"/>
                <w:szCs w:val="20"/>
                <w:lang w:val="en-US"/>
              </w:rPr>
              <w:t>KUHAP</w:t>
            </w:r>
          </w:p>
        </w:tc>
        <w:tc>
          <w:tcPr>
            <w:tcW w:w="1834" w:type="dxa"/>
            <w:shd w:val="clear" w:color="auto" w:fill="8EAADB" w:themeFill="accent1" w:themeFillTint="99"/>
          </w:tcPr>
          <w:p w14:paraId="29BB23FB" w14:textId="73FB1BCE" w:rsidR="008D372B" w:rsidRPr="00C90080" w:rsidRDefault="008D372B" w:rsidP="0022706D">
            <w:pPr>
              <w:spacing w:line="276" w:lineRule="auto"/>
              <w:jc w:val="center"/>
              <w:rPr>
                <w:rFonts w:asciiTheme="majorBidi" w:hAnsiTheme="majorBidi" w:cstheme="majorBidi"/>
                <w:b/>
                <w:bCs/>
                <w:sz w:val="20"/>
                <w:szCs w:val="20"/>
                <w:lang w:val="en-US"/>
              </w:rPr>
            </w:pPr>
            <w:r w:rsidRPr="00C90080">
              <w:rPr>
                <w:rFonts w:asciiTheme="majorBidi" w:hAnsiTheme="majorBidi" w:cstheme="majorBidi"/>
                <w:b/>
                <w:bCs/>
                <w:sz w:val="20"/>
                <w:szCs w:val="20"/>
                <w:lang w:val="en-US"/>
              </w:rPr>
              <w:t xml:space="preserve">Qanun Aceh Nomor 7 tahun 2013 tentang Hukum Acara </w:t>
            </w:r>
            <w:r w:rsidRPr="00E037C7">
              <w:rPr>
                <w:rFonts w:asciiTheme="majorBidi" w:hAnsiTheme="majorBidi" w:cstheme="majorBidi"/>
                <w:b/>
                <w:bCs/>
                <w:i/>
                <w:iCs/>
                <w:sz w:val="20"/>
                <w:szCs w:val="20"/>
                <w:lang w:val="en-US"/>
              </w:rPr>
              <w:t>Jinayat</w:t>
            </w:r>
            <w:r w:rsidRPr="00C90080">
              <w:rPr>
                <w:rFonts w:asciiTheme="majorBidi" w:hAnsiTheme="majorBidi" w:cstheme="majorBidi"/>
                <w:b/>
                <w:bCs/>
                <w:sz w:val="20"/>
                <w:szCs w:val="20"/>
                <w:lang w:val="en-US"/>
              </w:rPr>
              <w:t xml:space="preserve"> (QHAJ)</w:t>
            </w:r>
            <w:r w:rsidR="00184568">
              <w:rPr>
                <w:rFonts w:asciiTheme="majorBidi" w:hAnsiTheme="majorBidi" w:cstheme="majorBidi"/>
                <w:b/>
                <w:bCs/>
                <w:sz w:val="20"/>
                <w:szCs w:val="20"/>
                <w:lang w:val="en-US"/>
              </w:rPr>
              <w:t xml:space="preserve"> </w:t>
            </w:r>
          </w:p>
        </w:tc>
      </w:tr>
      <w:tr w:rsidR="008D372B" w:rsidRPr="00CB082F" w14:paraId="50385175" w14:textId="77777777" w:rsidTr="005B28C3">
        <w:tc>
          <w:tcPr>
            <w:tcW w:w="1981" w:type="dxa"/>
            <w:shd w:val="clear" w:color="auto" w:fill="8EAADB" w:themeFill="accent1" w:themeFillTint="99"/>
          </w:tcPr>
          <w:p w14:paraId="7FECFAB9" w14:textId="68F4F2BE" w:rsidR="008D372B" w:rsidRPr="00C90080" w:rsidRDefault="008D372B" w:rsidP="0022706D">
            <w:pPr>
              <w:spacing w:line="276" w:lineRule="auto"/>
              <w:jc w:val="center"/>
              <w:rPr>
                <w:rFonts w:asciiTheme="majorBidi" w:hAnsiTheme="majorBidi" w:cstheme="majorBidi"/>
                <w:b/>
                <w:bCs/>
                <w:sz w:val="20"/>
                <w:szCs w:val="20"/>
                <w:lang w:val="en-US"/>
              </w:rPr>
            </w:pPr>
            <w:r w:rsidRPr="00C90080">
              <w:rPr>
                <w:rFonts w:asciiTheme="majorBidi" w:hAnsiTheme="majorBidi" w:cstheme="majorBidi"/>
                <w:b/>
                <w:bCs/>
                <w:sz w:val="20"/>
                <w:szCs w:val="20"/>
                <w:lang w:val="en-US"/>
              </w:rPr>
              <w:t>Defini</w:t>
            </w:r>
            <w:r w:rsidR="00822145">
              <w:rPr>
                <w:rFonts w:asciiTheme="majorBidi" w:hAnsiTheme="majorBidi" w:cstheme="majorBidi"/>
                <w:b/>
                <w:bCs/>
                <w:sz w:val="20"/>
                <w:szCs w:val="20"/>
                <w:lang w:val="en-US"/>
              </w:rPr>
              <w:t>si</w:t>
            </w:r>
            <w:r w:rsidRPr="00C90080">
              <w:rPr>
                <w:rFonts w:asciiTheme="majorBidi" w:hAnsiTheme="majorBidi" w:cstheme="majorBidi"/>
                <w:b/>
                <w:bCs/>
                <w:sz w:val="20"/>
                <w:szCs w:val="20"/>
                <w:lang w:val="en-US"/>
              </w:rPr>
              <w:t xml:space="preserve"> </w:t>
            </w:r>
            <w:r>
              <w:rPr>
                <w:rFonts w:asciiTheme="majorBidi" w:hAnsiTheme="majorBidi" w:cstheme="majorBidi"/>
                <w:b/>
                <w:bCs/>
                <w:sz w:val="20"/>
                <w:szCs w:val="20"/>
                <w:lang w:val="en-US"/>
              </w:rPr>
              <w:t>S</w:t>
            </w:r>
            <w:r w:rsidRPr="00C90080">
              <w:rPr>
                <w:rFonts w:asciiTheme="majorBidi" w:hAnsiTheme="majorBidi" w:cstheme="majorBidi"/>
                <w:b/>
                <w:bCs/>
                <w:sz w:val="20"/>
                <w:szCs w:val="20"/>
                <w:lang w:val="en-US"/>
              </w:rPr>
              <w:t>aksi</w:t>
            </w:r>
          </w:p>
        </w:tc>
        <w:tc>
          <w:tcPr>
            <w:tcW w:w="1735" w:type="dxa"/>
          </w:tcPr>
          <w:p w14:paraId="415B9586" w14:textId="77777777" w:rsidR="008D372B" w:rsidRPr="00C90080" w:rsidRDefault="008D372B" w:rsidP="00E66130">
            <w:pPr>
              <w:rPr>
                <w:rFonts w:asciiTheme="majorBidi" w:hAnsiTheme="majorBidi" w:cstheme="majorBidi"/>
                <w:sz w:val="20"/>
                <w:szCs w:val="20"/>
                <w:lang w:val="en-US"/>
              </w:rPr>
            </w:pPr>
            <w:r w:rsidRPr="00C90080">
              <w:rPr>
                <w:rFonts w:asciiTheme="majorBidi" w:hAnsiTheme="majorBidi" w:cstheme="majorBidi"/>
                <w:sz w:val="20"/>
                <w:szCs w:val="20"/>
                <w:lang w:val="en-US"/>
              </w:rPr>
              <w:t>Pasal 1 angka 26</w:t>
            </w:r>
          </w:p>
          <w:p w14:paraId="71841B81" w14:textId="77777777" w:rsidR="008D372B" w:rsidRPr="00C90080" w:rsidRDefault="008D372B" w:rsidP="00E66130">
            <w:pPr>
              <w:rPr>
                <w:rFonts w:asciiTheme="majorBidi" w:hAnsiTheme="majorBidi" w:cstheme="majorBidi"/>
                <w:sz w:val="20"/>
                <w:szCs w:val="20"/>
                <w:lang w:val="en-US"/>
              </w:rPr>
            </w:pPr>
            <w:r w:rsidRPr="00C90080">
              <w:rPr>
                <w:rFonts w:asciiTheme="majorBidi" w:hAnsiTheme="majorBidi" w:cstheme="majorBidi"/>
                <w:sz w:val="20"/>
                <w:szCs w:val="20"/>
                <w:lang w:val="en-US"/>
              </w:rPr>
              <w:t>orang yang dapat memberikan keterangan dalam rangka penyidikan, penuntutan, dan peradilan suatu tindak pidana yang tidak selalu ia dengar sendiri, ia lihat sendiri dan ia alami sendiri.</w:t>
            </w:r>
          </w:p>
        </w:tc>
        <w:tc>
          <w:tcPr>
            <w:tcW w:w="1834" w:type="dxa"/>
          </w:tcPr>
          <w:p w14:paraId="74201E4B" w14:textId="77777777" w:rsidR="008D372B" w:rsidRPr="00C90080" w:rsidRDefault="008D372B" w:rsidP="00E66130">
            <w:pPr>
              <w:rPr>
                <w:rFonts w:asciiTheme="majorBidi" w:hAnsiTheme="majorBidi" w:cstheme="majorBidi"/>
                <w:sz w:val="20"/>
                <w:szCs w:val="20"/>
                <w:lang w:val="en-US"/>
              </w:rPr>
            </w:pPr>
            <w:r w:rsidRPr="00C90080">
              <w:rPr>
                <w:rFonts w:asciiTheme="majorBidi" w:hAnsiTheme="majorBidi" w:cstheme="majorBidi"/>
                <w:sz w:val="20"/>
                <w:szCs w:val="20"/>
                <w:lang w:val="en-US"/>
              </w:rPr>
              <w:t>Pasal 1 angka 31</w:t>
            </w:r>
          </w:p>
          <w:p w14:paraId="0F371BF5" w14:textId="77777777" w:rsidR="008D372B" w:rsidRPr="00C90080" w:rsidRDefault="008D372B" w:rsidP="00E66130">
            <w:pPr>
              <w:rPr>
                <w:rFonts w:asciiTheme="majorBidi" w:hAnsiTheme="majorBidi" w:cstheme="majorBidi"/>
                <w:sz w:val="20"/>
                <w:szCs w:val="20"/>
                <w:lang w:val="en-US"/>
              </w:rPr>
            </w:pPr>
            <w:r w:rsidRPr="00C90080">
              <w:rPr>
                <w:rFonts w:asciiTheme="majorBidi" w:hAnsiTheme="majorBidi" w:cstheme="majorBidi"/>
                <w:sz w:val="20"/>
                <w:szCs w:val="20"/>
                <w:lang w:val="en-US"/>
              </w:rPr>
              <w:t>orang yang dapat memberikan keterangan guna kepentingan penyidikan, penuntutan dan peradilan tentang suatu perkara pidana yang ia dengar sendiri, ia lihat sendiri dan ia alami sendiri.</w:t>
            </w:r>
          </w:p>
        </w:tc>
      </w:tr>
      <w:tr w:rsidR="008D372B" w:rsidRPr="00CB082F" w14:paraId="7B48EF31" w14:textId="77777777" w:rsidTr="005B28C3">
        <w:tc>
          <w:tcPr>
            <w:tcW w:w="1981" w:type="dxa"/>
            <w:shd w:val="clear" w:color="auto" w:fill="8EAADB" w:themeFill="accent1" w:themeFillTint="99"/>
          </w:tcPr>
          <w:p w14:paraId="1B99CBF9" w14:textId="77777777" w:rsidR="008D372B" w:rsidRPr="00C90080" w:rsidRDefault="008D372B" w:rsidP="0022706D">
            <w:pPr>
              <w:spacing w:line="276" w:lineRule="auto"/>
              <w:jc w:val="center"/>
              <w:rPr>
                <w:rFonts w:asciiTheme="majorBidi" w:hAnsiTheme="majorBidi" w:cstheme="majorBidi"/>
                <w:b/>
                <w:bCs/>
                <w:sz w:val="20"/>
                <w:szCs w:val="20"/>
                <w:lang w:val="en-US"/>
              </w:rPr>
            </w:pPr>
            <w:r w:rsidRPr="00C90080">
              <w:rPr>
                <w:rFonts w:asciiTheme="majorBidi" w:hAnsiTheme="majorBidi" w:cstheme="majorBidi"/>
                <w:b/>
                <w:bCs/>
                <w:sz w:val="20"/>
                <w:szCs w:val="20"/>
                <w:lang w:val="en-US"/>
              </w:rPr>
              <w:t xml:space="preserve">Istilah </w:t>
            </w:r>
          </w:p>
        </w:tc>
        <w:tc>
          <w:tcPr>
            <w:tcW w:w="1735" w:type="dxa"/>
          </w:tcPr>
          <w:p w14:paraId="7632DA75" w14:textId="77777777" w:rsidR="008D372B" w:rsidRPr="00C3466D" w:rsidRDefault="008D372B" w:rsidP="00E66130">
            <w:pPr>
              <w:rPr>
                <w:rFonts w:asciiTheme="majorBidi" w:hAnsiTheme="majorBidi" w:cstheme="majorBidi"/>
                <w:i/>
                <w:iCs/>
                <w:sz w:val="20"/>
                <w:szCs w:val="20"/>
                <w:lang w:val="en-US"/>
              </w:rPr>
            </w:pPr>
            <w:r w:rsidRPr="00C3466D">
              <w:rPr>
                <w:rFonts w:asciiTheme="majorBidi" w:hAnsiTheme="majorBidi" w:cstheme="majorBidi"/>
                <w:i/>
                <w:iCs/>
                <w:sz w:val="20"/>
                <w:szCs w:val="20"/>
                <w:lang w:val="en-US"/>
              </w:rPr>
              <w:t xml:space="preserve">Testimonium de auditu </w:t>
            </w:r>
          </w:p>
        </w:tc>
        <w:tc>
          <w:tcPr>
            <w:tcW w:w="1834" w:type="dxa"/>
          </w:tcPr>
          <w:p w14:paraId="17F3B3E4" w14:textId="244DE5B4" w:rsidR="008D372B" w:rsidRPr="00C3466D" w:rsidRDefault="008D372B" w:rsidP="00E66130">
            <w:pPr>
              <w:rPr>
                <w:rFonts w:asciiTheme="majorBidi" w:hAnsiTheme="majorBidi" w:cstheme="majorBidi"/>
                <w:i/>
                <w:iCs/>
                <w:sz w:val="20"/>
                <w:szCs w:val="20"/>
                <w:lang w:val="en-US"/>
              </w:rPr>
            </w:pPr>
            <w:r w:rsidRPr="00C3466D">
              <w:rPr>
                <w:rFonts w:asciiTheme="majorBidi" w:hAnsiTheme="majorBidi" w:cstheme="majorBidi"/>
                <w:i/>
                <w:iCs/>
                <w:sz w:val="20"/>
                <w:szCs w:val="20"/>
                <w:lang w:val="en-US"/>
              </w:rPr>
              <w:t>Syahadah al</w:t>
            </w:r>
            <w:r w:rsidR="00C3466D">
              <w:rPr>
                <w:rFonts w:asciiTheme="majorBidi" w:hAnsiTheme="majorBidi" w:cstheme="majorBidi"/>
                <w:i/>
                <w:iCs/>
                <w:sz w:val="20"/>
                <w:szCs w:val="20"/>
                <w:lang w:val="en-US"/>
              </w:rPr>
              <w:t>-</w:t>
            </w:r>
            <w:r w:rsidRPr="00C3466D">
              <w:rPr>
                <w:rFonts w:asciiTheme="majorBidi" w:hAnsiTheme="majorBidi" w:cstheme="majorBidi"/>
                <w:i/>
                <w:iCs/>
                <w:sz w:val="20"/>
                <w:szCs w:val="20"/>
                <w:lang w:val="en-US"/>
              </w:rPr>
              <w:t xml:space="preserve">istifadah </w:t>
            </w:r>
          </w:p>
        </w:tc>
      </w:tr>
      <w:tr w:rsidR="008D372B" w:rsidRPr="00CB082F" w14:paraId="0355C605" w14:textId="77777777" w:rsidTr="005B28C3">
        <w:tc>
          <w:tcPr>
            <w:tcW w:w="1981" w:type="dxa"/>
            <w:shd w:val="clear" w:color="auto" w:fill="8EAADB" w:themeFill="accent1" w:themeFillTint="99"/>
          </w:tcPr>
          <w:p w14:paraId="380D21F0" w14:textId="77777777" w:rsidR="008D372B" w:rsidRPr="00C90080" w:rsidRDefault="008D372B" w:rsidP="0022706D">
            <w:pPr>
              <w:spacing w:line="276" w:lineRule="auto"/>
              <w:jc w:val="center"/>
              <w:rPr>
                <w:rFonts w:asciiTheme="majorBidi" w:hAnsiTheme="majorBidi" w:cstheme="majorBidi"/>
                <w:b/>
                <w:bCs/>
                <w:sz w:val="20"/>
                <w:szCs w:val="20"/>
                <w:lang w:val="en-US"/>
              </w:rPr>
            </w:pPr>
            <w:r w:rsidRPr="00C90080">
              <w:rPr>
                <w:rFonts w:asciiTheme="majorBidi" w:hAnsiTheme="majorBidi" w:cstheme="majorBidi"/>
                <w:b/>
                <w:bCs/>
                <w:sz w:val="20"/>
                <w:szCs w:val="20"/>
                <w:lang w:val="en-US"/>
              </w:rPr>
              <w:t xml:space="preserve">Pengertian </w:t>
            </w:r>
          </w:p>
        </w:tc>
        <w:tc>
          <w:tcPr>
            <w:tcW w:w="1735" w:type="dxa"/>
          </w:tcPr>
          <w:p w14:paraId="6ADBC6D5" w14:textId="77777777" w:rsidR="008D372B" w:rsidRPr="00C90080" w:rsidRDefault="008D372B" w:rsidP="00E66130">
            <w:pPr>
              <w:rPr>
                <w:rFonts w:asciiTheme="majorBidi" w:hAnsiTheme="majorBidi" w:cstheme="majorBidi"/>
                <w:sz w:val="20"/>
                <w:szCs w:val="20"/>
                <w:lang w:val="en-US"/>
              </w:rPr>
            </w:pPr>
            <w:r w:rsidRPr="00C90080">
              <w:rPr>
                <w:rFonts w:asciiTheme="majorBidi" w:hAnsiTheme="majorBidi" w:cstheme="majorBidi"/>
                <w:sz w:val="20"/>
                <w:szCs w:val="20"/>
              </w:rPr>
              <w:t xml:space="preserve">Kesaksian yang diberikan merujuk pada keterangan saksi yang </w:t>
            </w:r>
            <w:r w:rsidRPr="00C90080">
              <w:rPr>
                <w:rFonts w:asciiTheme="majorBidi" w:hAnsiTheme="majorBidi" w:cstheme="majorBidi"/>
                <w:sz w:val="20"/>
                <w:szCs w:val="20"/>
              </w:rPr>
              <w:lastRenderedPageBreak/>
              <w:t>diperoleh dari orang lain, bukan dari pengalaman pribadinya.</w:t>
            </w:r>
          </w:p>
        </w:tc>
        <w:tc>
          <w:tcPr>
            <w:tcW w:w="1834" w:type="dxa"/>
          </w:tcPr>
          <w:p w14:paraId="0C67C0A2" w14:textId="77777777" w:rsidR="008D372B" w:rsidRPr="00C90080" w:rsidRDefault="008D372B" w:rsidP="00E66130">
            <w:pPr>
              <w:rPr>
                <w:rFonts w:asciiTheme="majorBidi" w:hAnsiTheme="majorBidi" w:cstheme="majorBidi"/>
                <w:sz w:val="20"/>
                <w:szCs w:val="20"/>
                <w:lang w:val="en-US"/>
              </w:rPr>
            </w:pPr>
            <w:r w:rsidRPr="00C90080">
              <w:rPr>
                <w:rFonts w:asciiTheme="majorBidi" w:hAnsiTheme="majorBidi" w:cstheme="majorBidi"/>
                <w:sz w:val="20"/>
                <w:szCs w:val="20"/>
              </w:rPr>
              <w:lastRenderedPageBreak/>
              <w:t xml:space="preserve">Kesaksian yang diberikan merujuk pada keterangan saksi yang diperoleh </w:t>
            </w:r>
            <w:r w:rsidRPr="00C90080">
              <w:rPr>
                <w:rFonts w:asciiTheme="majorBidi" w:hAnsiTheme="majorBidi" w:cstheme="majorBidi"/>
                <w:sz w:val="20"/>
                <w:szCs w:val="20"/>
              </w:rPr>
              <w:lastRenderedPageBreak/>
              <w:t>dari orang lain, bukan dari pengalaman pribadinya.</w:t>
            </w:r>
          </w:p>
        </w:tc>
      </w:tr>
      <w:tr w:rsidR="008D372B" w:rsidRPr="00CB082F" w14:paraId="35CC76D7" w14:textId="77777777" w:rsidTr="005B28C3">
        <w:tc>
          <w:tcPr>
            <w:tcW w:w="1981" w:type="dxa"/>
            <w:shd w:val="clear" w:color="auto" w:fill="8EAADB" w:themeFill="accent1" w:themeFillTint="99"/>
          </w:tcPr>
          <w:p w14:paraId="0C9A6604" w14:textId="77777777" w:rsidR="008D372B" w:rsidRPr="00C90080" w:rsidRDefault="008D372B" w:rsidP="0022706D">
            <w:pPr>
              <w:spacing w:line="276" w:lineRule="auto"/>
              <w:jc w:val="center"/>
              <w:rPr>
                <w:rFonts w:asciiTheme="majorBidi" w:hAnsiTheme="majorBidi" w:cstheme="majorBidi"/>
                <w:b/>
                <w:bCs/>
                <w:sz w:val="20"/>
                <w:szCs w:val="20"/>
                <w:lang w:val="en-US"/>
              </w:rPr>
            </w:pPr>
            <w:r w:rsidRPr="00C90080">
              <w:rPr>
                <w:rFonts w:asciiTheme="majorBidi" w:hAnsiTheme="majorBidi" w:cstheme="majorBidi"/>
                <w:b/>
                <w:bCs/>
                <w:sz w:val="20"/>
                <w:szCs w:val="20"/>
                <w:lang w:val="en-US"/>
              </w:rPr>
              <w:t xml:space="preserve">Status </w:t>
            </w:r>
            <w:r>
              <w:rPr>
                <w:rFonts w:asciiTheme="majorBidi" w:hAnsiTheme="majorBidi" w:cstheme="majorBidi"/>
                <w:b/>
                <w:bCs/>
                <w:sz w:val="20"/>
                <w:szCs w:val="20"/>
                <w:lang w:val="en-US"/>
              </w:rPr>
              <w:t>K</w:t>
            </w:r>
            <w:r w:rsidRPr="00C90080">
              <w:rPr>
                <w:rFonts w:asciiTheme="majorBidi" w:hAnsiTheme="majorBidi" w:cstheme="majorBidi"/>
                <w:b/>
                <w:bCs/>
                <w:sz w:val="20"/>
                <w:szCs w:val="20"/>
                <w:lang w:val="en-US"/>
              </w:rPr>
              <w:t>esaksian</w:t>
            </w:r>
            <w:r>
              <w:rPr>
                <w:rFonts w:asciiTheme="majorBidi" w:hAnsiTheme="majorBidi" w:cstheme="majorBidi"/>
                <w:b/>
                <w:bCs/>
                <w:sz w:val="20"/>
                <w:szCs w:val="20"/>
                <w:lang w:val="en-US"/>
              </w:rPr>
              <w:t xml:space="preserve"> </w:t>
            </w:r>
            <w:r w:rsidRPr="00B64CB2">
              <w:rPr>
                <w:rFonts w:asciiTheme="majorBidi" w:hAnsiTheme="majorBidi" w:cstheme="majorBidi"/>
                <w:b/>
                <w:bCs/>
                <w:i/>
                <w:iCs/>
                <w:sz w:val="20"/>
                <w:szCs w:val="20"/>
                <w:lang w:val="en-US"/>
              </w:rPr>
              <w:t>Testimonium de auditu/Syahadah Al Istifadah.</w:t>
            </w:r>
          </w:p>
        </w:tc>
        <w:tc>
          <w:tcPr>
            <w:tcW w:w="1735" w:type="dxa"/>
          </w:tcPr>
          <w:p w14:paraId="1A4863C6" w14:textId="77777777" w:rsidR="008D372B" w:rsidRPr="00C90080" w:rsidRDefault="008D372B" w:rsidP="00E66130">
            <w:pPr>
              <w:rPr>
                <w:rFonts w:asciiTheme="majorBidi" w:hAnsiTheme="majorBidi" w:cstheme="majorBidi"/>
                <w:sz w:val="20"/>
                <w:szCs w:val="20"/>
              </w:rPr>
            </w:pPr>
            <w:r w:rsidRPr="00C90080">
              <w:rPr>
                <w:rFonts w:asciiTheme="majorBidi" w:hAnsiTheme="majorBidi" w:cstheme="majorBidi"/>
                <w:sz w:val="20"/>
                <w:szCs w:val="20"/>
              </w:rPr>
              <w:t xml:space="preserve">Kesaksian seperti ini dalam hukum positif dikenal dengan istilah </w:t>
            </w:r>
            <w:r w:rsidRPr="00C90080">
              <w:rPr>
                <w:rFonts w:asciiTheme="majorBidi" w:hAnsiTheme="majorBidi" w:cstheme="majorBidi"/>
                <w:i/>
                <w:iCs/>
                <w:sz w:val="20"/>
                <w:szCs w:val="20"/>
              </w:rPr>
              <w:t>testimonium de auditu</w:t>
            </w:r>
            <w:r w:rsidRPr="00C90080">
              <w:rPr>
                <w:rFonts w:asciiTheme="majorBidi" w:hAnsiTheme="majorBidi" w:cstheme="majorBidi"/>
                <w:sz w:val="20"/>
                <w:szCs w:val="20"/>
              </w:rPr>
              <w:t>. Dengan adanya Putusan Mahkamah Konstitusi (MK) No. 65/PUU-VIII/2010  yang memperluas pengertian saksi di KUHAP. Kini, keterangan yang diperoleh dari orang lain juga dapat dijadikan alat bukti yang sah dalam proses peradilan.</w:t>
            </w:r>
          </w:p>
        </w:tc>
        <w:tc>
          <w:tcPr>
            <w:tcW w:w="1834" w:type="dxa"/>
          </w:tcPr>
          <w:p w14:paraId="66285EDF" w14:textId="23163CDF" w:rsidR="008D372B" w:rsidRPr="00C90080" w:rsidRDefault="008D372B" w:rsidP="00E66130">
            <w:pPr>
              <w:rPr>
                <w:rFonts w:asciiTheme="majorBidi" w:hAnsiTheme="majorBidi" w:cstheme="majorBidi"/>
                <w:sz w:val="20"/>
                <w:szCs w:val="20"/>
              </w:rPr>
            </w:pPr>
            <w:r w:rsidRPr="00C90080">
              <w:rPr>
                <w:rFonts w:asciiTheme="majorBidi" w:hAnsiTheme="majorBidi" w:cstheme="majorBidi"/>
                <w:sz w:val="20"/>
                <w:szCs w:val="20"/>
              </w:rPr>
              <w:t xml:space="preserve">Kesaksian </w:t>
            </w:r>
            <w:r w:rsidRPr="00C90080">
              <w:rPr>
                <w:rFonts w:asciiTheme="majorBidi" w:hAnsiTheme="majorBidi" w:cstheme="majorBidi"/>
                <w:i/>
                <w:iCs/>
                <w:sz w:val="20"/>
                <w:szCs w:val="20"/>
              </w:rPr>
              <w:t>syahadah al istifadah</w:t>
            </w:r>
            <w:r w:rsidRPr="00C90080">
              <w:rPr>
                <w:rFonts w:asciiTheme="majorBidi" w:hAnsiTheme="majorBidi" w:cstheme="majorBidi"/>
                <w:sz w:val="20"/>
                <w:szCs w:val="20"/>
              </w:rPr>
              <w:t xml:space="preserve"> dalam Qanun Hukum Acara Jinayat di Aceh dianggap tidak mempunyai nilai pembuktian sebagai keterangan saksi dalam alat bukti, sehingga tidak dianggap sebagai alat bukti yang sah.</w:t>
            </w:r>
            <w:r>
              <w:rPr>
                <w:rFonts w:asciiTheme="majorBidi" w:hAnsiTheme="majorBidi" w:cstheme="majorBidi"/>
                <w:sz w:val="20"/>
                <w:szCs w:val="20"/>
              </w:rPr>
              <w:t xml:space="preserve"> sebaliknya</w:t>
            </w:r>
            <w:r w:rsidRPr="00C90080">
              <w:rPr>
                <w:rFonts w:asciiTheme="majorBidi" w:hAnsiTheme="majorBidi" w:cstheme="majorBidi"/>
                <w:sz w:val="20"/>
                <w:szCs w:val="20"/>
                <w:lang w:val="en-US"/>
              </w:rPr>
              <w:t xml:space="preserve">, dalam sistem peradilan islam, kesaksian </w:t>
            </w:r>
            <w:r w:rsidRPr="00C90080">
              <w:rPr>
                <w:rFonts w:asciiTheme="majorBidi" w:hAnsiTheme="majorBidi" w:cstheme="majorBidi"/>
                <w:i/>
                <w:iCs/>
                <w:sz w:val="20"/>
                <w:szCs w:val="20"/>
                <w:lang w:val="en-US"/>
              </w:rPr>
              <w:t>sy</w:t>
            </w:r>
            <w:r w:rsidR="00822145">
              <w:rPr>
                <w:rFonts w:asciiTheme="majorBidi" w:hAnsiTheme="majorBidi" w:cstheme="majorBidi"/>
                <w:i/>
                <w:iCs/>
                <w:sz w:val="20"/>
                <w:szCs w:val="20"/>
                <w:lang w:val="en-US"/>
              </w:rPr>
              <w:t>ahadah</w:t>
            </w:r>
            <w:r w:rsidRPr="00C90080">
              <w:rPr>
                <w:rFonts w:asciiTheme="majorBidi" w:hAnsiTheme="majorBidi" w:cstheme="majorBidi"/>
                <w:i/>
                <w:iCs/>
                <w:sz w:val="20"/>
                <w:szCs w:val="20"/>
                <w:lang w:val="en-US"/>
              </w:rPr>
              <w:t xml:space="preserve"> al istifadah</w:t>
            </w:r>
            <w:r w:rsidRPr="00C90080">
              <w:rPr>
                <w:rFonts w:asciiTheme="majorBidi" w:hAnsiTheme="majorBidi" w:cstheme="majorBidi"/>
                <w:sz w:val="20"/>
                <w:szCs w:val="20"/>
                <w:lang w:val="en-US"/>
              </w:rPr>
              <w:t xml:space="preserve"> dapat dianggap sebagai</w:t>
            </w:r>
            <w:r w:rsidRPr="00C90080">
              <w:rPr>
                <w:rFonts w:asciiTheme="majorBidi" w:hAnsiTheme="majorBidi" w:cstheme="majorBidi"/>
                <w:i/>
                <w:iCs/>
                <w:sz w:val="20"/>
                <w:szCs w:val="20"/>
                <w:lang w:val="en-US"/>
              </w:rPr>
              <w:t xml:space="preserve"> qarinah</w:t>
            </w:r>
            <w:r w:rsidRPr="00C90080">
              <w:rPr>
                <w:rFonts w:asciiTheme="majorBidi" w:hAnsiTheme="majorBidi" w:cstheme="majorBidi"/>
                <w:sz w:val="20"/>
                <w:szCs w:val="20"/>
                <w:lang w:val="en-US"/>
              </w:rPr>
              <w:t xml:space="preserve"> atau petunjuk</w:t>
            </w:r>
            <w:r w:rsidR="00F40690">
              <w:rPr>
                <w:rFonts w:asciiTheme="majorBidi" w:hAnsiTheme="majorBidi" w:cstheme="majorBidi"/>
                <w:sz w:val="20"/>
                <w:szCs w:val="20"/>
                <w:lang w:val="en-US"/>
              </w:rPr>
              <w:t xml:space="preserve">. </w:t>
            </w:r>
          </w:p>
        </w:tc>
      </w:tr>
      <w:tr w:rsidR="008D372B" w:rsidRPr="00CB082F" w14:paraId="726F33BE" w14:textId="77777777" w:rsidTr="005B28C3">
        <w:tc>
          <w:tcPr>
            <w:tcW w:w="1981" w:type="dxa"/>
            <w:shd w:val="clear" w:color="auto" w:fill="8EAADB" w:themeFill="accent1" w:themeFillTint="99"/>
          </w:tcPr>
          <w:p w14:paraId="7FF7EA2C" w14:textId="77777777" w:rsidR="008D372B" w:rsidRPr="00C90080" w:rsidRDefault="008D372B" w:rsidP="0022706D">
            <w:pPr>
              <w:spacing w:line="276" w:lineRule="auto"/>
              <w:jc w:val="center"/>
              <w:rPr>
                <w:rFonts w:asciiTheme="majorBidi" w:hAnsiTheme="majorBidi" w:cstheme="majorBidi"/>
                <w:b/>
                <w:bCs/>
                <w:sz w:val="20"/>
                <w:szCs w:val="20"/>
                <w:lang w:val="en-US"/>
              </w:rPr>
            </w:pPr>
            <w:r w:rsidRPr="00C90080">
              <w:rPr>
                <w:rFonts w:asciiTheme="majorBidi" w:hAnsiTheme="majorBidi" w:cstheme="majorBidi"/>
                <w:b/>
                <w:bCs/>
                <w:sz w:val="20"/>
                <w:szCs w:val="20"/>
                <w:lang w:val="en-US"/>
              </w:rPr>
              <w:t xml:space="preserve">Syarat diterimanya </w:t>
            </w:r>
            <w:r>
              <w:rPr>
                <w:rFonts w:asciiTheme="majorBidi" w:hAnsiTheme="majorBidi" w:cstheme="majorBidi"/>
                <w:b/>
                <w:bCs/>
                <w:sz w:val="20"/>
                <w:szCs w:val="20"/>
                <w:lang w:val="en-US"/>
              </w:rPr>
              <w:t>K</w:t>
            </w:r>
            <w:r w:rsidRPr="00C90080">
              <w:rPr>
                <w:rFonts w:asciiTheme="majorBidi" w:hAnsiTheme="majorBidi" w:cstheme="majorBidi"/>
                <w:b/>
                <w:bCs/>
                <w:sz w:val="20"/>
                <w:szCs w:val="20"/>
                <w:lang w:val="en-US"/>
              </w:rPr>
              <w:t xml:space="preserve">esaksian </w:t>
            </w:r>
            <w:r w:rsidRPr="00B64CB2">
              <w:rPr>
                <w:rFonts w:asciiTheme="majorBidi" w:hAnsiTheme="majorBidi" w:cstheme="majorBidi"/>
                <w:b/>
                <w:bCs/>
                <w:i/>
                <w:iCs/>
                <w:sz w:val="20"/>
                <w:szCs w:val="20"/>
                <w:lang w:val="en-US"/>
              </w:rPr>
              <w:t>Testimonium de</w:t>
            </w:r>
            <w:r w:rsidRPr="00C90080">
              <w:rPr>
                <w:rFonts w:asciiTheme="majorBidi" w:hAnsiTheme="majorBidi" w:cstheme="majorBidi"/>
                <w:b/>
                <w:bCs/>
                <w:sz w:val="20"/>
                <w:szCs w:val="20"/>
                <w:lang w:val="en-US"/>
              </w:rPr>
              <w:t xml:space="preserve"> </w:t>
            </w:r>
            <w:r w:rsidRPr="00B64CB2">
              <w:rPr>
                <w:rFonts w:asciiTheme="majorBidi" w:hAnsiTheme="majorBidi" w:cstheme="majorBidi"/>
                <w:b/>
                <w:bCs/>
                <w:i/>
                <w:iCs/>
                <w:sz w:val="20"/>
                <w:szCs w:val="20"/>
                <w:lang w:val="en-US"/>
              </w:rPr>
              <w:t>auditu/Syahadah Al Istifadah</w:t>
            </w:r>
          </w:p>
        </w:tc>
        <w:tc>
          <w:tcPr>
            <w:tcW w:w="1735" w:type="dxa"/>
          </w:tcPr>
          <w:p w14:paraId="64DF928B" w14:textId="77777777" w:rsidR="008D372B" w:rsidRPr="00C90080" w:rsidRDefault="008D372B" w:rsidP="00E66130">
            <w:pPr>
              <w:rPr>
                <w:rFonts w:asciiTheme="majorBidi" w:hAnsiTheme="majorBidi" w:cstheme="majorBidi"/>
                <w:sz w:val="20"/>
                <w:szCs w:val="20"/>
              </w:rPr>
            </w:pPr>
            <w:r w:rsidRPr="00C90080">
              <w:rPr>
                <w:rFonts w:asciiTheme="majorBidi" w:hAnsiTheme="majorBidi" w:cstheme="majorBidi"/>
                <w:sz w:val="20"/>
                <w:szCs w:val="20"/>
              </w:rPr>
              <w:t xml:space="preserve">Dengan adanya Putusan Mahkamah Konstitusi Nomor 65/PUU-VIII/2010 yang memperluas definisi saksi dalam Kitab Undang-Undang Hukum Acara Pidana (KUHAP), maka persyaratan diterimanya suatu kesaksian pun mengalami perluasan. </w:t>
            </w:r>
            <w:r w:rsidRPr="00C90080">
              <w:rPr>
                <w:rFonts w:asciiTheme="majorBidi" w:hAnsiTheme="majorBidi" w:cstheme="majorBidi"/>
                <w:sz w:val="20"/>
                <w:szCs w:val="20"/>
              </w:rPr>
              <w:lastRenderedPageBreak/>
              <w:t>Meskipun demikian, secara umum, persyaratan dasar yang telah diatur dalam  Pasal 185 KUHAP tetap berlaku seperti keterangan saksi bisa dipercaya di pengadilan, saksi harus jujur, punya pengalaman langsung jika menjadi korban, dan keterangannya masuk akal. Keterangannya juga harus didukung oleh bukti lain dan sesuai dengan keterangan saksi lainnya.</w:t>
            </w:r>
          </w:p>
        </w:tc>
        <w:tc>
          <w:tcPr>
            <w:tcW w:w="1834" w:type="dxa"/>
          </w:tcPr>
          <w:p w14:paraId="7005C25F" w14:textId="77777777" w:rsidR="008D372B" w:rsidRDefault="008D372B" w:rsidP="00E66130">
            <w:pPr>
              <w:rPr>
                <w:rFonts w:asciiTheme="majorBidi" w:hAnsiTheme="majorBidi" w:cstheme="majorBidi"/>
                <w:sz w:val="20"/>
                <w:szCs w:val="20"/>
              </w:rPr>
            </w:pPr>
            <w:r w:rsidRPr="00C90080">
              <w:rPr>
                <w:rFonts w:asciiTheme="majorBidi" w:hAnsiTheme="majorBidi" w:cstheme="majorBidi"/>
                <w:i/>
                <w:iCs/>
                <w:sz w:val="20"/>
                <w:szCs w:val="20"/>
              </w:rPr>
              <w:lastRenderedPageBreak/>
              <w:t>Syahadah al istifadah</w:t>
            </w:r>
            <w:r w:rsidRPr="00C90080">
              <w:rPr>
                <w:rFonts w:asciiTheme="majorBidi" w:hAnsiTheme="majorBidi" w:cstheme="majorBidi"/>
                <w:sz w:val="20"/>
                <w:szCs w:val="20"/>
              </w:rPr>
              <w:t xml:space="preserve"> dapat dianggap sebagai </w:t>
            </w:r>
            <w:r w:rsidRPr="00641844">
              <w:rPr>
                <w:rFonts w:asciiTheme="majorBidi" w:hAnsiTheme="majorBidi" w:cstheme="majorBidi"/>
                <w:i/>
                <w:iCs/>
                <w:sz w:val="20"/>
                <w:szCs w:val="20"/>
              </w:rPr>
              <w:t>qarinah</w:t>
            </w:r>
            <w:r w:rsidRPr="00C90080">
              <w:rPr>
                <w:rFonts w:asciiTheme="majorBidi" w:hAnsiTheme="majorBidi" w:cstheme="majorBidi"/>
                <w:sz w:val="20"/>
                <w:szCs w:val="20"/>
              </w:rPr>
              <w:t xml:space="preserve"> atau </w:t>
            </w:r>
            <w:r w:rsidRPr="00B816E4">
              <w:rPr>
                <w:rFonts w:asciiTheme="majorBidi" w:hAnsiTheme="majorBidi" w:cstheme="majorBidi"/>
                <w:sz w:val="20"/>
                <w:szCs w:val="20"/>
              </w:rPr>
              <w:t>petunjuk apabila memenuhi syarat seperti</w:t>
            </w:r>
            <w:r>
              <w:rPr>
                <w:rFonts w:asciiTheme="majorBidi" w:hAnsiTheme="majorBidi" w:cstheme="majorBidi"/>
                <w:sz w:val="20"/>
                <w:szCs w:val="20"/>
              </w:rPr>
              <w:t>:</w:t>
            </w:r>
            <w:r w:rsidRPr="00B816E4">
              <w:rPr>
                <w:rFonts w:asciiTheme="majorBidi" w:hAnsiTheme="majorBidi" w:cstheme="majorBidi"/>
                <w:sz w:val="20"/>
                <w:szCs w:val="20"/>
              </w:rPr>
              <w:t xml:space="preserve"> </w:t>
            </w:r>
            <w:r w:rsidRPr="00B816E4">
              <w:rPr>
                <w:rFonts w:asciiTheme="majorBidi" w:hAnsiTheme="majorBidi" w:cstheme="majorBidi"/>
                <w:i/>
                <w:iCs/>
                <w:sz w:val="20"/>
                <w:szCs w:val="20"/>
              </w:rPr>
              <w:t>pertama</w:t>
            </w:r>
            <w:r>
              <w:rPr>
                <w:rFonts w:asciiTheme="majorBidi" w:hAnsiTheme="majorBidi" w:cstheme="majorBidi"/>
                <w:sz w:val="20"/>
                <w:szCs w:val="20"/>
              </w:rPr>
              <w:t xml:space="preserve">, </w:t>
            </w:r>
            <w:r w:rsidRPr="00B816E4">
              <w:rPr>
                <w:rFonts w:asciiTheme="majorBidi" w:hAnsiTheme="majorBidi" w:cstheme="majorBidi"/>
                <w:sz w:val="20"/>
                <w:szCs w:val="20"/>
              </w:rPr>
              <w:t xml:space="preserve">adanya fakta yang jelas dan pasti yang dapat dijadikan dasar dan </w:t>
            </w:r>
            <w:r w:rsidRPr="00B816E4">
              <w:rPr>
                <w:rFonts w:asciiTheme="majorBidi" w:hAnsiTheme="majorBidi" w:cstheme="majorBidi"/>
                <w:i/>
                <w:iCs/>
                <w:sz w:val="20"/>
                <w:szCs w:val="20"/>
              </w:rPr>
              <w:t>kedua</w:t>
            </w:r>
            <w:r w:rsidRPr="00B816E4">
              <w:rPr>
                <w:rFonts w:asciiTheme="majorBidi" w:hAnsiTheme="majorBidi" w:cstheme="majorBidi"/>
                <w:sz w:val="20"/>
                <w:szCs w:val="20"/>
              </w:rPr>
              <w:t xml:space="preserve">, adanya hubungan yang logis antara fakta yang jelas tersebut dengan </w:t>
            </w:r>
            <w:r w:rsidRPr="00B816E4">
              <w:rPr>
                <w:rFonts w:asciiTheme="majorBidi" w:hAnsiTheme="majorBidi" w:cstheme="majorBidi"/>
                <w:sz w:val="20"/>
                <w:szCs w:val="20"/>
              </w:rPr>
              <w:lastRenderedPageBreak/>
              <w:t>peristiwa yang ingin dibuktikan</w:t>
            </w:r>
            <w:r w:rsidRPr="00F2208B">
              <w:rPr>
                <w:rFonts w:asciiTheme="majorBidi" w:hAnsiTheme="majorBidi" w:cstheme="majorBidi"/>
              </w:rPr>
              <w:t xml:space="preserve">. </w:t>
            </w:r>
          </w:p>
          <w:p w14:paraId="27FEBB96" w14:textId="12627D8E" w:rsidR="008D372B" w:rsidRPr="00C90080" w:rsidRDefault="008D372B" w:rsidP="00E66130">
            <w:pPr>
              <w:rPr>
                <w:rFonts w:asciiTheme="majorBidi" w:hAnsiTheme="majorBidi" w:cstheme="majorBidi"/>
                <w:sz w:val="20"/>
                <w:szCs w:val="20"/>
              </w:rPr>
            </w:pPr>
            <w:r>
              <w:rPr>
                <w:rFonts w:asciiTheme="majorBidi" w:hAnsiTheme="majorBidi" w:cstheme="majorBidi"/>
                <w:sz w:val="20"/>
                <w:szCs w:val="20"/>
              </w:rPr>
              <w:t>Sedangkan syarat diterim</w:t>
            </w:r>
            <w:r w:rsidR="00822145">
              <w:rPr>
                <w:rFonts w:asciiTheme="majorBidi" w:hAnsiTheme="majorBidi" w:cstheme="majorBidi"/>
                <w:sz w:val="20"/>
                <w:szCs w:val="20"/>
              </w:rPr>
              <w:t>an</w:t>
            </w:r>
            <w:r>
              <w:rPr>
                <w:rFonts w:asciiTheme="majorBidi" w:hAnsiTheme="majorBidi" w:cstheme="majorBidi"/>
                <w:sz w:val="20"/>
                <w:szCs w:val="20"/>
              </w:rPr>
              <w:t xml:space="preserve">ya </w:t>
            </w:r>
            <w:r w:rsidRPr="00B816E4">
              <w:rPr>
                <w:rFonts w:asciiTheme="majorBidi" w:hAnsiTheme="majorBidi" w:cstheme="majorBidi"/>
                <w:i/>
                <w:iCs/>
                <w:sz w:val="20"/>
                <w:szCs w:val="20"/>
              </w:rPr>
              <w:t>Syahadah al istifadah</w:t>
            </w:r>
            <w:r w:rsidRPr="00B816E4">
              <w:rPr>
                <w:rFonts w:asciiTheme="majorBidi" w:hAnsiTheme="majorBidi" w:cstheme="majorBidi"/>
                <w:sz w:val="20"/>
                <w:szCs w:val="20"/>
              </w:rPr>
              <w:t xml:space="preserve"> </w:t>
            </w:r>
            <w:r>
              <w:rPr>
                <w:rFonts w:asciiTheme="majorBidi" w:hAnsiTheme="majorBidi" w:cstheme="majorBidi"/>
                <w:sz w:val="20"/>
                <w:szCs w:val="20"/>
              </w:rPr>
              <w:t xml:space="preserve">harus </w:t>
            </w:r>
            <w:r w:rsidRPr="00B816E4">
              <w:rPr>
                <w:rFonts w:asciiTheme="majorBidi" w:hAnsiTheme="majorBidi" w:cstheme="majorBidi"/>
                <w:sz w:val="20"/>
                <w:szCs w:val="20"/>
              </w:rPr>
              <w:t xml:space="preserve">memenuhi syarat: </w:t>
            </w:r>
            <w:r w:rsidRPr="00B816E4">
              <w:rPr>
                <w:rFonts w:asciiTheme="majorBidi" w:hAnsiTheme="majorBidi" w:cstheme="majorBidi"/>
                <w:i/>
                <w:iCs/>
                <w:sz w:val="20"/>
                <w:szCs w:val="20"/>
              </w:rPr>
              <w:t>pertama</w:t>
            </w:r>
            <w:r w:rsidRPr="00B816E4">
              <w:rPr>
                <w:rFonts w:asciiTheme="majorBidi" w:hAnsiTheme="majorBidi" w:cstheme="majorBidi"/>
                <w:sz w:val="20"/>
                <w:szCs w:val="20"/>
              </w:rPr>
              <w:t>, jumlah saksi yang adil (</w:t>
            </w:r>
            <w:r w:rsidRPr="00B816E4">
              <w:rPr>
                <w:rFonts w:asciiTheme="majorBidi" w:hAnsiTheme="majorBidi" w:cstheme="majorBidi"/>
                <w:i/>
                <w:iCs/>
                <w:sz w:val="20"/>
                <w:szCs w:val="20"/>
              </w:rPr>
              <w:t>syahidain 'adlain)</w:t>
            </w:r>
            <w:r w:rsidRPr="00B816E4">
              <w:rPr>
                <w:rFonts w:asciiTheme="majorBidi" w:hAnsiTheme="majorBidi" w:cstheme="majorBidi"/>
                <w:sz w:val="20"/>
                <w:szCs w:val="20"/>
              </w:rPr>
              <w:t xml:space="preserve"> minimal dua orang, namun dapat bertambah tergantung pada jenis perkara dan tingkat kepentingannya. </w:t>
            </w:r>
            <w:r w:rsidRPr="00B816E4">
              <w:rPr>
                <w:rFonts w:asciiTheme="majorBidi" w:hAnsiTheme="majorBidi" w:cstheme="majorBidi"/>
                <w:i/>
                <w:iCs/>
                <w:sz w:val="20"/>
                <w:szCs w:val="20"/>
              </w:rPr>
              <w:t>Kedua</w:t>
            </w:r>
            <w:r w:rsidRPr="00B816E4">
              <w:rPr>
                <w:rFonts w:asciiTheme="majorBidi" w:hAnsiTheme="majorBidi" w:cstheme="majorBidi"/>
                <w:sz w:val="20"/>
                <w:szCs w:val="20"/>
              </w:rPr>
              <w:t xml:space="preserve">, kesaksian tersebut harus bebas dari keraguan yang substansial dan dapat diverifikasi kebenarannya. </w:t>
            </w:r>
            <w:r w:rsidRPr="00B816E4">
              <w:rPr>
                <w:rFonts w:asciiTheme="majorBidi" w:hAnsiTheme="majorBidi" w:cstheme="majorBidi"/>
                <w:i/>
                <w:iCs/>
                <w:sz w:val="20"/>
                <w:szCs w:val="20"/>
              </w:rPr>
              <w:t>Ketiga,</w:t>
            </w:r>
            <w:r w:rsidRPr="00B816E4">
              <w:rPr>
                <w:rFonts w:asciiTheme="majorBidi" w:hAnsiTheme="majorBidi" w:cstheme="majorBidi"/>
                <w:sz w:val="20"/>
                <w:szCs w:val="20"/>
              </w:rPr>
              <w:t xml:space="preserve"> kesaksian yang ideal adalah kesaksian yang diketahui oleh banyak orang atau menjadi pengetahuan umum.</w:t>
            </w:r>
          </w:p>
        </w:tc>
      </w:tr>
      <w:tr w:rsidR="008D372B" w:rsidRPr="00CB082F" w14:paraId="583F511F" w14:textId="77777777" w:rsidTr="005B28C3">
        <w:tc>
          <w:tcPr>
            <w:tcW w:w="1981" w:type="dxa"/>
            <w:shd w:val="clear" w:color="auto" w:fill="8EAADB" w:themeFill="accent1" w:themeFillTint="99"/>
          </w:tcPr>
          <w:p w14:paraId="2F210074" w14:textId="77777777" w:rsidR="008D372B" w:rsidRPr="00C90080" w:rsidRDefault="008D372B" w:rsidP="0022706D">
            <w:pPr>
              <w:spacing w:line="276" w:lineRule="auto"/>
              <w:jc w:val="center"/>
              <w:rPr>
                <w:rFonts w:asciiTheme="majorBidi" w:hAnsiTheme="majorBidi" w:cstheme="majorBidi"/>
                <w:b/>
                <w:bCs/>
                <w:sz w:val="20"/>
                <w:szCs w:val="20"/>
                <w:lang w:val="en-US"/>
              </w:rPr>
            </w:pPr>
            <w:r w:rsidRPr="00C90080">
              <w:rPr>
                <w:rFonts w:asciiTheme="majorBidi" w:hAnsiTheme="majorBidi" w:cstheme="majorBidi"/>
                <w:b/>
                <w:bCs/>
                <w:sz w:val="20"/>
                <w:szCs w:val="20"/>
                <w:lang w:val="en-US"/>
              </w:rPr>
              <w:t xml:space="preserve">Bobot </w:t>
            </w:r>
            <w:r>
              <w:rPr>
                <w:rFonts w:asciiTheme="majorBidi" w:hAnsiTheme="majorBidi" w:cstheme="majorBidi"/>
                <w:b/>
                <w:bCs/>
                <w:sz w:val="20"/>
                <w:szCs w:val="20"/>
                <w:lang w:val="en-US"/>
              </w:rPr>
              <w:t>K</w:t>
            </w:r>
            <w:r w:rsidRPr="00C90080">
              <w:rPr>
                <w:rFonts w:asciiTheme="majorBidi" w:hAnsiTheme="majorBidi" w:cstheme="majorBidi"/>
                <w:b/>
                <w:bCs/>
                <w:sz w:val="20"/>
                <w:szCs w:val="20"/>
                <w:lang w:val="en-US"/>
              </w:rPr>
              <w:t xml:space="preserve">esaksian </w:t>
            </w:r>
            <w:r w:rsidRPr="00B64CB2">
              <w:rPr>
                <w:rFonts w:asciiTheme="majorBidi" w:hAnsiTheme="majorBidi" w:cstheme="majorBidi"/>
                <w:b/>
                <w:bCs/>
                <w:i/>
                <w:iCs/>
                <w:sz w:val="20"/>
                <w:szCs w:val="20"/>
                <w:lang w:val="en-US"/>
              </w:rPr>
              <w:t>Testimonium de auditu/Syahadah Al Istifadah</w:t>
            </w:r>
          </w:p>
        </w:tc>
        <w:tc>
          <w:tcPr>
            <w:tcW w:w="1735" w:type="dxa"/>
          </w:tcPr>
          <w:p w14:paraId="201B2282" w14:textId="77777777" w:rsidR="008D372B" w:rsidRPr="00C90080" w:rsidRDefault="008D372B" w:rsidP="00E66130">
            <w:pPr>
              <w:rPr>
                <w:rFonts w:asciiTheme="majorBidi" w:hAnsiTheme="majorBidi" w:cstheme="majorBidi"/>
                <w:sz w:val="20"/>
                <w:szCs w:val="20"/>
                <w:lang w:val="en-US"/>
              </w:rPr>
            </w:pPr>
            <w:r w:rsidRPr="00C90080">
              <w:rPr>
                <w:rFonts w:asciiTheme="majorBidi" w:hAnsiTheme="majorBidi" w:cstheme="majorBidi"/>
                <w:sz w:val="20"/>
                <w:szCs w:val="20"/>
              </w:rPr>
              <w:t xml:space="preserve">Secara umum kesaksian </w:t>
            </w:r>
            <w:r w:rsidRPr="00C90080">
              <w:rPr>
                <w:rFonts w:asciiTheme="majorBidi" w:hAnsiTheme="majorBidi" w:cstheme="majorBidi"/>
                <w:i/>
                <w:iCs/>
                <w:sz w:val="20"/>
                <w:szCs w:val="20"/>
              </w:rPr>
              <w:t>testimonium de auditu</w:t>
            </w:r>
            <w:r w:rsidRPr="00C90080">
              <w:rPr>
                <w:rFonts w:asciiTheme="majorBidi" w:hAnsiTheme="majorBidi" w:cstheme="majorBidi"/>
                <w:sz w:val="20"/>
                <w:szCs w:val="20"/>
              </w:rPr>
              <w:t xml:space="preserve"> dapat diterima sebagai alat bukti, namun kekuatan pembuktiannya relatif lemah dibandingkan </w:t>
            </w:r>
            <w:r w:rsidRPr="00C90080">
              <w:rPr>
                <w:rFonts w:asciiTheme="majorBidi" w:hAnsiTheme="majorBidi" w:cstheme="majorBidi"/>
                <w:sz w:val="20"/>
                <w:szCs w:val="20"/>
              </w:rPr>
              <w:lastRenderedPageBreak/>
              <w:t>dengan bukti langsung.</w:t>
            </w:r>
          </w:p>
        </w:tc>
        <w:tc>
          <w:tcPr>
            <w:tcW w:w="1834" w:type="dxa"/>
          </w:tcPr>
          <w:p w14:paraId="4C0789D3" w14:textId="77777777" w:rsidR="008D372B" w:rsidRPr="00C90080" w:rsidRDefault="008D372B" w:rsidP="00E66130">
            <w:pPr>
              <w:rPr>
                <w:rFonts w:asciiTheme="majorBidi" w:hAnsiTheme="majorBidi" w:cstheme="majorBidi"/>
                <w:sz w:val="20"/>
                <w:szCs w:val="20"/>
                <w:lang w:val="en-US"/>
              </w:rPr>
            </w:pPr>
            <w:r w:rsidRPr="00C90080">
              <w:rPr>
                <w:rFonts w:asciiTheme="majorBidi" w:hAnsiTheme="majorBidi" w:cstheme="majorBidi"/>
                <w:i/>
                <w:iCs/>
                <w:sz w:val="20"/>
                <w:szCs w:val="20"/>
              </w:rPr>
              <w:lastRenderedPageBreak/>
              <w:t>Syahadah al-istifadah</w:t>
            </w:r>
            <w:r w:rsidRPr="00C90080">
              <w:rPr>
                <w:rFonts w:asciiTheme="majorBidi" w:hAnsiTheme="majorBidi" w:cstheme="majorBidi"/>
                <w:sz w:val="20"/>
                <w:szCs w:val="20"/>
              </w:rPr>
              <w:t xml:space="preserve"> atau kesaksian yang didengar dari orang lain memiliki bobot yang berbeda dengan </w:t>
            </w:r>
            <w:r w:rsidRPr="00C90080">
              <w:rPr>
                <w:rFonts w:asciiTheme="majorBidi" w:hAnsiTheme="majorBidi" w:cstheme="majorBidi"/>
                <w:i/>
                <w:iCs/>
                <w:sz w:val="20"/>
                <w:szCs w:val="20"/>
              </w:rPr>
              <w:t>syahadah langsung</w:t>
            </w:r>
            <w:r w:rsidRPr="00C90080">
              <w:rPr>
                <w:rFonts w:asciiTheme="majorBidi" w:hAnsiTheme="majorBidi" w:cstheme="majorBidi"/>
                <w:sz w:val="20"/>
                <w:szCs w:val="20"/>
              </w:rPr>
              <w:t xml:space="preserve"> (kesaksian yang didapat dari pengalaman pribadi). </w:t>
            </w:r>
            <w:r w:rsidRPr="00C90080">
              <w:rPr>
                <w:rFonts w:asciiTheme="majorBidi" w:hAnsiTheme="majorBidi" w:cstheme="majorBidi"/>
                <w:sz w:val="20"/>
                <w:szCs w:val="20"/>
              </w:rPr>
              <w:lastRenderedPageBreak/>
              <w:t xml:space="preserve">Secara umum, bobot </w:t>
            </w:r>
            <w:r w:rsidRPr="00C90080">
              <w:rPr>
                <w:rFonts w:asciiTheme="majorBidi" w:hAnsiTheme="majorBidi" w:cstheme="majorBidi"/>
                <w:i/>
                <w:iCs/>
                <w:sz w:val="20"/>
                <w:szCs w:val="20"/>
              </w:rPr>
              <w:t>syahadah al-istifadah</w:t>
            </w:r>
            <w:r w:rsidRPr="00C90080">
              <w:rPr>
                <w:rFonts w:asciiTheme="majorBidi" w:hAnsiTheme="majorBidi" w:cstheme="majorBidi"/>
                <w:sz w:val="20"/>
                <w:szCs w:val="20"/>
              </w:rPr>
              <w:t xml:space="preserve"> lebih rendah dibandingkan dengan </w:t>
            </w:r>
            <w:r w:rsidRPr="00B816E4">
              <w:rPr>
                <w:rFonts w:asciiTheme="majorBidi" w:hAnsiTheme="majorBidi" w:cstheme="majorBidi"/>
                <w:i/>
                <w:iCs/>
                <w:sz w:val="20"/>
                <w:szCs w:val="20"/>
              </w:rPr>
              <w:t>syahadah</w:t>
            </w:r>
            <w:r w:rsidRPr="00C90080">
              <w:rPr>
                <w:rFonts w:asciiTheme="majorBidi" w:hAnsiTheme="majorBidi" w:cstheme="majorBidi"/>
                <w:sz w:val="20"/>
                <w:szCs w:val="20"/>
              </w:rPr>
              <w:t xml:space="preserve"> langsung. Oleh karena itu ada kalanya </w:t>
            </w:r>
            <w:r w:rsidRPr="00C90080">
              <w:rPr>
                <w:rFonts w:asciiTheme="majorBidi" w:hAnsiTheme="majorBidi" w:cstheme="majorBidi"/>
                <w:i/>
                <w:iCs/>
                <w:sz w:val="20"/>
                <w:szCs w:val="20"/>
              </w:rPr>
              <w:t>syahadah al istifadah</w:t>
            </w:r>
            <w:r w:rsidRPr="00C90080">
              <w:rPr>
                <w:rFonts w:asciiTheme="majorBidi" w:hAnsiTheme="majorBidi" w:cstheme="majorBidi"/>
                <w:sz w:val="20"/>
                <w:szCs w:val="20"/>
              </w:rPr>
              <w:t xml:space="preserve"> dapat dijadikan sebagai </w:t>
            </w:r>
            <w:r w:rsidRPr="00C90080">
              <w:rPr>
                <w:rFonts w:asciiTheme="majorBidi" w:hAnsiTheme="majorBidi" w:cstheme="majorBidi"/>
                <w:i/>
                <w:iCs/>
                <w:sz w:val="20"/>
                <w:szCs w:val="20"/>
              </w:rPr>
              <w:t>qarinah/petunjuk</w:t>
            </w:r>
            <w:r w:rsidRPr="00C90080">
              <w:rPr>
                <w:rFonts w:asciiTheme="majorBidi" w:hAnsiTheme="majorBidi" w:cstheme="majorBidi"/>
                <w:sz w:val="20"/>
                <w:szCs w:val="20"/>
              </w:rPr>
              <w:t>.</w:t>
            </w:r>
          </w:p>
        </w:tc>
      </w:tr>
      <w:tr w:rsidR="008D372B" w:rsidRPr="00CB082F" w14:paraId="250F9F3F" w14:textId="77777777" w:rsidTr="005B28C3">
        <w:tc>
          <w:tcPr>
            <w:tcW w:w="1981" w:type="dxa"/>
            <w:shd w:val="clear" w:color="auto" w:fill="8EAADB" w:themeFill="accent1" w:themeFillTint="99"/>
          </w:tcPr>
          <w:p w14:paraId="1017FA91" w14:textId="696375B3" w:rsidR="008D372B" w:rsidRPr="00C90080" w:rsidRDefault="008D372B" w:rsidP="0022706D">
            <w:pPr>
              <w:spacing w:line="276" w:lineRule="auto"/>
              <w:jc w:val="center"/>
              <w:rPr>
                <w:rFonts w:asciiTheme="majorBidi" w:hAnsiTheme="majorBidi" w:cstheme="majorBidi"/>
                <w:b/>
                <w:bCs/>
                <w:sz w:val="20"/>
                <w:szCs w:val="20"/>
                <w:lang w:val="en-US"/>
              </w:rPr>
            </w:pPr>
            <w:r w:rsidRPr="00C90080">
              <w:rPr>
                <w:rFonts w:asciiTheme="majorBidi" w:hAnsiTheme="majorBidi" w:cstheme="majorBidi"/>
                <w:b/>
                <w:bCs/>
                <w:sz w:val="20"/>
                <w:szCs w:val="20"/>
                <w:lang w:val="en-US"/>
              </w:rPr>
              <w:t xml:space="preserve">Penilaian </w:t>
            </w:r>
            <w:r>
              <w:rPr>
                <w:rFonts w:asciiTheme="majorBidi" w:hAnsiTheme="majorBidi" w:cstheme="majorBidi"/>
                <w:b/>
                <w:bCs/>
                <w:sz w:val="20"/>
                <w:szCs w:val="20"/>
                <w:lang w:val="en-US"/>
              </w:rPr>
              <w:t>K</w:t>
            </w:r>
            <w:r w:rsidRPr="00C90080">
              <w:rPr>
                <w:rFonts w:asciiTheme="majorBidi" w:hAnsiTheme="majorBidi" w:cstheme="majorBidi"/>
                <w:b/>
                <w:bCs/>
                <w:sz w:val="20"/>
                <w:szCs w:val="20"/>
                <w:lang w:val="en-US"/>
              </w:rPr>
              <w:t>redib</w:t>
            </w:r>
            <w:r w:rsidR="00822145">
              <w:rPr>
                <w:rFonts w:asciiTheme="majorBidi" w:hAnsiTheme="majorBidi" w:cstheme="majorBidi"/>
                <w:b/>
                <w:bCs/>
                <w:sz w:val="20"/>
                <w:szCs w:val="20"/>
                <w:lang w:val="en-US"/>
              </w:rPr>
              <w:t>i</w:t>
            </w:r>
            <w:r w:rsidRPr="00C90080">
              <w:rPr>
                <w:rFonts w:asciiTheme="majorBidi" w:hAnsiTheme="majorBidi" w:cstheme="majorBidi"/>
                <w:b/>
                <w:bCs/>
                <w:sz w:val="20"/>
                <w:szCs w:val="20"/>
                <w:lang w:val="en-US"/>
              </w:rPr>
              <w:t xml:space="preserve">litas </w:t>
            </w:r>
            <w:r w:rsidRPr="00B64CB2">
              <w:rPr>
                <w:rFonts w:asciiTheme="majorBidi" w:hAnsiTheme="majorBidi" w:cstheme="majorBidi"/>
                <w:b/>
                <w:bCs/>
                <w:i/>
                <w:iCs/>
                <w:sz w:val="20"/>
                <w:szCs w:val="20"/>
                <w:lang w:val="en-US"/>
              </w:rPr>
              <w:t>Testimonium de auditu/Syahadah Al Istifadah</w:t>
            </w:r>
          </w:p>
        </w:tc>
        <w:tc>
          <w:tcPr>
            <w:tcW w:w="1735" w:type="dxa"/>
          </w:tcPr>
          <w:p w14:paraId="02F43A29" w14:textId="77777777" w:rsidR="008D372B" w:rsidRPr="00C90080" w:rsidRDefault="008D372B" w:rsidP="00E66130">
            <w:pPr>
              <w:rPr>
                <w:rFonts w:asciiTheme="majorBidi" w:hAnsiTheme="majorBidi" w:cstheme="majorBidi"/>
                <w:sz w:val="20"/>
                <w:szCs w:val="20"/>
              </w:rPr>
            </w:pPr>
            <w:r w:rsidRPr="00C90080">
              <w:rPr>
                <w:rFonts w:asciiTheme="majorBidi" w:hAnsiTheme="majorBidi" w:cstheme="majorBidi"/>
                <w:sz w:val="20"/>
                <w:szCs w:val="20"/>
              </w:rPr>
              <w:t>Dalam menilai kredibilitas saksi, Pasal 185 ayat (6) KUHAP memberikan pedoman bagi majelis hakim untuk mempertimbangkan aspek subjektif saksi, seperti : karakter dan moralitas, serta aspek objektif, seperti:  konsistensi keterangan dan perilaku saksi saat bersaksi. Hal ini bertujuan untuk memastikan bahwa keterangan yang disampaikan benar-benar dapat diandalkan sebagai dasar putusan perkara.</w:t>
            </w:r>
          </w:p>
        </w:tc>
        <w:tc>
          <w:tcPr>
            <w:tcW w:w="1834" w:type="dxa"/>
          </w:tcPr>
          <w:p w14:paraId="6E67F42F" w14:textId="27A74013" w:rsidR="008D372B" w:rsidRPr="00C90080" w:rsidRDefault="008D372B" w:rsidP="00E66130">
            <w:pPr>
              <w:ind w:left="105"/>
              <w:rPr>
                <w:rFonts w:asciiTheme="majorBidi" w:hAnsiTheme="majorBidi" w:cstheme="majorBidi"/>
                <w:sz w:val="20"/>
                <w:szCs w:val="20"/>
              </w:rPr>
            </w:pPr>
            <w:r w:rsidRPr="00C90080">
              <w:rPr>
                <w:rFonts w:asciiTheme="majorBidi" w:hAnsiTheme="majorBidi" w:cstheme="majorBidi"/>
                <w:sz w:val="20"/>
                <w:szCs w:val="20"/>
              </w:rPr>
              <w:t xml:space="preserve">Dalam menilai kredibilitas </w:t>
            </w:r>
            <w:r w:rsidRPr="00C90080">
              <w:rPr>
                <w:rFonts w:asciiTheme="majorBidi" w:hAnsiTheme="majorBidi" w:cstheme="majorBidi"/>
                <w:i/>
                <w:iCs/>
                <w:sz w:val="20"/>
                <w:szCs w:val="20"/>
              </w:rPr>
              <w:t>syahadah al-istifadah</w:t>
            </w:r>
            <w:r w:rsidRPr="00C90080">
              <w:rPr>
                <w:rFonts w:asciiTheme="majorBidi" w:hAnsiTheme="majorBidi" w:cstheme="majorBidi"/>
                <w:sz w:val="20"/>
                <w:szCs w:val="20"/>
              </w:rPr>
              <w:t>, baik Qanun Aceh ma</w:t>
            </w:r>
            <w:r w:rsidR="00822145">
              <w:rPr>
                <w:rFonts w:asciiTheme="majorBidi" w:hAnsiTheme="majorBidi" w:cstheme="majorBidi"/>
                <w:sz w:val="20"/>
                <w:szCs w:val="20"/>
              </w:rPr>
              <w:t>u</w:t>
            </w:r>
            <w:r w:rsidRPr="00C90080">
              <w:rPr>
                <w:rFonts w:asciiTheme="majorBidi" w:hAnsiTheme="majorBidi" w:cstheme="majorBidi"/>
                <w:sz w:val="20"/>
                <w:szCs w:val="20"/>
              </w:rPr>
              <w:t>pun dalam peradilan islam memberikan perhatian khusus pada beberapa aspek krusial. Salah satunya adalah syarat-syarat yang harus dipenuhi oleh seorang saksi, seperti</w:t>
            </w:r>
            <w:r>
              <w:rPr>
                <w:rFonts w:asciiTheme="majorBidi" w:hAnsiTheme="majorBidi" w:cstheme="majorBidi"/>
                <w:sz w:val="20"/>
                <w:szCs w:val="20"/>
              </w:rPr>
              <w:t xml:space="preserve">: </w:t>
            </w:r>
            <w:r w:rsidRPr="00C90080">
              <w:rPr>
                <w:rFonts w:asciiTheme="majorBidi" w:hAnsiTheme="majorBidi" w:cstheme="majorBidi"/>
                <w:sz w:val="20"/>
                <w:szCs w:val="20"/>
              </w:rPr>
              <w:t xml:space="preserve">beragama Islam, telah baligh, berakal sehat, adil, dan merdeka. Selain itu, konsistensi keterangan saksi dengan dalil-dalil kuat dan akal sehat juga menjadi pertimbangan penting. Selain itu, Qanun Aceh mensyaratkan </w:t>
            </w:r>
            <w:r w:rsidRPr="00C90080">
              <w:rPr>
                <w:rFonts w:asciiTheme="majorBidi" w:hAnsiTheme="majorBidi" w:cstheme="majorBidi"/>
                <w:sz w:val="20"/>
                <w:szCs w:val="20"/>
              </w:rPr>
              <w:lastRenderedPageBreak/>
              <w:t>jumlah saksi tertentu untuk membuktikan suatu tuduhan</w:t>
            </w:r>
            <w:r>
              <w:rPr>
                <w:rFonts w:asciiTheme="majorBidi" w:hAnsiTheme="majorBidi" w:cstheme="majorBidi"/>
                <w:sz w:val="20"/>
                <w:szCs w:val="20"/>
              </w:rPr>
              <w:t xml:space="preserve"> pada jarimah zina</w:t>
            </w:r>
            <w:r w:rsidRPr="00C90080">
              <w:rPr>
                <w:rFonts w:asciiTheme="majorBidi" w:hAnsiTheme="majorBidi" w:cstheme="majorBidi"/>
                <w:sz w:val="20"/>
                <w:szCs w:val="20"/>
              </w:rPr>
              <w:t>. Seluruh penilaian ini dilakukan dengan mempertimbangkan nilai-nilai syariat Islam seperti keadilan dan kemanfaatan.</w:t>
            </w:r>
          </w:p>
        </w:tc>
      </w:tr>
      <w:tr w:rsidR="008D372B" w:rsidRPr="00CB082F" w14:paraId="50181DF3" w14:textId="77777777" w:rsidTr="005B28C3">
        <w:tc>
          <w:tcPr>
            <w:tcW w:w="1981" w:type="dxa"/>
            <w:shd w:val="clear" w:color="auto" w:fill="8EAADB" w:themeFill="accent1" w:themeFillTint="99"/>
          </w:tcPr>
          <w:p w14:paraId="635CFB24" w14:textId="77777777" w:rsidR="008D372B" w:rsidRPr="00C90080" w:rsidRDefault="008D372B" w:rsidP="0022706D">
            <w:pPr>
              <w:spacing w:line="276" w:lineRule="auto"/>
              <w:jc w:val="center"/>
              <w:rPr>
                <w:rFonts w:asciiTheme="majorBidi" w:hAnsiTheme="majorBidi" w:cstheme="majorBidi"/>
                <w:b/>
                <w:bCs/>
                <w:sz w:val="20"/>
                <w:szCs w:val="20"/>
                <w:lang w:val="en-US"/>
              </w:rPr>
            </w:pPr>
            <w:r w:rsidRPr="00C90080">
              <w:rPr>
                <w:rFonts w:asciiTheme="majorBidi" w:hAnsiTheme="majorBidi" w:cstheme="majorBidi"/>
                <w:b/>
                <w:bCs/>
                <w:sz w:val="20"/>
                <w:szCs w:val="20"/>
                <w:lang w:val="en-US"/>
              </w:rPr>
              <w:t>Pembuktian tindak pidana pelecehan seksual</w:t>
            </w:r>
          </w:p>
        </w:tc>
        <w:tc>
          <w:tcPr>
            <w:tcW w:w="1735" w:type="dxa"/>
          </w:tcPr>
          <w:p w14:paraId="011B8A52" w14:textId="77777777" w:rsidR="008D372B" w:rsidRPr="00C90080" w:rsidRDefault="008D372B" w:rsidP="00E66130">
            <w:pPr>
              <w:rPr>
                <w:rFonts w:asciiTheme="majorBidi" w:hAnsiTheme="majorBidi" w:cstheme="majorBidi"/>
                <w:sz w:val="20"/>
                <w:szCs w:val="20"/>
              </w:rPr>
            </w:pPr>
            <w:r w:rsidRPr="00C90080">
              <w:rPr>
                <w:rFonts w:asciiTheme="majorBidi" w:hAnsiTheme="majorBidi" w:cstheme="majorBidi"/>
                <w:sz w:val="20"/>
                <w:szCs w:val="20"/>
              </w:rPr>
              <w:t>Pembuktian dalam tindak pidana pelecehan seksual dilakukan dengan mengacu pada keterangan saksi korban, analisis terhadap bukti-bukti fisik yang ditemukan di tempat kejadian perkara, serta pendapat para ahli di bidangnya</w:t>
            </w:r>
          </w:p>
        </w:tc>
        <w:tc>
          <w:tcPr>
            <w:tcW w:w="1834" w:type="dxa"/>
          </w:tcPr>
          <w:p w14:paraId="18961108" w14:textId="77777777" w:rsidR="008D372B" w:rsidRPr="00C90080" w:rsidRDefault="008D372B" w:rsidP="00E66130">
            <w:pPr>
              <w:rPr>
                <w:rFonts w:asciiTheme="majorBidi" w:hAnsiTheme="majorBidi" w:cstheme="majorBidi"/>
                <w:sz w:val="20"/>
                <w:szCs w:val="20"/>
              </w:rPr>
            </w:pPr>
            <w:r w:rsidRPr="00C90080">
              <w:rPr>
                <w:rFonts w:asciiTheme="majorBidi" w:hAnsiTheme="majorBidi" w:cstheme="majorBidi"/>
                <w:sz w:val="20"/>
                <w:szCs w:val="20"/>
              </w:rPr>
              <w:t>Dalam proses pembuktian dalam Qanun Hukum Acara Jinayat, selain bukti-bukti umum, petunjuk (</w:t>
            </w:r>
            <w:r w:rsidRPr="00B816E4">
              <w:rPr>
                <w:rFonts w:asciiTheme="majorBidi" w:hAnsiTheme="majorBidi" w:cstheme="majorBidi"/>
                <w:i/>
                <w:iCs/>
                <w:sz w:val="20"/>
                <w:szCs w:val="20"/>
              </w:rPr>
              <w:t>qarinah</w:t>
            </w:r>
            <w:r w:rsidRPr="00C90080">
              <w:rPr>
                <w:rFonts w:asciiTheme="majorBidi" w:hAnsiTheme="majorBidi" w:cstheme="majorBidi"/>
                <w:sz w:val="20"/>
                <w:szCs w:val="20"/>
              </w:rPr>
              <w:t>) dan pengakuan terdakwa juga dapat menjadi pertimbangan yang kuat. Petunjuk ini dapat berupa fakta-fakta yang secara logis dapat menghubungkan terdakwa dengan tindak pidana yang dituduhkan.</w:t>
            </w:r>
          </w:p>
        </w:tc>
      </w:tr>
    </w:tbl>
    <w:p w14:paraId="5CF99D1F" w14:textId="6EDDA787" w:rsidR="00C3466D" w:rsidRDefault="00F7345B" w:rsidP="00F2208B">
      <w:pPr>
        <w:spacing w:line="276" w:lineRule="auto"/>
        <w:ind w:left="720" w:firstLine="414"/>
        <w:jc w:val="both"/>
        <w:rPr>
          <w:rFonts w:asciiTheme="majorBidi" w:hAnsiTheme="majorBidi" w:cstheme="majorBidi"/>
        </w:rPr>
      </w:pPr>
      <w:r>
        <w:rPr>
          <w:rFonts w:asciiTheme="majorBidi" w:hAnsiTheme="majorBidi" w:cstheme="majorBidi"/>
        </w:rPr>
        <w:t>Sumber : Data Sekunder Diolah 2024</w:t>
      </w:r>
    </w:p>
    <w:p w14:paraId="4841C18A" w14:textId="1BF68FDC" w:rsidR="008D372B" w:rsidRPr="00F2208B" w:rsidRDefault="008D372B" w:rsidP="005B28C3">
      <w:pPr>
        <w:pStyle w:val="ListParagraph"/>
        <w:spacing w:line="276" w:lineRule="auto"/>
        <w:ind w:left="284" w:firstLine="283"/>
        <w:jc w:val="both"/>
        <w:rPr>
          <w:rFonts w:asciiTheme="majorBidi" w:hAnsiTheme="majorBidi" w:cstheme="majorBidi"/>
        </w:rPr>
      </w:pPr>
      <w:r w:rsidRPr="00F2208B">
        <w:rPr>
          <w:rFonts w:asciiTheme="majorBidi" w:hAnsiTheme="majorBidi" w:cstheme="majorBidi"/>
        </w:rPr>
        <w:t xml:space="preserve">Dapat dilihat bahwa analisis komparatif terhadap kesaksian </w:t>
      </w:r>
      <w:r w:rsidRPr="00F2208B">
        <w:rPr>
          <w:rFonts w:asciiTheme="majorBidi" w:hAnsiTheme="majorBidi" w:cstheme="majorBidi"/>
          <w:i/>
          <w:iCs/>
        </w:rPr>
        <w:t>testimonium de auditu</w:t>
      </w:r>
      <w:r w:rsidRPr="00F2208B">
        <w:rPr>
          <w:rFonts w:asciiTheme="majorBidi" w:hAnsiTheme="majorBidi" w:cstheme="majorBidi"/>
        </w:rPr>
        <w:t xml:space="preserve"> dalam KUHAP dan Qanun Aceh Nomor 7 Tahun 2013 tentang Hukum Acara Jinayat (QHAJ)</w:t>
      </w:r>
      <w:r w:rsidRPr="00F2208B">
        <w:rPr>
          <w:rFonts w:asciiTheme="majorBidi" w:hAnsiTheme="majorBidi" w:cstheme="majorBidi"/>
          <w:b/>
          <w:bCs/>
        </w:rPr>
        <w:t xml:space="preserve"> </w:t>
      </w:r>
      <w:r w:rsidRPr="00F2208B">
        <w:rPr>
          <w:rFonts w:asciiTheme="majorBidi" w:hAnsiTheme="majorBidi" w:cstheme="majorBidi"/>
        </w:rPr>
        <w:t xml:space="preserve">menunjukkan bahwa terdapat perbedaan mendasar dalam konstruksi hukum mengenai </w:t>
      </w:r>
      <w:r w:rsidRPr="00F2208B">
        <w:rPr>
          <w:rFonts w:asciiTheme="majorBidi" w:hAnsiTheme="majorBidi" w:cstheme="majorBidi"/>
          <w:i/>
          <w:iCs/>
        </w:rPr>
        <w:t>testimonium de auditu</w:t>
      </w:r>
      <w:r w:rsidRPr="00F2208B">
        <w:rPr>
          <w:rFonts w:asciiTheme="majorBidi" w:hAnsiTheme="majorBidi" w:cstheme="majorBidi"/>
        </w:rPr>
        <w:t>/</w:t>
      </w:r>
      <w:r w:rsidRPr="00F2208B">
        <w:rPr>
          <w:rFonts w:asciiTheme="majorBidi" w:hAnsiTheme="majorBidi" w:cstheme="majorBidi"/>
          <w:i/>
          <w:iCs/>
        </w:rPr>
        <w:t xml:space="preserve">syahadah al </w:t>
      </w:r>
      <w:r w:rsidRPr="00F2208B">
        <w:rPr>
          <w:rFonts w:asciiTheme="majorBidi" w:hAnsiTheme="majorBidi" w:cstheme="majorBidi"/>
          <w:i/>
          <w:iCs/>
        </w:rPr>
        <w:lastRenderedPageBreak/>
        <w:t>istifadah</w:t>
      </w:r>
      <w:r w:rsidRPr="00F2208B">
        <w:rPr>
          <w:rFonts w:asciiTheme="majorBidi" w:hAnsiTheme="majorBidi" w:cstheme="majorBidi"/>
        </w:rPr>
        <w:t xml:space="preserve"> antara  hukum positif dan hukum acara jinayat adalah sebagai berikut: </w:t>
      </w:r>
    </w:p>
    <w:p w14:paraId="280606E5" w14:textId="77777777" w:rsidR="005B28C3" w:rsidRDefault="008D372B" w:rsidP="005B28C3">
      <w:pPr>
        <w:pStyle w:val="ListParagraph"/>
        <w:numPr>
          <w:ilvl w:val="0"/>
          <w:numId w:val="81"/>
        </w:numPr>
        <w:spacing w:line="276" w:lineRule="auto"/>
        <w:ind w:left="567" w:hanging="283"/>
        <w:jc w:val="both"/>
        <w:rPr>
          <w:rFonts w:asciiTheme="majorBidi" w:hAnsiTheme="majorBidi" w:cstheme="majorBidi"/>
        </w:rPr>
      </w:pPr>
      <w:r w:rsidRPr="00CB082F">
        <w:rPr>
          <w:rFonts w:asciiTheme="majorBidi" w:hAnsiTheme="majorBidi" w:cstheme="majorBidi"/>
        </w:rPr>
        <w:t>Dilihat secara terminologi</w:t>
      </w:r>
    </w:p>
    <w:p w14:paraId="37D24742" w14:textId="42E360D1" w:rsidR="008D372B" w:rsidRPr="005B28C3" w:rsidRDefault="008D372B" w:rsidP="005B28C3">
      <w:pPr>
        <w:pStyle w:val="ListParagraph"/>
        <w:spacing w:line="276" w:lineRule="auto"/>
        <w:ind w:left="567" w:firstLine="284"/>
        <w:jc w:val="both"/>
        <w:rPr>
          <w:rFonts w:asciiTheme="majorBidi" w:hAnsiTheme="majorBidi" w:cstheme="majorBidi"/>
        </w:rPr>
      </w:pPr>
      <w:r w:rsidRPr="005B28C3">
        <w:rPr>
          <w:rFonts w:asciiTheme="majorBidi" w:hAnsiTheme="majorBidi" w:cstheme="majorBidi"/>
        </w:rPr>
        <w:t xml:space="preserve">Kesaksian yang didasarkan pada apa yang didengar atau diberitahukan oleh orang lain, memiliki perlakuan yang berbeda dalam sistem hukum positif Indonesia dan hukum acara jinayat. Meskipun keduanya mengacu pada konsep yang sama, namun istilah yang digunakan berbeda. Dalam hukum positif, istilah yang digunakan adalah </w:t>
      </w:r>
      <w:r w:rsidRPr="005B28C3">
        <w:rPr>
          <w:rFonts w:asciiTheme="majorBidi" w:hAnsiTheme="majorBidi" w:cstheme="majorBidi"/>
          <w:i/>
          <w:iCs/>
        </w:rPr>
        <w:t>testimonium de auditu</w:t>
      </w:r>
      <w:r w:rsidRPr="005B28C3">
        <w:rPr>
          <w:rFonts w:asciiTheme="majorBidi" w:hAnsiTheme="majorBidi" w:cstheme="majorBidi"/>
        </w:rPr>
        <w:t xml:space="preserve">, sedangkan dalam hukum acara jinayat dikenal dengan istilah </w:t>
      </w:r>
      <w:r w:rsidRPr="005B28C3">
        <w:rPr>
          <w:rFonts w:asciiTheme="majorBidi" w:hAnsiTheme="majorBidi" w:cstheme="majorBidi"/>
          <w:i/>
          <w:iCs/>
        </w:rPr>
        <w:t>syahadah al-istifadah</w:t>
      </w:r>
      <w:r w:rsidRPr="005B28C3">
        <w:rPr>
          <w:rFonts w:asciiTheme="majorBidi" w:hAnsiTheme="majorBidi" w:cstheme="majorBidi"/>
        </w:rPr>
        <w:t>.</w:t>
      </w:r>
    </w:p>
    <w:p w14:paraId="19047ACF" w14:textId="77777777" w:rsidR="008D372B" w:rsidRPr="00CB082F" w:rsidRDefault="008D372B" w:rsidP="005B28C3">
      <w:pPr>
        <w:pStyle w:val="ListParagraph"/>
        <w:numPr>
          <w:ilvl w:val="0"/>
          <w:numId w:val="81"/>
        </w:numPr>
        <w:spacing w:line="276" w:lineRule="auto"/>
        <w:ind w:left="567" w:hanging="283"/>
        <w:jc w:val="both"/>
        <w:rPr>
          <w:rFonts w:asciiTheme="majorBidi" w:hAnsiTheme="majorBidi" w:cstheme="majorBidi"/>
        </w:rPr>
      </w:pPr>
      <w:r w:rsidRPr="00CB082F">
        <w:rPr>
          <w:rFonts w:asciiTheme="majorBidi" w:hAnsiTheme="majorBidi" w:cstheme="majorBidi"/>
        </w:rPr>
        <w:t>Dilihat dari status Hukum</w:t>
      </w:r>
    </w:p>
    <w:p w14:paraId="5BE803C8" w14:textId="77777777" w:rsidR="008D372B" w:rsidRPr="00CB082F" w:rsidRDefault="008D372B" w:rsidP="005B28C3">
      <w:pPr>
        <w:pStyle w:val="ListParagraph"/>
        <w:spacing w:line="276" w:lineRule="auto"/>
        <w:ind w:left="567" w:firstLine="284"/>
        <w:jc w:val="both"/>
        <w:rPr>
          <w:rFonts w:asciiTheme="majorBidi" w:hAnsiTheme="majorBidi" w:cstheme="majorBidi"/>
        </w:rPr>
      </w:pPr>
      <w:r w:rsidRPr="00CB082F">
        <w:rPr>
          <w:rFonts w:asciiTheme="majorBidi" w:hAnsiTheme="majorBidi" w:cstheme="majorBidi"/>
        </w:rPr>
        <w:t xml:space="preserve">Dalam hukum positif Indonesia, setelah adanya putusan Mahkamah Konstitusi Nomor 65/PUU-VIII/2010, </w:t>
      </w:r>
      <w:r w:rsidRPr="00CB082F">
        <w:rPr>
          <w:rFonts w:asciiTheme="majorBidi" w:hAnsiTheme="majorBidi" w:cstheme="majorBidi"/>
          <w:i/>
          <w:iCs/>
        </w:rPr>
        <w:t>testimonium de auditu</w:t>
      </w:r>
      <w:r w:rsidRPr="00CB082F">
        <w:rPr>
          <w:rFonts w:asciiTheme="majorBidi" w:hAnsiTheme="majorBidi" w:cstheme="majorBidi"/>
        </w:rPr>
        <w:t xml:space="preserve"> secara resmi diakui sebagai alat bukti yang sah. Artinya, kesaksian ini dapat digunakan untuk membuktikan suatu peristiwa di pengadilan. Sebaliknya, dalam Qanun Aceh tentang hukum acara jinayat, </w:t>
      </w:r>
      <w:r w:rsidRPr="00CB082F">
        <w:rPr>
          <w:rFonts w:asciiTheme="majorBidi" w:hAnsiTheme="majorBidi" w:cstheme="majorBidi"/>
          <w:i/>
          <w:iCs/>
        </w:rPr>
        <w:t>syahadah al-istifadah</w:t>
      </w:r>
      <w:r w:rsidRPr="00CB082F">
        <w:rPr>
          <w:rFonts w:asciiTheme="majorBidi" w:hAnsiTheme="majorBidi" w:cstheme="majorBidi"/>
        </w:rPr>
        <w:t xml:space="preserve"> umumnya tidak diakui sebagai alat bukti yang sah. Namun, dalam sistem peradilan Islam secara umum, kesaksian ini dapat dianggap sebagai petunjuk atau </w:t>
      </w:r>
      <w:r w:rsidRPr="00CB082F">
        <w:rPr>
          <w:rFonts w:asciiTheme="majorBidi" w:hAnsiTheme="majorBidi" w:cstheme="majorBidi"/>
          <w:i/>
          <w:iCs/>
        </w:rPr>
        <w:t>qarinah</w:t>
      </w:r>
      <w:r w:rsidRPr="00CB082F">
        <w:rPr>
          <w:rFonts w:asciiTheme="majorBidi" w:hAnsiTheme="majorBidi" w:cstheme="majorBidi"/>
        </w:rPr>
        <w:t xml:space="preserve"> yang dapat memperkuat bukti-bukti lain.</w:t>
      </w:r>
    </w:p>
    <w:p w14:paraId="6EE5EC6A" w14:textId="77777777" w:rsidR="008D372B" w:rsidRPr="00CB082F" w:rsidRDefault="008D372B" w:rsidP="005B28C3">
      <w:pPr>
        <w:pStyle w:val="ListParagraph"/>
        <w:numPr>
          <w:ilvl w:val="0"/>
          <w:numId w:val="81"/>
        </w:numPr>
        <w:spacing w:line="276" w:lineRule="auto"/>
        <w:ind w:left="567" w:hanging="283"/>
        <w:jc w:val="both"/>
        <w:rPr>
          <w:rFonts w:asciiTheme="majorBidi" w:hAnsiTheme="majorBidi" w:cstheme="majorBidi"/>
        </w:rPr>
      </w:pPr>
      <w:r w:rsidRPr="00CB082F">
        <w:rPr>
          <w:rFonts w:asciiTheme="majorBidi" w:hAnsiTheme="majorBidi" w:cstheme="majorBidi"/>
        </w:rPr>
        <w:t>Dilihat dari kekuatan Pembuktian</w:t>
      </w:r>
    </w:p>
    <w:p w14:paraId="05AB99C5" w14:textId="77777777" w:rsidR="008D372B" w:rsidRPr="00CB082F" w:rsidRDefault="008D372B" w:rsidP="005B28C3">
      <w:pPr>
        <w:pStyle w:val="ListParagraph"/>
        <w:spacing w:line="276" w:lineRule="auto"/>
        <w:ind w:left="567" w:firstLine="284"/>
        <w:jc w:val="both"/>
        <w:rPr>
          <w:rFonts w:asciiTheme="majorBidi" w:hAnsiTheme="majorBidi" w:cstheme="majorBidi"/>
        </w:rPr>
      </w:pPr>
      <w:r w:rsidRPr="00CB082F">
        <w:rPr>
          <w:rFonts w:asciiTheme="majorBidi" w:hAnsiTheme="majorBidi" w:cstheme="majorBidi"/>
        </w:rPr>
        <w:t xml:space="preserve">Persamaan kedua sistem tersebut baik hukum positif maupun hukum acara jinayah sama-sama mengakui bahwa </w:t>
      </w:r>
      <w:r w:rsidRPr="00CB082F">
        <w:rPr>
          <w:rFonts w:asciiTheme="majorBidi" w:hAnsiTheme="majorBidi" w:cstheme="majorBidi"/>
          <w:i/>
          <w:iCs/>
        </w:rPr>
        <w:t>testimonium de auditu</w:t>
      </w:r>
      <w:r w:rsidRPr="00CB082F">
        <w:rPr>
          <w:rFonts w:asciiTheme="majorBidi" w:hAnsiTheme="majorBidi" w:cstheme="majorBidi"/>
        </w:rPr>
        <w:t>/</w:t>
      </w:r>
      <w:r w:rsidRPr="00CB082F">
        <w:rPr>
          <w:rFonts w:asciiTheme="majorBidi" w:hAnsiTheme="majorBidi" w:cstheme="majorBidi"/>
          <w:i/>
          <w:iCs/>
        </w:rPr>
        <w:t xml:space="preserve"> syahadah al istifadah</w:t>
      </w:r>
      <w:r w:rsidRPr="00CB082F">
        <w:rPr>
          <w:rFonts w:asciiTheme="majorBidi" w:hAnsiTheme="majorBidi" w:cstheme="majorBidi"/>
        </w:rPr>
        <w:t xml:space="preserve"> memiliki kekuatan pembuktian yang lebih rendah dibandingkan dengan kesaksian langsung (saksi mata). Hal ini dikarenakan adanya potensi kesalahan dalam penuturan cerita dari orang ke orang. Di sisi lain  yang memberdakan keduannya adalah dalam hukum positif memberikan ruang yang lebih luas bagi </w:t>
      </w:r>
      <w:r w:rsidRPr="00CB082F">
        <w:rPr>
          <w:rFonts w:asciiTheme="majorBidi" w:hAnsiTheme="majorBidi" w:cstheme="majorBidi"/>
          <w:i/>
          <w:iCs/>
        </w:rPr>
        <w:t>testimonium de auditu</w:t>
      </w:r>
      <w:r w:rsidRPr="00CB082F">
        <w:rPr>
          <w:rFonts w:asciiTheme="majorBidi" w:hAnsiTheme="majorBidi" w:cstheme="majorBidi"/>
        </w:rPr>
        <w:t xml:space="preserve"> untuk digunakan sebagai alat bukti, </w:t>
      </w:r>
      <w:r w:rsidRPr="00CB082F">
        <w:rPr>
          <w:rFonts w:asciiTheme="majorBidi" w:hAnsiTheme="majorBidi" w:cstheme="majorBidi"/>
        </w:rPr>
        <w:lastRenderedPageBreak/>
        <w:t xml:space="preserve">sedangkan hukum acara jinayah lebih berhati-hati dalam menerima jenis kesaksian </w:t>
      </w:r>
      <w:r w:rsidRPr="00CB082F">
        <w:rPr>
          <w:rFonts w:asciiTheme="majorBidi" w:hAnsiTheme="majorBidi" w:cstheme="majorBidi"/>
          <w:i/>
          <w:iCs/>
        </w:rPr>
        <w:t>syahadah al istifadah</w:t>
      </w:r>
      <w:r w:rsidRPr="00CB082F">
        <w:rPr>
          <w:rFonts w:asciiTheme="majorBidi" w:hAnsiTheme="majorBidi" w:cstheme="majorBidi"/>
        </w:rPr>
        <w:t xml:space="preserve">. </w:t>
      </w:r>
    </w:p>
    <w:p w14:paraId="2336C667" w14:textId="77777777" w:rsidR="008D372B" w:rsidRPr="00CB082F" w:rsidRDefault="008D372B" w:rsidP="005B28C3">
      <w:pPr>
        <w:pStyle w:val="ListParagraph"/>
        <w:numPr>
          <w:ilvl w:val="0"/>
          <w:numId w:val="81"/>
        </w:numPr>
        <w:spacing w:line="276" w:lineRule="auto"/>
        <w:ind w:left="567" w:hanging="283"/>
        <w:jc w:val="both"/>
        <w:rPr>
          <w:rFonts w:asciiTheme="majorBidi" w:hAnsiTheme="majorBidi" w:cstheme="majorBidi"/>
        </w:rPr>
      </w:pPr>
      <w:r w:rsidRPr="00CB082F">
        <w:rPr>
          <w:rFonts w:asciiTheme="majorBidi" w:hAnsiTheme="majorBidi" w:cstheme="majorBidi"/>
        </w:rPr>
        <w:t>Dilihat dari syarat diterimanya kesakasian</w:t>
      </w:r>
    </w:p>
    <w:p w14:paraId="07661ADD" w14:textId="77777777" w:rsidR="008D372B" w:rsidRPr="00CB082F" w:rsidRDefault="008D372B" w:rsidP="005B28C3">
      <w:pPr>
        <w:pStyle w:val="ListParagraph"/>
        <w:spacing w:line="276" w:lineRule="auto"/>
        <w:ind w:left="567" w:firstLine="284"/>
        <w:jc w:val="both"/>
        <w:rPr>
          <w:rFonts w:asciiTheme="majorBidi" w:hAnsiTheme="majorBidi" w:cstheme="majorBidi"/>
        </w:rPr>
      </w:pPr>
      <w:r w:rsidRPr="00CB082F">
        <w:rPr>
          <w:rFonts w:asciiTheme="majorBidi" w:hAnsiTheme="majorBidi" w:cstheme="majorBidi"/>
        </w:rPr>
        <w:t xml:space="preserve">Persyaratan penerimaan </w:t>
      </w:r>
      <w:r w:rsidRPr="00CB082F">
        <w:rPr>
          <w:rFonts w:asciiTheme="majorBidi" w:hAnsiTheme="majorBidi" w:cstheme="majorBidi"/>
          <w:i/>
          <w:iCs/>
        </w:rPr>
        <w:t>testimonium de auditu</w:t>
      </w:r>
      <w:r w:rsidRPr="00CB082F">
        <w:rPr>
          <w:rFonts w:asciiTheme="majorBidi" w:hAnsiTheme="majorBidi" w:cstheme="majorBidi"/>
        </w:rPr>
        <w:t xml:space="preserve"> dalam hukum positif Indonesia telah diatur dalam Pasal 185 KUHAP, dimana keterangan saksi harus dapat dipercaya, jujur, logis, dan didukung oleh bukti-bukti lain. Di sisi lain, hukum acara jinayat memiliki persyaratan yang lebih ketat, terutama terkait jumlah saksi dan kualitas moral mereka.</w:t>
      </w:r>
    </w:p>
    <w:p w14:paraId="732141A9" w14:textId="77777777" w:rsidR="008D372B" w:rsidRPr="00CB082F" w:rsidRDefault="008D372B" w:rsidP="005B28C3">
      <w:pPr>
        <w:pStyle w:val="ListParagraph"/>
        <w:numPr>
          <w:ilvl w:val="0"/>
          <w:numId w:val="81"/>
        </w:numPr>
        <w:spacing w:line="276" w:lineRule="auto"/>
        <w:ind w:left="567" w:hanging="283"/>
        <w:jc w:val="both"/>
        <w:rPr>
          <w:rFonts w:asciiTheme="majorBidi" w:hAnsiTheme="majorBidi" w:cstheme="majorBidi"/>
        </w:rPr>
      </w:pPr>
      <w:r w:rsidRPr="00CB082F">
        <w:rPr>
          <w:rFonts w:asciiTheme="majorBidi" w:hAnsiTheme="majorBidi" w:cstheme="majorBidi"/>
        </w:rPr>
        <w:t>Penilaian Kredibilitas</w:t>
      </w:r>
    </w:p>
    <w:p w14:paraId="5DE0E522" w14:textId="77777777" w:rsidR="008D372B" w:rsidRPr="00CB082F" w:rsidRDefault="008D372B" w:rsidP="005B28C3">
      <w:pPr>
        <w:pStyle w:val="ListParagraph"/>
        <w:spacing w:line="276" w:lineRule="auto"/>
        <w:ind w:left="567" w:firstLine="284"/>
        <w:jc w:val="both"/>
        <w:rPr>
          <w:rFonts w:asciiTheme="majorBidi" w:hAnsiTheme="majorBidi" w:cstheme="majorBidi"/>
        </w:rPr>
      </w:pPr>
      <w:r w:rsidRPr="00CB082F">
        <w:rPr>
          <w:rFonts w:asciiTheme="majorBidi" w:hAnsiTheme="majorBidi" w:cstheme="majorBidi"/>
        </w:rPr>
        <w:t>Dalam hal penilaian kredibilitas saksi, kedua sistem sama-sama mempertimbangkan aspek moral dan konsistensi terhadap keterangan saksi. Namun, hukum acara jinayat memberikan penekanan yang lebih kuat pada aspek keagamaan dan syarat-syarat khusus bagi saksi.</w:t>
      </w:r>
    </w:p>
    <w:p w14:paraId="17C32332" w14:textId="77777777" w:rsidR="008D372B" w:rsidRPr="00CB082F" w:rsidRDefault="008D372B" w:rsidP="005B28C3">
      <w:pPr>
        <w:pStyle w:val="ListParagraph"/>
        <w:numPr>
          <w:ilvl w:val="0"/>
          <w:numId w:val="81"/>
        </w:numPr>
        <w:spacing w:line="276" w:lineRule="auto"/>
        <w:ind w:left="567" w:hanging="283"/>
        <w:jc w:val="both"/>
        <w:rPr>
          <w:rFonts w:asciiTheme="majorBidi" w:hAnsiTheme="majorBidi" w:cstheme="majorBidi"/>
        </w:rPr>
      </w:pPr>
      <w:r w:rsidRPr="00CB082F">
        <w:rPr>
          <w:rFonts w:asciiTheme="majorBidi" w:hAnsiTheme="majorBidi" w:cstheme="majorBidi"/>
        </w:rPr>
        <w:t>Aplikasi dalam Sistem Peradilan</w:t>
      </w:r>
    </w:p>
    <w:p w14:paraId="0DDE3390" w14:textId="7830E523" w:rsidR="008D372B" w:rsidRPr="005B28C3" w:rsidRDefault="008D372B" w:rsidP="005B28C3">
      <w:pPr>
        <w:pStyle w:val="ListParagraph"/>
        <w:spacing w:line="276" w:lineRule="auto"/>
        <w:ind w:left="567" w:firstLine="284"/>
        <w:jc w:val="both"/>
        <w:rPr>
          <w:rFonts w:asciiTheme="majorBidi" w:hAnsiTheme="majorBidi" w:cstheme="majorBidi"/>
        </w:rPr>
      </w:pPr>
      <w:r w:rsidRPr="00CB082F">
        <w:rPr>
          <w:rFonts w:asciiTheme="majorBidi" w:hAnsiTheme="majorBidi" w:cstheme="majorBidi"/>
        </w:rPr>
        <w:t xml:space="preserve">Dalam hukum positif Indonesia, kesaksian </w:t>
      </w:r>
      <w:r w:rsidRPr="00CB082F">
        <w:rPr>
          <w:rFonts w:asciiTheme="majorBidi" w:hAnsiTheme="majorBidi" w:cstheme="majorBidi"/>
          <w:i/>
          <w:iCs/>
        </w:rPr>
        <w:t>testimonium de auditu</w:t>
      </w:r>
      <w:r w:rsidRPr="00CB082F">
        <w:rPr>
          <w:rFonts w:asciiTheme="majorBidi" w:hAnsiTheme="majorBidi" w:cstheme="majorBidi"/>
        </w:rPr>
        <w:t xml:space="preserve"> dapat digunakan sebagai salah satu bagian dari rangkaian alat bukti dalam suatu perkara. Kesaksian ini dapat dipertimbangkan bersama dengan bukti-bukti lainnya untuk mencapai suatu putusan. Sementara itu, dalam hukum acara jinayah, Penggunaan </w:t>
      </w:r>
      <w:r w:rsidRPr="00CB082F">
        <w:rPr>
          <w:rFonts w:asciiTheme="majorBidi" w:hAnsiTheme="majorBidi" w:cstheme="majorBidi"/>
          <w:i/>
          <w:iCs/>
        </w:rPr>
        <w:t xml:space="preserve">syahadah al istifadah </w:t>
      </w:r>
      <w:r w:rsidRPr="00CB082F">
        <w:rPr>
          <w:rFonts w:asciiTheme="majorBidi" w:hAnsiTheme="majorBidi" w:cstheme="majorBidi"/>
        </w:rPr>
        <w:t xml:space="preserve">dalam hukum acara jinayah lebih terbatas. Kesaksian ini umumnya digunakan sebagai petunjuk </w:t>
      </w:r>
      <w:r w:rsidRPr="00CB082F">
        <w:rPr>
          <w:rFonts w:asciiTheme="majorBidi" w:hAnsiTheme="majorBidi" w:cstheme="majorBidi"/>
          <w:i/>
          <w:iCs/>
        </w:rPr>
        <w:t>(qarinah</w:t>
      </w:r>
      <w:r w:rsidRPr="00CB082F">
        <w:rPr>
          <w:rFonts w:asciiTheme="majorBidi" w:hAnsiTheme="majorBidi" w:cstheme="majorBidi"/>
        </w:rPr>
        <w:t xml:space="preserve">) yang dapat memperkuat bukti-bukti lain, namun tidak dapat berdiri sendiri sebagai satu-satunya alat bukti yang cukup untuk membuktikan suatu peristiwa. </w:t>
      </w:r>
    </w:p>
    <w:p w14:paraId="206CC0B4" w14:textId="77777777" w:rsidR="008D372B" w:rsidRDefault="008D372B" w:rsidP="0022706D">
      <w:pPr>
        <w:spacing w:line="276" w:lineRule="auto"/>
        <w:rPr>
          <w:rFonts w:asciiTheme="majorBidi" w:hAnsiTheme="majorBidi" w:cstheme="majorBidi"/>
          <w:b/>
          <w:bCs/>
          <w:sz w:val="24"/>
          <w:szCs w:val="24"/>
          <w:lang w:val="en-US"/>
        </w:rPr>
      </w:pPr>
      <w:r>
        <w:br w:type="page"/>
      </w:r>
    </w:p>
    <w:p w14:paraId="0729855F" w14:textId="77777777" w:rsidR="008D372B" w:rsidRDefault="008D372B" w:rsidP="0022706D">
      <w:pPr>
        <w:pStyle w:val="Heading1"/>
        <w:spacing w:line="360" w:lineRule="auto"/>
        <w:sectPr w:rsidR="008D372B" w:rsidSect="008D372B">
          <w:footnotePr>
            <w:numRestart w:val="eachSect"/>
          </w:footnotePr>
          <w:pgSz w:w="8391" w:h="11906" w:code="11"/>
          <w:pgMar w:top="1134" w:right="1134" w:bottom="1134" w:left="1418" w:header="709" w:footer="709" w:gutter="0"/>
          <w:cols w:space="708"/>
          <w:titlePg/>
          <w:docGrid w:linePitch="360"/>
        </w:sectPr>
      </w:pPr>
    </w:p>
    <w:p w14:paraId="5EEE4807" w14:textId="77777777" w:rsidR="008D372B" w:rsidRPr="00B11613" w:rsidRDefault="008D372B" w:rsidP="0022706D">
      <w:pPr>
        <w:pStyle w:val="Heading1"/>
        <w:spacing w:line="360" w:lineRule="auto"/>
      </w:pPr>
      <w:bookmarkStart w:id="39" w:name="_Toc185961353"/>
      <w:r w:rsidRPr="00B11613">
        <w:lastRenderedPageBreak/>
        <w:t>BAB V</w:t>
      </w:r>
      <w:r w:rsidRPr="00B11613">
        <w:br/>
        <w:t>PENUTUP</w:t>
      </w:r>
      <w:bookmarkEnd w:id="39"/>
    </w:p>
    <w:p w14:paraId="501DC325" w14:textId="230CD6A5" w:rsidR="00B02947" w:rsidRPr="00B02947" w:rsidRDefault="008D372B" w:rsidP="005B28C3">
      <w:pPr>
        <w:pStyle w:val="Heading2"/>
        <w:numPr>
          <w:ilvl w:val="0"/>
          <w:numId w:val="73"/>
        </w:numPr>
        <w:spacing w:line="276" w:lineRule="auto"/>
        <w:ind w:left="284" w:hanging="284"/>
      </w:pPr>
      <w:bookmarkStart w:id="40" w:name="_Toc185961354"/>
      <w:r w:rsidRPr="00267A02">
        <w:t>Simpulan</w:t>
      </w:r>
      <w:bookmarkEnd w:id="40"/>
      <w:r w:rsidRPr="00267A02">
        <w:t xml:space="preserve"> </w:t>
      </w:r>
    </w:p>
    <w:p w14:paraId="0FB75C5A" w14:textId="77777777" w:rsidR="00B02947" w:rsidRDefault="00B02947" w:rsidP="005B28C3">
      <w:pPr>
        <w:pStyle w:val="ListParagraph"/>
        <w:spacing w:line="276" w:lineRule="auto"/>
        <w:ind w:left="284" w:firstLine="283"/>
        <w:jc w:val="both"/>
        <w:rPr>
          <w:rFonts w:asciiTheme="majorBidi" w:hAnsiTheme="majorBidi" w:cstheme="majorBidi"/>
          <w:lang w:val="en-US"/>
        </w:rPr>
      </w:pPr>
      <w:r>
        <w:rPr>
          <w:rFonts w:asciiTheme="majorBidi" w:hAnsiTheme="majorBidi" w:cstheme="majorBidi"/>
          <w:lang w:val="en-US"/>
        </w:rPr>
        <w:t xml:space="preserve">Berdasarkan ulasan yang telah disampaikan pada paparan terdahulu dapat disimpulkan sebagai berikut: </w:t>
      </w:r>
    </w:p>
    <w:p w14:paraId="7FD433BB" w14:textId="2C9815AB" w:rsidR="00B02947" w:rsidRDefault="008D372B" w:rsidP="005B28C3">
      <w:pPr>
        <w:pStyle w:val="ListParagraph"/>
        <w:numPr>
          <w:ilvl w:val="0"/>
          <w:numId w:val="103"/>
        </w:numPr>
        <w:spacing w:line="276" w:lineRule="auto"/>
        <w:ind w:left="567" w:hanging="283"/>
        <w:jc w:val="both"/>
        <w:rPr>
          <w:rFonts w:asciiTheme="majorBidi" w:hAnsiTheme="majorBidi" w:cstheme="majorBidi"/>
          <w:lang w:val="en-US"/>
        </w:rPr>
      </w:pPr>
      <w:r w:rsidRPr="00B02947">
        <w:rPr>
          <w:rFonts w:asciiTheme="majorBidi" w:hAnsiTheme="majorBidi" w:cstheme="majorBidi"/>
          <w:lang w:val="en-US"/>
        </w:rPr>
        <w:t xml:space="preserve">Konsep </w:t>
      </w:r>
      <w:r w:rsidR="00F7345B" w:rsidRPr="00B02947">
        <w:rPr>
          <w:rFonts w:asciiTheme="majorBidi" w:hAnsiTheme="majorBidi" w:cstheme="majorBidi"/>
          <w:lang w:val="en-US"/>
        </w:rPr>
        <w:t>s</w:t>
      </w:r>
      <w:r w:rsidRPr="00B02947">
        <w:rPr>
          <w:rFonts w:asciiTheme="majorBidi" w:hAnsiTheme="majorBidi" w:cstheme="majorBidi"/>
          <w:lang w:val="en-US"/>
        </w:rPr>
        <w:t xml:space="preserve">aksi </w:t>
      </w:r>
      <w:r w:rsidR="00F7345B" w:rsidRPr="00B02947">
        <w:rPr>
          <w:rFonts w:asciiTheme="majorBidi" w:hAnsiTheme="majorBidi" w:cstheme="majorBidi"/>
          <w:i/>
          <w:iCs/>
          <w:lang w:val="en-US"/>
        </w:rPr>
        <w:t>testimonium de auditu</w:t>
      </w:r>
      <w:r w:rsidR="00F7345B" w:rsidRPr="00B02947">
        <w:rPr>
          <w:rFonts w:asciiTheme="majorBidi" w:hAnsiTheme="majorBidi" w:cstheme="majorBidi"/>
          <w:lang w:val="en-US"/>
        </w:rPr>
        <w:t xml:space="preserve"> </w:t>
      </w:r>
      <w:r w:rsidR="003E74D0">
        <w:rPr>
          <w:rFonts w:asciiTheme="majorBidi" w:hAnsiTheme="majorBidi" w:cstheme="majorBidi"/>
          <w:lang w:val="en-US"/>
        </w:rPr>
        <w:t xml:space="preserve">pada </w:t>
      </w:r>
      <w:r w:rsidR="003E74D0" w:rsidRPr="00B02947">
        <w:rPr>
          <w:rFonts w:asciiTheme="majorBidi" w:hAnsiTheme="majorBidi" w:cstheme="majorBidi"/>
          <w:lang w:val="en-US"/>
        </w:rPr>
        <w:t xml:space="preserve">tindak pidana pelecehan seksual terhadap anak </w:t>
      </w:r>
      <w:r w:rsidR="00B02947">
        <w:rPr>
          <w:rFonts w:asciiTheme="majorBidi" w:hAnsiTheme="majorBidi" w:cstheme="majorBidi"/>
          <w:lang w:val="en-US"/>
        </w:rPr>
        <w:t xml:space="preserve">dalam </w:t>
      </w:r>
      <w:r w:rsidRPr="00B02947">
        <w:rPr>
          <w:rFonts w:asciiTheme="majorBidi" w:hAnsiTheme="majorBidi" w:cstheme="majorBidi"/>
          <w:lang w:val="en-US"/>
        </w:rPr>
        <w:t xml:space="preserve">Perspektif </w:t>
      </w:r>
      <w:r w:rsidR="00B02947">
        <w:rPr>
          <w:rFonts w:asciiTheme="majorBidi" w:hAnsiTheme="majorBidi" w:cstheme="majorBidi"/>
          <w:lang w:val="en-US"/>
        </w:rPr>
        <w:t>Kitab Undang-Undang Hukum Acara Pidana (KUHAP) pada</w:t>
      </w:r>
      <w:r w:rsidRPr="00B02947">
        <w:rPr>
          <w:rFonts w:asciiTheme="majorBidi" w:hAnsiTheme="majorBidi" w:cstheme="majorBidi"/>
          <w:lang w:val="en-US"/>
        </w:rPr>
        <w:t xml:space="preserve"> </w:t>
      </w:r>
      <w:r w:rsidR="003E74D0">
        <w:rPr>
          <w:rFonts w:asciiTheme="majorBidi" w:hAnsiTheme="majorBidi" w:cstheme="majorBidi"/>
          <w:lang w:val="en-US"/>
        </w:rPr>
        <w:t>P</w:t>
      </w:r>
      <w:r w:rsidRPr="00B02947">
        <w:rPr>
          <w:rFonts w:asciiTheme="majorBidi" w:hAnsiTheme="majorBidi" w:cstheme="majorBidi"/>
          <w:lang w:val="en-US"/>
        </w:rPr>
        <w:t xml:space="preserve">utusan Mahkamah Syariah Takengon Nomor 9/JN/2023/MS.Tkn, bahwa saksi </w:t>
      </w:r>
      <w:r w:rsidRPr="00B02947">
        <w:rPr>
          <w:rFonts w:asciiTheme="majorBidi" w:hAnsiTheme="majorBidi" w:cstheme="majorBidi"/>
          <w:i/>
          <w:iCs/>
          <w:lang w:val="en-US"/>
        </w:rPr>
        <w:t>testimonium de auditu</w:t>
      </w:r>
      <w:r w:rsidR="00116F9A" w:rsidRPr="00B02947">
        <w:rPr>
          <w:rFonts w:asciiTheme="majorBidi" w:hAnsiTheme="majorBidi" w:cstheme="majorBidi"/>
          <w:lang w:val="en-US"/>
        </w:rPr>
        <w:t xml:space="preserve"> adalah</w:t>
      </w:r>
      <w:r w:rsidRPr="00B02947">
        <w:rPr>
          <w:rFonts w:asciiTheme="majorBidi" w:hAnsiTheme="majorBidi" w:cstheme="majorBidi"/>
          <w:lang w:val="en-US"/>
        </w:rPr>
        <w:t xml:space="preserve"> </w:t>
      </w:r>
      <w:r w:rsidR="00AF762C" w:rsidRPr="00B02947">
        <w:rPr>
          <w:rFonts w:asciiTheme="majorBidi" w:hAnsiTheme="majorBidi" w:cstheme="majorBidi"/>
          <w:lang w:val="en-US"/>
        </w:rPr>
        <w:t xml:space="preserve">saksi </w:t>
      </w:r>
      <w:r w:rsidRPr="00B02947">
        <w:rPr>
          <w:rFonts w:asciiTheme="majorBidi" w:hAnsiTheme="majorBidi" w:cstheme="majorBidi"/>
          <w:lang w:val="en-US"/>
        </w:rPr>
        <w:t>yang memberikan keterangan berdasarkan apa yang didengar dari pihak lain</w:t>
      </w:r>
      <w:r w:rsidR="00116F9A" w:rsidRPr="00B02947">
        <w:rPr>
          <w:rFonts w:asciiTheme="majorBidi" w:hAnsiTheme="majorBidi" w:cstheme="majorBidi"/>
          <w:lang w:val="en-US"/>
        </w:rPr>
        <w:t xml:space="preserve">. </w:t>
      </w:r>
      <w:r w:rsidR="00116F9A" w:rsidRPr="00B02947">
        <w:rPr>
          <w:rFonts w:asciiTheme="majorBidi" w:hAnsiTheme="majorBidi" w:cstheme="majorBidi"/>
        </w:rPr>
        <w:t xml:space="preserve">Legitimasi hukum terhadap saksi </w:t>
      </w:r>
      <w:r w:rsidR="00116F9A" w:rsidRPr="00B02947">
        <w:rPr>
          <w:rFonts w:asciiTheme="majorBidi" w:hAnsiTheme="majorBidi" w:cstheme="majorBidi"/>
          <w:i/>
          <w:iCs/>
        </w:rPr>
        <w:t>testimonium de auditu</w:t>
      </w:r>
      <w:r w:rsidR="00116F9A" w:rsidRPr="00B02947">
        <w:rPr>
          <w:rFonts w:asciiTheme="majorBidi" w:hAnsiTheme="majorBidi" w:cstheme="majorBidi"/>
        </w:rPr>
        <w:t xml:space="preserve"> semakin diperkuat pasca Putusan Mahkamah Konstitusi Nomor 65/PUU-VIII/2010, yang membuka peluang lebih luas bagi pengadilan untuk mempertimbangkan kesaksian tersebut sebagai alat bukti yang sah </w:t>
      </w:r>
      <w:r w:rsidRPr="00B02947">
        <w:rPr>
          <w:rFonts w:asciiTheme="majorBidi" w:hAnsiTheme="majorBidi" w:cstheme="majorBidi"/>
          <w:lang w:val="en-US"/>
        </w:rPr>
        <w:t xml:space="preserve">terutama dalam kasus yang melibatkan anak sebagai korban. Kesaksian ini harus memenuhi kriteria tertentu untuk diterima sebagai alat bukti yang sah, termasuk berdasarkan pengalaman langsung, konsistensi, dan keandalan informasi. Dengan memenuhi kriteria yang ditetapkan dan didukung oleh alat bukti lain yang relevan, kesaksian </w:t>
      </w:r>
      <w:r w:rsidRPr="00B02947">
        <w:rPr>
          <w:rFonts w:asciiTheme="majorBidi" w:hAnsiTheme="majorBidi" w:cstheme="majorBidi"/>
          <w:i/>
          <w:iCs/>
          <w:lang w:val="en-US"/>
        </w:rPr>
        <w:t>testimonium de auditu</w:t>
      </w:r>
      <w:r w:rsidRPr="00B02947">
        <w:rPr>
          <w:rFonts w:asciiTheme="majorBidi" w:hAnsiTheme="majorBidi" w:cstheme="majorBidi"/>
          <w:lang w:val="en-US"/>
        </w:rPr>
        <w:t xml:space="preserve"> dapat berkontribusi dalam proses pembuktian, penting untuk penerapan azas-azas hukum pidana dalam sistem peradilan di Indonesia. </w:t>
      </w:r>
    </w:p>
    <w:p w14:paraId="76269BAC" w14:textId="5651EFE5" w:rsidR="008D372B" w:rsidRPr="00B02947" w:rsidRDefault="00B02947" w:rsidP="005B28C3">
      <w:pPr>
        <w:pStyle w:val="ListParagraph"/>
        <w:numPr>
          <w:ilvl w:val="0"/>
          <w:numId w:val="103"/>
        </w:numPr>
        <w:spacing w:line="276" w:lineRule="auto"/>
        <w:ind w:left="567" w:hanging="283"/>
        <w:jc w:val="both"/>
        <w:rPr>
          <w:rFonts w:asciiTheme="majorBidi" w:hAnsiTheme="majorBidi" w:cstheme="majorBidi"/>
          <w:lang w:val="en-US"/>
        </w:rPr>
      </w:pPr>
      <w:r w:rsidRPr="00B02947">
        <w:rPr>
          <w:rFonts w:asciiTheme="majorBidi" w:hAnsiTheme="majorBidi" w:cstheme="majorBidi"/>
          <w:lang w:val="en-US"/>
        </w:rPr>
        <w:t>K</w:t>
      </w:r>
      <w:r w:rsidR="008D372B" w:rsidRPr="00B02947">
        <w:rPr>
          <w:rFonts w:asciiTheme="majorBidi" w:hAnsiTheme="majorBidi" w:cstheme="majorBidi"/>
          <w:lang w:val="en-US"/>
        </w:rPr>
        <w:t xml:space="preserve">onsep saksi </w:t>
      </w:r>
      <w:r w:rsidR="008D372B" w:rsidRPr="00B02947">
        <w:rPr>
          <w:rFonts w:asciiTheme="majorBidi" w:hAnsiTheme="majorBidi" w:cstheme="majorBidi"/>
          <w:i/>
          <w:iCs/>
          <w:lang w:val="en-US"/>
        </w:rPr>
        <w:t xml:space="preserve">testimonium de auditu </w:t>
      </w:r>
      <w:r w:rsidR="008D372B" w:rsidRPr="00B02947">
        <w:rPr>
          <w:rFonts w:asciiTheme="majorBidi" w:hAnsiTheme="majorBidi" w:cstheme="majorBidi"/>
          <w:lang w:val="en-US"/>
        </w:rPr>
        <w:t xml:space="preserve">pada tindak pidana pelecehan seksual terhadap anak </w:t>
      </w:r>
      <w:r w:rsidR="00A20BEA">
        <w:rPr>
          <w:rFonts w:asciiTheme="majorBidi" w:hAnsiTheme="majorBidi" w:cstheme="majorBidi"/>
          <w:lang w:val="en-US"/>
        </w:rPr>
        <w:t xml:space="preserve">dalam </w:t>
      </w:r>
      <w:r w:rsidR="008D372B" w:rsidRPr="00B02947">
        <w:rPr>
          <w:rFonts w:asciiTheme="majorBidi" w:hAnsiTheme="majorBidi" w:cstheme="majorBidi"/>
          <w:lang w:val="en-US"/>
        </w:rPr>
        <w:t xml:space="preserve">perspektif </w:t>
      </w:r>
      <w:r>
        <w:rPr>
          <w:rFonts w:asciiTheme="majorBidi" w:hAnsiTheme="majorBidi" w:cstheme="majorBidi"/>
          <w:lang w:val="en-US"/>
        </w:rPr>
        <w:t xml:space="preserve">Qanun </w:t>
      </w:r>
      <w:r w:rsidR="00F7345B" w:rsidRPr="00B02947">
        <w:rPr>
          <w:rFonts w:asciiTheme="majorBidi" w:hAnsiTheme="majorBidi" w:cstheme="majorBidi"/>
          <w:lang w:val="en-US"/>
        </w:rPr>
        <w:t xml:space="preserve">Hukum Acara </w:t>
      </w:r>
      <w:r w:rsidR="00F7345B" w:rsidRPr="00B02947">
        <w:rPr>
          <w:rFonts w:asciiTheme="majorBidi" w:hAnsiTheme="majorBidi" w:cstheme="majorBidi"/>
          <w:i/>
          <w:iCs/>
          <w:lang w:val="en-US"/>
        </w:rPr>
        <w:t>Jinayat</w:t>
      </w:r>
      <w:r>
        <w:rPr>
          <w:rFonts w:asciiTheme="majorBidi" w:hAnsiTheme="majorBidi" w:cstheme="majorBidi"/>
          <w:lang w:val="en-US"/>
        </w:rPr>
        <w:t xml:space="preserve"> ( QHAJ) </w:t>
      </w:r>
      <w:r w:rsidR="00A20BEA">
        <w:rPr>
          <w:rFonts w:asciiTheme="majorBidi" w:hAnsiTheme="majorBidi" w:cstheme="majorBidi"/>
          <w:lang w:val="en-US"/>
        </w:rPr>
        <w:t>pada</w:t>
      </w:r>
      <w:r w:rsidR="008D372B" w:rsidRPr="00B02947">
        <w:rPr>
          <w:rFonts w:asciiTheme="majorBidi" w:hAnsiTheme="majorBidi" w:cstheme="majorBidi"/>
          <w:lang w:val="en-US"/>
        </w:rPr>
        <w:t xml:space="preserve"> Putusan Mahkamah Syariah Takengon Nomor 9/JN/2023/MS.Tkn, dapat disimpulkan bahwa</w:t>
      </w:r>
      <w:r w:rsidR="008D372B" w:rsidRPr="00614D06">
        <w:t xml:space="preserve"> </w:t>
      </w:r>
      <w:r w:rsidR="008D372B" w:rsidRPr="00B02947">
        <w:rPr>
          <w:rFonts w:asciiTheme="majorBidi" w:hAnsiTheme="majorBidi" w:cstheme="majorBidi"/>
        </w:rPr>
        <w:t xml:space="preserve">Qanun Aceh Nomor 7 Tahun 2013 </w:t>
      </w:r>
      <w:r w:rsidR="008D372B" w:rsidRPr="00B02947">
        <w:rPr>
          <w:rFonts w:asciiTheme="majorBidi" w:hAnsiTheme="majorBidi" w:cstheme="majorBidi"/>
        </w:rPr>
        <w:lastRenderedPageBreak/>
        <w:t xml:space="preserve">tentang Hukum Acara Jinayat (QHAJ) mengindikasikan adanya prinsip dasar yang kuat terkait penerimaan </w:t>
      </w:r>
      <w:r w:rsidR="004753E0" w:rsidRPr="00B02947">
        <w:rPr>
          <w:rFonts w:asciiTheme="majorBidi" w:hAnsiTheme="majorBidi" w:cstheme="majorBidi"/>
        </w:rPr>
        <w:t xml:space="preserve">terhadap alat </w:t>
      </w:r>
      <w:r w:rsidR="008D372B" w:rsidRPr="00B02947">
        <w:rPr>
          <w:rFonts w:asciiTheme="majorBidi" w:hAnsiTheme="majorBidi" w:cstheme="majorBidi"/>
        </w:rPr>
        <w:t>bukti. QHAJ secara tegas mensyaratkan adanya bukti langsung sebagai p</w:t>
      </w:r>
      <w:r w:rsidR="00F7345B" w:rsidRPr="00B02947">
        <w:rPr>
          <w:rFonts w:asciiTheme="majorBidi" w:hAnsiTheme="majorBidi" w:cstheme="majorBidi"/>
        </w:rPr>
        <w:t>e</w:t>
      </w:r>
      <w:r w:rsidR="008D372B" w:rsidRPr="00B02947">
        <w:rPr>
          <w:rFonts w:asciiTheme="majorBidi" w:hAnsiTheme="majorBidi" w:cstheme="majorBidi"/>
        </w:rPr>
        <w:t>rsyarat</w:t>
      </w:r>
      <w:r w:rsidR="00F7345B" w:rsidRPr="00B02947">
        <w:rPr>
          <w:rFonts w:asciiTheme="majorBidi" w:hAnsiTheme="majorBidi" w:cstheme="majorBidi"/>
        </w:rPr>
        <w:t>an</w:t>
      </w:r>
      <w:r w:rsidR="008D372B" w:rsidRPr="00B02947">
        <w:rPr>
          <w:rFonts w:asciiTheme="majorBidi" w:hAnsiTheme="majorBidi" w:cstheme="majorBidi"/>
        </w:rPr>
        <w:t xml:space="preserve"> utama dalam pembuktian suatu tindak pidana. Sebaliknya, bukti tidak langsung seperti </w:t>
      </w:r>
      <w:r w:rsidR="008D372B" w:rsidRPr="00B02947">
        <w:rPr>
          <w:rFonts w:asciiTheme="majorBidi" w:hAnsiTheme="majorBidi" w:cstheme="majorBidi"/>
          <w:i/>
          <w:iCs/>
        </w:rPr>
        <w:t>testimonium de auditu,</w:t>
      </w:r>
      <w:r w:rsidR="008D372B" w:rsidRPr="00B02947">
        <w:rPr>
          <w:rFonts w:asciiTheme="majorBidi" w:hAnsiTheme="majorBidi" w:cstheme="majorBidi"/>
        </w:rPr>
        <w:t xml:space="preserve"> yang mengandalkan keterangan orang lain, secara eksplisit tidak dapat diterima. Meskipun secara umum hukum acara </w:t>
      </w:r>
      <w:r w:rsidR="008D372B" w:rsidRPr="00B02947">
        <w:rPr>
          <w:rFonts w:asciiTheme="majorBidi" w:hAnsiTheme="majorBidi" w:cstheme="majorBidi"/>
          <w:i/>
          <w:iCs/>
        </w:rPr>
        <w:t>jinayat</w:t>
      </w:r>
      <w:r w:rsidR="008D372B" w:rsidRPr="00B02947">
        <w:rPr>
          <w:rFonts w:asciiTheme="majorBidi" w:hAnsiTheme="majorBidi" w:cstheme="majorBidi"/>
        </w:rPr>
        <w:t xml:space="preserve"> mensyaratkan kesaksian langsung, terdapat pengecualian dal</w:t>
      </w:r>
      <w:r w:rsidR="00822145">
        <w:rPr>
          <w:rFonts w:asciiTheme="majorBidi" w:hAnsiTheme="majorBidi" w:cstheme="majorBidi"/>
        </w:rPr>
        <w:t>a</w:t>
      </w:r>
      <w:r w:rsidR="008D372B" w:rsidRPr="00B02947">
        <w:rPr>
          <w:rFonts w:asciiTheme="majorBidi" w:hAnsiTheme="majorBidi" w:cstheme="majorBidi"/>
        </w:rPr>
        <w:t xml:space="preserve">m peradilan </w:t>
      </w:r>
      <w:r w:rsidR="00CD5F0F" w:rsidRPr="00B02947">
        <w:rPr>
          <w:rFonts w:asciiTheme="majorBidi" w:hAnsiTheme="majorBidi" w:cstheme="majorBidi"/>
        </w:rPr>
        <w:t>I</w:t>
      </w:r>
      <w:r w:rsidR="008D372B" w:rsidRPr="00B02947">
        <w:rPr>
          <w:rFonts w:asciiTheme="majorBidi" w:hAnsiTheme="majorBidi" w:cstheme="majorBidi"/>
        </w:rPr>
        <w:t xml:space="preserve">slam yang memberikan fleksibilitas dalam penerimaan kesaksian </w:t>
      </w:r>
      <w:r w:rsidR="008D372B" w:rsidRPr="00B02947">
        <w:rPr>
          <w:rFonts w:asciiTheme="majorBidi" w:hAnsiTheme="majorBidi" w:cstheme="majorBidi"/>
          <w:i/>
          <w:iCs/>
        </w:rPr>
        <w:t>testimonium de auditu</w:t>
      </w:r>
      <w:r w:rsidR="00F7345B" w:rsidRPr="00B02947">
        <w:rPr>
          <w:rFonts w:asciiTheme="majorBidi" w:hAnsiTheme="majorBidi" w:cstheme="majorBidi"/>
          <w:i/>
          <w:iCs/>
        </w:rPr>
        <w:t>/syahadah al istifadah</w:t>
      </w:r>
      <w:r w:rsidR="008D372B" w:rsidRPr="00B02947">
        <w:rPr>
          <w:rFonts w:asciiTheme="majorBidi" w:hAnsiTheme="majorBidi" w:cstheme="majorBidi"/>
        </w:rPr>
        <w:t xml:space="preserve"> sebagai </w:t>
      </w:r>
      <w:r w:rsidR="008D372B" w:rsidRPr="00B02947">
        <w:rPr>
          <w:rFonts w:asciiTheme="majorBidi" w:hAnsiTheme="majorBidi" w:cstheme="majorBidi"/>
          <w:i/>
          <w:iCs/>
        </w:rPr>
        <w:t>qarinah</w:t>
      </w:r>
      <w:r w:rsidR="008D372B" w:rsidRPr="00B02947">
        <w:rPr>
          <w:rFonts w:asciiTheme="majorBidi" w:hAnsiTheme="majorBidi" w:cstheme="majorBidi"/>
        </w:rPr>
        <w:t xml:space="preserve"> dengan syarat berita</w:t>
      </w:r>
      <w:r w:rsidR="00CD5F0F" w:rsidRPr="00B02947">
        <w:rPr>
          <w:rFonts w:asciiTheme="majorBidi" w:hAnsiTheme="majorBidi" w:cstheme="majorBidi"/>
        </w:rPr>
        <w:t>/</w:t>
      </w:r>
      <w:r w:rsidR="008D372B" w:rsidRPr="00B02947">
        <w:rPr>
          <w:rFonts w:asciiTheme="majorBidi" w:hAnsiTheme="majorBidi" w:cstheme="majorBidi"/>
        </w:rPr>
        <w:t>informasi</w:t>
      </w:r>
      <w:r w:rsidR="00CD5F0F" w:rsidRPr="00B02947">
        <w:rPr>
          <w:rFonts w:asciiTheme="majorBidi" w:hAnsiTheme="majorBidi" w:cstheme="majorBidi"/>
        </w:rPr>
        <w:t xml:space="preserve"> tersebut</w:t>
      </w:r>
      <w:r w:rsidR="008D372B" w:rsidRPr="00B02947">
        <w:rPr>
          <w:rFonts w:asciiTheme="majorBidi" w:hAnsiTheme="majorBidi" w:cstheme="majorBidi"/>
        </w:rPr>
        <w:t xml:space="preserve"> sudah tersebar luas di masyarakat. </w:t>
      </w:r>
    </w:p>
    <w:p w14:paraId="422F1CCE" w14:textId="77777777" w:rsidR="008D372B" w:rsidRPr="00476137" w:rsidRDefault="008D372B" w:rsidP="005B28C3">
      <w:pPr>
        <w:pStyle w:val="Heading2"/>
        <w:numPr>
          <w:ilvl w:val="0"/>
          <w:numId w:val="72"/>
        </w:numPr>
        <w:spacing w:line="276" w:lineRule="auto"/>
        <w:ind w:left="284" w:hanging="284"/>
      </w:pPr>
      <w:bookmarkStart w:id="41" w:name="_Toc185961355"/>
      <w:r w:rsidRPr="00476137">
        <w:t>Saran</w:t>
      </w:r>
      <w:bookmarkEnd w:id="41"/>
      <w:r w:rsidRPr="00476137">
        <w:t xml:space="preserve"> </w:t>
      </w:r>
    </w:p>
    <w:p w14:paraId="68BB0D01" w14:textId="77777777" w:rsidR="005B28C3" w:rsidRDefault="00D259EC" w:rsidP="005B28C3">
      <w:pPr>
        <w:pStyle w:val="ListParagraph"/>
        <w:spacing w:line="276" w:lineRule="auto"/>
        <w:ind w:left="284" w:firstLine="283"/>
        <w:jc w:val="both"/>
        <w:rPr>
          <w:rFonts w:asciiTheme="majorBidi" w:hAnsiTheme="majorBidi" w:cstheme="majorBidi"/>
          <w:lang w:val="en-US"/>
        </w:rPr>
      </w:pPr>
      <w:r>
        <w:rPr>
          <w:rFonts w:asciiTheme="majorBidi" w:hAnsiTheme="majorBidi" w:cstheme="majorBidi"/>
          <w:lang w:val="en-US"/>
        </w:rPr>
        <w:t xml:space="preserve">Penulis </w:t>
      </w:r>
      <w:r w:rsidR="00822145">
        <w:rPr>
          <w:rFonts w:asciiTheme="majorBidi" w:hAnsiTheme="majorBidi" w:cstheme="majorBidi"/>
          <w:lang w:val="en-US"/>
        </w:rPr>
        <w:t>me</w:t>
      </w:r>
      <w:r>
        <w:rPr>
          <w:rFonts w:asciiTheme="majorBidi" w:hAnsiTheme="majorBidi" w:cstheme="majorBidi"/>
          <w:lang w:val="en-US"/>
        </w:rPr>
        <w:t xml:space="preserve">mberikan saran semampu penulis. </w:t>
      </w:r>
      <w:r w:rsidR="008D372B" w:rsidRPr="00CB082F">
        <w:rPr>
          <w:rFonts w:asciiTheme="majorBidi" w:hAnsiTheme="majorBidi" w:cstheme="majorBidi"/>
          <w:lang w:val="en-US"/>
        </w:rPr>
        <w:t xml:space="preserve">Penelitian ini memiliki beberapa keterbatasan, seperti fokus yang terbatas pada satu </w:t>
      </w:r>
      <w:r w:rsidR="00CD5F0F">
        <w:rPr>
          <w:rFonts w:asciiTheme="majorBidi" w:hAnsiTheme="majorBidi" w:cstheme="majorBidi"/>
          <w:lang w:val="en-US"/>
        </w:rPr>
        <w:t>P</w:t>
      </w:r>
      <w:r w:rsidR="008D372B" w:rsidRPr="00CB082F">
        <w:rPr>
          <w:rFonts w:asciiTheme="majorBidi" w:hAnsiTheme="majorBidi" w:cstheme="majorBidi"/>
          <w:lang w:val="en-US"/>
        </w:rPr>
        <w:t>utusan Mahkamah Syariah Takengon, sehingga hasilnya mungkin tidak dapat digeneralisasi untuk kasus-kasus lain. Selain itu keterbatasan dalam mengakses data dan informasi terkait kasus-kasus serupa yang dapat memberikan perspektif lebih luas. Pada dasarnya penelitian ini lebih menekankan pada aspek hukum dan kurang mengeksplorasi</w:t>
      </w:r>
      <w:r w:rsidR="005B28C3">
        <w:rPr>
          <w:rFonts w:asciiTheme="majorBidi" w:hAnsiTheme="majorBidi" w:cstheme="majorBidi"/>
          <w:lang w:val="en-US"/>
        </w:rPr>
        <w:t xml:space="preserve"> </w:t>
      </w:r>
      <w:r w:rsidR="008D372B" w:rsidRPr="00CB082F">
        <w:rPr>
          <w:rFonts w:asciiTheme="majorBidi" w:hAnsiTheme="majorBidi" w:cstheme="majorBidi"/>
          <w:lang w:val="en-US"/>
        </w:rPr>
        <w:t xml:space="preserve">dampak psikologis terhadap korban dan saksi. </w:t>
      </w:r>
    </w:p>
    <w:p w14:paraId="1A468F6B" w14:textId="63525606" w:rsidR="008D372B" w:rsidRPr="005B28C3" w:rsidRDefault="008D372B" w:rsidP="005B28C3">
      <w:pPr>
        <w:pStyle w:val="ListParagraph"/>
        <w:spacing w:line="276" w:lineRule="auto"/>
        <w:ind w:left="284" w:firstLine="283"/>
        <w:jc w:val="both"/>
        <w:rPr>
          <w:rFonts w:asciiTheme="majorBidi" w:hAnsiTheme="majorBidi" w:cstheme="majorBidi"/>
          <w:lang w:val="en-US"/>
        </w:rPr>
      </w:pPr>
      <w:r w:rsidRPr="005B28C3">
        <w:rPr>
          <w:rFonts w:asciiTheme="majorBidi" w:hAnsiTheme="majorBidi" w:cstheme="majorBidi"/>
          <w:lang w:val="en-US"/>
        </w:rPr>
        <w:t>Saran untuk penelitian selanjutnya, bahwa agar melakukan studi komparatif dengan kasus-kasus lain misalnya dalam perspektif hukum adat di</w:t>
      </w:r>
      <w:r w:rsidR="00CB2ADD" w:rsidRPr="005B28C3">
        <w:rPr>
          <w:rFonts w:asciiTheme="majorBidi" w:hAnsiTheme="majorBidi" w:cstheme="majorBidi"/>
          <w:lang w:val="en-US"/>
        </w:rPr>
        <w:t xml:space="preserve"> </w:t>
      </w:r>
      <w:r w:rsidRPr="005B28C3">
        <w:rPr>
          <w:rFonts w:asciiTheme="majorBidi" w:hAnsiTheme="majorBidi" w:cstheme="majorBidi"/>
          <w:lang w:val="en-US"/>
        </w:rPr>
        <w:t xml:space="preserve">berbagai wilayah </w:t>
      </w:r>
      <w:r w:rsidR="00D259EC" w:rsidRPr="005B28C3">
        <w:rPr>
          <w:rFonts w:asciiTheme="majorBidi" w:hAnsiTheme="majorBidi" w:cstheme="majorBidi"/>
          <w:lang w:val="en-US"/>
        </w:rPr>
        <w:t xml:space="preserve">di Indonesia </w:t>
      </w:r>
      <w:r w:rsidRPr="005B28C3">
        <w:rPr>
          <w:rFonts w:asciiTheme="majorBidi" w:hAnsiTheme="majorBidi" w:cstheme="majorBidi"/>
          <w:lang w:val="en-US"/>
        </w:rPr>
        <w:t xml:space="preserve">untuk mendapatkan gambaran yang lebih komprehensif mengenai penerapan </w:t>
      </w:r>
      <w:r w:rsidR="00D259EC" w:rsidRPr="005B28C3">
        <w:rPr>
          <w:rFonts w:asciiTheme="majorBidi" w:hAnsiTheme="majorBidi" w:cstheme="majorBidi"/>
          <w:lang w:val="en-US"/>
        </w:rPr>
        <w:t xml:space="preserve">kesaksian </w:t>
      </w:r>
      <w:r w:rsidR="00D259EC" w:rsidRPr="005B28C3">
        <w:rPr>
          <w:rFonts w:asciiTheme="majorBidi" w:hAnsiTheme="majorBidi" w:cstheme="majorBidi"/>
          <w:i/>
          <w:iCs/>
          <w:lang w:val="en-US"/>
        </w:rPr>
        <w:t>test</w:t>
      </w:r>
      <w:r w:rsidR="00CB2ADD" w:rsidRPr="005B28C3">
        <w:rPr>
          <w:rFonts w:asciiTheme="majorBidi" w:hAnsiTheme="majorBidi" w:cstheme="majorBidi"/>
          <w:i/>
          <w:iCs/>
          <w:lang w:val="en-US"/>
        </w:rPr>
        <w:t>i</w:t>
      </w:r>
      <w:r w:rsidR="00D259EC" w:rsidRPr="005B28C3">
        <w:rPr>
          <w:rFonts w:asciiTheme="majorBidi" w:hAnsiTheme="majorBidi" w:cstheme="majorBidi"/>
          <w:i/>
          <w:iCs/>
          <w:lang w:val="en-US"/>
        </w:rPr>
        <w:t>m</w:t>
      </w:r>
      <w:r w:rsidR="00CB2ADD" w:rsidRPr="005B28C3">
        <w:rPr>
          <w:rFonts w:asciiTheme="majorBidi" w:hAnsiTheme="majorBidi" w:cstheme="majorBidi"/>
          <w:i/>
          <w:iCs/>
          <w:lang w:val="en-US"/>
        </w:rPr>
        <w:t>o</w:t>
      </w:r>
      <w:r w:rsidR="00D259EC" w:rsidRPr="005B28C3">
        <w:rPr>
          <w:rFonts w:asciiTheme="majorBidi" w:hAnsiTheme="majorBidi" w:cstheme="majorBidi"/>
          <w:i/>
          <w:iCs/>
          <w:lang w:val="en-US"/>
        </w:rPr>
        <w:t>nium de auditu</w:t>
      </w:r>
      <w:r w:rsidR="00D259EC" w:rsidRPr="005B28C3">
        <w:rPr>
          <w:rFonts w:asciiTheme="majorBidi" w:hAnsiTheme="majorBidi" w:cstheme="majorBidi"/>
          <w:lang w:val="en-US"/>
        </w:rPr>
        <w:t xml:space="preserve"> </w:t>
      </w:r>
      <w:r w:rsidRPr="005B28C3">
        <w:rPr>
          <w:rFonts w:asciiTheme="majorBidi" w:hAnsiTheme="majorBidi" w:cstheme="majorBidi"/>
          <w:lang w:val="en-US"/>
        </w:rPr>
        <w:t xml:space="preserve">dalam kasus pelecehan seksual terhadap anak. Selain itu, dalam mengintegrasikan perspektif psikologis dan sosial dalam analisis kesaksian bertujuan untuk memahami lebih dalam </w:t>
      </w:r>
      <w:r w:rsidRPr="005B28C3">
        <w:rPr>
          <w:rFonts w:asciiTheme="majorBidi" w:hAnsiTheme="majorBidi" w:cstheme="majorBidi"/>
          <w:lang w:val="en-US"/>
        </w:rPr>
        <w:lastRenderedPageBreak/>
        <w:t xml:space="preserve">dampak dari pelecehan seksual terhadap anak dan bagaimana hal ini mempengaruhi kesaksian yang diberikan. Serta </w:t>
      </w:r>
      <w:r w:rsidR="00D259EC" w:rsidRPr="005B28C3">
        <w:rPr>
          <w:rFonts w:asciiTheme="majorBidi" w:hAnsiTheme="majorBidi" w:cstheme="majorBidi"/>
          <w:lang w:val="en-US"/>
        </w:rPr>
        <w:t>m</w:t>
      </w:r>
      <w:r w:rsidRPr="005B28C3">
        <w:rPr>
          <w:rFonts w:asciiTheme="majorBidi" w:hAnsiTheme="majorBidi" w:cstheme="majorBidi"/>
          <w:lang w:val="en-US"/>
        </w:rPr>
        <w:t>engkaji lebih lanjut tentang perlindungan hukum bagi anak sebagai saksi, serta mekanisme yang ada untuk memastikan bahwa kesaksian mereka diambil dengan cara yang tidak menambah trauma. Dengan demikian, penelitian ini diharapkan dapat memberikan kontribusi yang berarti dalam pengembangan hukum dan perlindungan anak di Indonesia.</w:t>
      </w:r>
    </w:p>
    <w:p w14:paraId="1FF8BF16" w14:textId="77777777" w:rsidR="008D372B" w:rsidRPr="00CB082F" w:rsidRDefault="008D372B" w:rsidP="005B28C3">
      <w:pPr>
        <w:pStyle w:val="Heading2"/>
        <w:numPr>
          <w:ilvl w:val="0"/>
          <w:numId w:val="72"/>
        </w:numPr>
        <w:spacing w:line="276" w:lineRule="auto"/>
        <w:ind w:left="284" w:hanging="284"/>
        <w:rPr>
          <w:sz w:val="22"/>
          <w:szCs w:val="22"/>
        </w:rPr>
      </w:pPr>
      <w:bookmarkStart w:id="42" w:name="_Toc185961356"/>
      <w:r w:rsidRPr="00CB082F">
        <w:rPr>
          <w:sz w:val="22"/>
          <w:szCs w:val="22"/>
        </w:rPr>
        <w:t>Penutup</w:t>
      </w:r>
      <w:bookmarkEnd w:id="42"/>
      <w:r w:rsidRPr="00CB082F">
        <w:rPr>
          <w:sz w:val="22"/>
          <w:szCs w:val="22"/>
        </w:rPr>
        <w:t xml:space="preserve"> </w:t>
      </w:r>
    </w:p>
    <w:p w14:paraId="24C75FD9" w14:textId="5E918C5C" w:rsidR="008D372B" w:rsidRPr="00E562F1" w:rsidRDefault="008D372B" w:rsidP="005B28C3">
      <w:pPr>
        <w:pStyle w:val="ListParagraph"/>
        <w:spacing w:line="276" w:lineRule="auto"/>
        <w:ind w:left="284" w:firstLine="283"/>
        <w:jc w:val="both"/>
        <w:rPr>
          <w:rFonts w:asciiTheme="majorBidi" w:hAnsiTheme="majorBidi" w:cstheme="majorBidi"/>
          <w:sz w:val="24"/>
          <w:szCs w:val="24"/>
          <w:lang w:val="en-US"/>
        </w:rPr>
      </w:pPr>
      <w:r w:rsidRPr="00CB082F">
        <w:rPr>
          <w:rFonts w:asciiTheme="majorBidi" w:hAnsiTheme="majorBidi" w:cstheme="majorBidi"/>
          <w:lang w:val="en-US"/>
        </w:rPr>
        <w:t xml:space="preserve">Alhamdulillah, atas rahmat dan hidayah Allah SWT, penulis dapat menyelesaikan penulisan skripsi ini. Penulis menyadari bahwa skripsi ini masih jauh dari sempurna dan banyak kekurangan. Oleh karena itu, penulis sangat mengharapkan kritik dan saran yang membangun dari berbagai pihak. Semoga penelitian ini dapat memberikan kontribusi yang berarti bagi perkembangan ilmu pengetahuan, khususnya di bidang hukum pidana </w:t>
      </w:r>
      <w:r w:rsidR="00D259EC">
        <w:rPr>
          <w:rFonts w:asciiTheme="majorBidi" w:hAnsiTheme="majorBidi" w:cstheme="majorBidi"/>
          <w:lang w:val="en-US"/>
        </w:rPr>
        <w:t>I</w:t>
      </w:r>
      <w:r w:rsidRPr="00CB082F">
        <w:rPr>
          <w:rFonts w:asciiTheme="majorBidi" w:hAnsiTheme="majorBidi" w:cstheme="majorBidi"/>
          <w:lang w:val="en-US"/>
        </w:rPr>
        <w:t>slam di</w:t>
      </w:r>
      <w:r>
        <w:rPr>
          <w:rFonts w:asciiTheme="majorBidi" w:hAnsiTheme="majorBidi" w:cstheme="majorBidi"/>
          <w:sz w:val="24"/>
          <w:szCs w:val="24"/>
          <w:lang w:val="en-US"/>
        </w:rPr>
        <w:t xml:space="preserve"> Indonesia</w:t>
      </w:r>
      <w:r w:rsidRPr="00E562F1">
        <w:rPr>
          <w:rFonts w:asciiTheme="majorBidi" w:hAnsiTheme="majorBidi" w:cstheme="majorBidi"/>
          <w:sz w:val="24"/>
          <w:szCs w:val="24"/>
          <w:lang w:val="en-US"/>
        </w:rPr>
        <w:t>.</w:t>
      </w:r>
    </w:p>
    <w:p w14:paraId="0FB4CBCC" w14:textId="77777777" w:rsidR="008D372B" w:rsidRPr="00267A02" w:rsidRDefault="008D372B" w:rsidP="000E3A4E">
      <w:pPr>
        <w:spacing w:line="26" w:lineRule="atLeast"/>
        <w:ind w:left="360"/>
        <w:jc w:val="both"/>
        <w:rPr>
          <w:rFonts w:asciiTheme="majorBidi" w:hAnsiTheme="majorBidi" w:cstheme="majorBidi"/>
          <w:sz w:val="24"/>
          <w:szCs w:val="24"/>
          <w:lang w:val="en-US"/>
        </w:rPr>
      </w:pPr>
    </w:p>
    <w:p w14:paraId="25FAFAEC" w14:textId="77777777" w:rsidR="008D372B" w:rsidRDefault="008D372B">
      <w:pPr>
        <w:rPr>
          <w:rFonts w:asciiTheme="majorBidi" w:hAnsiTheme="majorBidi" w:cstheme="majorBidi"/>
          <w:b/>
          <w:bCs/>
          <w:sz w:val="24"/>
          <w:szCs w:val="24"/>
          <w:lang w:val="en-US"/>
        </w:rPr>
      </w:pPr>
      <w:r>
        <w:br w:type="page"/>
      </w:r>
    </w:p>
    <w:p w14:paraId="2878F0D9" w14:textId="77777777" w:rsidR="008D372B" w:rsidRPr="00FF60E6" w:rsidRDefault="008D372B" w:rsidP="00585FBE">
      <w:pPr>
        <w:pStyle w:val="Heading1"/>
        <w:spacing w:line="276" w:lineRule="auto"/>
      </w:pPr>
      <w:bookmarkStart w:id="43" w:name="_Toc185961357"/>
      <w:r w:rsidRPr="00FF60E6">
        <w:lastRenderedPageBreak/>
        <w:t>DAFTAR PUSTAKA</w:t>
      </w:r>
      <w:bookmarkEnd w:id="43"/>
    </w:p>
    <w:bookmarkEnd w:id="1"/>
    <w:p w14:paraId="71CED50C" w14:textId="5144A25C"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Pr>
          <w:rFonts w:asciiTheme="majorBidi" w:hAnsiTheme="majorBidi" w:cstheme="majorBidi"/>
          <w:sz w:val="24"/>
          <w:szCs w:val="24"/>
        </w:rPr>
        <w:fldChar w:fldCharType="begin" w:fldLock="1"/>
      </w:r>
      <w:r>
        <w:rPr>
          <w:rFonts w:asciiTheme="majorBidi" w:hAnsiTheme="majorBidi" w:cstheme="majorBidi"/>
          <w:sz w:val="24"/>
          <w:szCs w:val="24"/>
        </w:rPr>
        <w:instrText xml:space="preserve">ADDIN Mendeley Bibliography CSL_BIBLIOGRAPHY </w:instrText>
      </w:r>
      <w:r>
        <w:rPr>
          <w:rFonts w:asciiTheme="majorBidi" w:hAnsiTheme="majorBidi" w:cstheme="majorBidi"/>
          <w:sz w:val="24"/>
          <w:szCs w:val="24"/>
        </w:rPr>
        <w:fldChar w:fldCharType="separate"/>
      </w:r>
      <w:r w:rsidRPr="00A20BEA">
        <w:rPr>
          <w:rFonts w:ascii="Times New Roman" w:hAnsi="Times New Roman" w:cs="Times New Roman"/>
          <w:noProof/>
          <w:kern w:val="0"/>
          <w:sz w:val="24"/>
          <w:szCs w:val="24"/>
        </w:rPr>
        <w:t xml:space="preserve">Abdul Fattah Nasution. </w:t>
      </w:r>
      <w:r w:rsidRPr="00A20BEA">
        <w:rPr>
          <w:rFonts w:ascii="Times New Roman" w:hAnsi="Times New Roman" w:cs="Times New Roman"/>
          <w:i/>
          <w:iCs/>
          <w:noProof/>
          <w:kern w:val="0"/>
          <w:sz w:val="24"/>
          <w:szCs w:val="24"/>
        </w:rPr>
        <w:t>Metode Penelitian Kualitatif</w:t>
      </w:r>
      <w:r w:rsidRPr="00A20BEA">
        <w:rPr>
          <w:rFonts w:ascii="Times New Roman" w:hAnsi="Times New Roman" w:cs="Times New Roman"/>
          <w:noProof/>
          <w:kern w:val="0"/>
          <w:sz w:val="24"/>
          <w:szCs w:val="24"/>
        </w:rPr>
        <w:t>. Edited by Meyniar Albina. Cet 1. Bandung: CV. Harfa Creative, 2023.</w:t>
      </w:r>
    </w:p>
    <w:p w14:paraId="26D02446"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Achmad Edi Subiyanto, Oly Viana Agustine. </w:t>
      </w:r>
      <w:r w:rsidRPr="00A20BEA">
        <w:rPr>
          <w:rFonts w:ascii="Times New Roman" w:hAnsi="Times New Roman" w:cs="Times New Roman"/>
          <w:i/>
          <w:iCs/>
          <w:noProof/>
          <w:kern w:val="0"/>
          <w:sz w:val="24"/>
          <w:szCs w:val="24"/>
        </w:rPr>
        <w:t>Yurisprudensi Hukum Acara Pidana Dalam Putusan Mahkamah Konstitusi</w:t>
      </w:r>
      <w:r w:rsidRPr="00A20BEA">
        <w:rPr>
          <w:rFonts w:ascii="Times New Roman" w:hAnsi="Times New Roman" w:cs="Times New Roman"/>
          <w:noProof/>
          <w:kern w:val="0"/>
          <w:sz w:val="24"/>
          <w:szCs w:val="24"/>
        </w:rPr>
        <w:t>. Cet 1. Depok: PT. Rajagrafindo Persada, 2019.</w:t>
      </w:r>
    </w:p>
    <w:p w14:paraId="1A0C4F19"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Achmad Irwan Hamzani. </w:t>
      </w:r>
      <w:r w:rsidRPr="00A20BEA">
        <w:rPr>
          <w:rFonts w:ascii="Times New Roman" w:hAnsi="Times New Roman" w:cs="Times New Roman"/>
          <w:i/>
          <w:iCs/>
          <w:noProof/>
          <w:kern w:val="0"/>
          <w:sz w:val="24"/>
          <w:szCs w:val="24"/>
        </w:rPr>
        <w:t>Asas Asas Hukum Islam Teori Dan Implementasinya Dalam Pengembangan Hukum Di Indonesia</w:t>
      </w:r>
      <w:r w:rsidRPr="00A20BEA">
        <w:rPr>
          <w:rFonts w:ascii="Times New Roman" w:hAnsi="Times New Roman" w:cs="Times New Roman"/>
          <w:noProof/>
          <w:kern w:val="0"/>
          <w:sz w:val="24"/>
          <w:szCs w:val="24"/>
        </w:rPr>
        <w:t>. Edited by Havis Aravik. Yogyakarta: Penerbit Thafa Media, 2018.</w:t>
      </w:r>
    </w:p>
    <w:p w14:paraId="6543385D"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Agustanti, Rosalia Dika. “Penegakan Hukum Pelaku Perbuatan Cabul Dalam Putusan Bebas Terhadap Perempuan.” </w:t>
      </w:r>
      <w:r w:rsidRPr="00A20BEA">
        <w:rPr>
          <w:rFonts w:ascii="Times New Roman" w:hAnsi="Times New Roman" w:cs="Times New Roman"/>
          <w:i/>
          <w:iCs/>
          <w:noProof/>
          <w:kern w:val="0"/>
          <w:sz w:val="24"/>
          <w:szCs w:val="24"/>
        </w:rPr>
        <w:t>Jurnal Yuridis</w:t>
      </w:r>
      <w:r w:rsidRPr="00A20BEA">
        <w:rPr>
          <w:rFonts w:ascii="Times New Roman" w:hAnsi="Times New Roman" w:cs="Times New Roman"/>
          <w:noProof/>
          <w:kern w:val="0"/>
          <w:sz w:val="24"/>
          <w:szCs w:val="24"/>
        </w:rPr>
        <w:t xml:space="preserve"> Vol. 7 No. (2020): 20.</w:t>
      </w:r>
    </w:p>
    <w:p w14:paraId="5ED63029"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Ahmad Mujahidin. </w:t>
      </w:r>
      <w:r w:rsidRPr="00A20BEA">
        <w:rPr>
          <w:rFonts w:ascii="Times New Roman" w:hAnsi="Times New Roman" w:cs="Times New Roman"/>
          <w:i/>
          <w:iCs/>
          <w:noProof/>
          <w:kern w:val="0"/>
          <w:sz w:val="24"/>
          <w:szCs w:val="24"/>
        </w:rPr>
        <w:t>Hukum Wakaf Di Indonesia Dan Penanganan Sengketanya</w:t>
      </w:r>
      <w:r w:rsidRPr="00A20BEA">
        <w:rPr>
          <w:rFonts w:ascii="Times New Roman" w:hAnsi="Times New Roman" w:cs="Times New Roman"/>
          <w:noProof/>
          <w:kern w:val="0"/>
          <w:sz w:val="24"/>
          <w:szCs w:val="24"/>
        </w:rPr>
        <w:t>. Edited by Iam Irfan Fahmi, Lintang Novita. Cet1 ed. Jakarta: Kencana Prenada Media Group, 2021.</w:t>
      </w:r>
    </w:p>
    <w:p w14:paraId="5A026FB5" w14:textId="0CB5A629"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Ajie, Okky Praset</w:t>
      </w:r>
      <w:r w:rsidR="00CB2ADD">
        <w:rPr>
          <w:rFonts w:ascii="Times New Roman" w:hAnsi="Times New Roman" w:cs="Times New Roman"/>
          <w:noProof/>
          <w:kern w:val="0"/>
          <w:sz w:val="24"/>
          <w:szCs w:val="24"/>
        </w:rPr>
        <w:t>y</w:t>
      </w:r>
      <w:r w:rsidRPr="00A20BEA">
        <w:rPr>
          <w:rFonts w:ascii="Times New Roman" w:hAnsi="Times New Roman" w:cs="Times New Roman"/>
          <w:noProof/>
          <w:kern w:val="0"/>
          <w:sz w:val="24"/>
          <w:szCs w:val="24"/>
        </w:rPr>
        <w:t>o. “Keabsahan Keterangan Saksi Testimonium De Auditu Dalam Pembuktian Perkara Pidana.” Universitas Islam Sultan Agung Semarang, 2023.</w:t>
      </w:r>
    </w:p>
    <w:p w14:paraId="2A84524A" w14:textId="6B596C51"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Ali Abubakar, Zulkarnain. </w:t>
      </w:r>
      <w:r w:rsidRPr="00A20BEA">
        <w:rPr>
          <w:rFonts w:ascii="Times New Roman" w:hAnsi="Times New Roman" w:cs="Times New Roman"/>
          <w:i/>
          <w:iCs/>
          <w:noProof/>
          <w:kern w:val="0"/>
          <w:sz w:val="24"/>
          <w:szCs w:val="24"/>
        </w:rPr>
        <w:t>Hukum Jinayat Aceh Sebuah Pengantar</w:t>
      </w:r>
      <w:r w:rsidRPr="00A20BEA">
        <w:rPr>
          <w:rFonts w:ascii="Times New Roman" w:hAnsi="Times New Roman" w:cs="Times New Roman"/>
          <w:noProof/>
          <w:kern w:val="0"/>
          <w:sz w:val="24"/>
          <w:szCs w:val="24"/>
        </w:rPr>
        <w:t>. Edited by Irfan Fahmi. Cet 1. Jakarta: Prenada</w:t>
      </w:r>
      <w:r w:rsidR="00CB2ADD">
        <w:rPr>
          <w:rFonts w:ascii="Times New Roman" w:hAnsi="Times New Roman" w:cs="Times New Roman"/>
          <w:noProof/>
          <w:kern w:val="0"/>
          <w:sz w:val="24"/>
          <w:szCs w:val="24"/>
        </w:rPr>
        <w:t xml:space="preserve"> M</w:t>
      </w:r>
      <w:r w:rsidRPr="00A20BEA">
        <w:rPr>
          <w:rFonts w:ascii="Times New Roman" w:hAnsi="Times New Roman" w:cs="Times New Roman"/>
          <w:noProof/>
          <w:kern w:val="0"/>
          <w:sz w:val="24"/>
          <w:szCs w:val="24"/>
        </w:rPr>
        <w:t>edia Group, 2019.</w:t>
      </w:r>
    </w:p>
    <w:p w14:paraId="3155AB10"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Andi Hamzah. </w:t>
      </w:r>
      <w:r w:rsidRPr="00A20BEA">
        <w:rPr>
          <w:rFonts w:ascii="Times New Roman" w:hAnsi="Times New Roman" w:cs="Times New Roman"/>
          <w:i/>
          <w:iCs/>
          <w:noProof/>
          <w:kern w:val="0"/>
          <w:sz w:val="24"/>
          <w:szCs w:val="24"/>
        </w:rPr>
        <w:t>KUHP Dan KUHAP</w:t>
      </w:r>
      <w:r w:rsidRPr="00A20BEA">
        <w:rPr>
          <w:rFonts w:ascii="Times New Roman" w:hAnsi="Times New Roman" w:cs="Times New Roman"/>
          <w:noProof/>
          <w:kern w:val="0"/>
          <w:sz w:val="24"/>
          <w:szCs w:val="24"/>
        </w:rPr>
        <w:t>. Cet 20. Jakarta, Indonesia: Rineka Cipta, 2016.</w:t>
      </w:r>
    </w:p>
    <w:p w14:paraId="3E9057E9"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lastRenderedPageBreak/>
        <w:t xml:space="preserve">———. </w:t>
      </w:r>
      <w:r w:rsidRPr="00A20BEA">
        <w:rPr>
          <w:rFonts w:ascii="Times New Roman" w:hAnsi="Times New Roman" w:cs="Times New Roman"/>
          <w:i/>
          <w:iCs/>
          <w:noProof/>
          <w:kern w:val="0"/>
          <w:sz w:val="24"/>
          <w:szCs w:val="24"/>
        </w:rPr>
        <w:t>Pengantar Hukum Acara Pidana Indonesia</w:t>
      </w:r>
      <w:r w:rsidRPr="00A20BEA">
        <w:rPr>
          <w:rFonts w:ascii="Times New Roman" w:hAnsi="Times New Roman" w:cs="Times New Roman"/>
          <w:noProof/>
          <w:kern w:val="0"/>
          <w:sz w:val="24"/>
          <w:szCs w:val="24"/>
        </w:rPr>
        <w:t>. Jakarta: Ghana Indonesia, 1985.</w:t>
      </w:r>
    </w:p>
    <w:p w14:paraId="428949FB" w14:textId="2C59D531"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Andi Sofyan. </w:t>
      </w:r>
      <w:r w:rsidRPr="00A20BEA">
        <w:rPr>
          <w:rFonts w:ascii="Times New Roman" w:hAnsi="Times New Roman" w:cs="Times New Roman"/>
          <w:i/>
          <w:iCs/>
          <w:noProof/>
          <w:kern w:val="0"/>
          <w:sz w:val="24"/>
          <w:szCs w:val="24"/>
        </w:rPr>
        <w:t>Hukum Acara Pidana: Suatu Pengantar</w:t>
      </w:r>
      <w:r w:rsidRPr="00A20BEA">
        <w:rPr>
          <w:rFonts w:ascii="Times New Roman" w:hAnsi="Times New Roman" w:cs="Times New Roman"/>
          <w:noProof/>
          <w:kern w:val="0"/>
          <w:sz w:val="24"/>
          <w:szCs w:val="24"/>
        </w:rPr>
        <w:t>. Jakarta: Kencana Prenada</w:t>
      </w:r>
      <w:r w:rsidR="00CB2ADD">
        <w:rPr>
          <w:rFonts w:ascii="Times New Roman" w:hAnsi="Times New Roman" w:cs="Times New Roman"/>
          <w:noProof/>
          <w:kern w:val="0"/>
          <w:sz w:val="24"/>
          <w:szCs w:val="24"/>
        </w:rPr>
        <w:t xml:space="preserve"> M</w:t>
      </w:r>
      <w:r w:rsidRPr="00A20BEA">
        <w:rPr>
          <w:rFonts w:ascii="Times New Roman" w:hAnsi="Times New Roman" w:cs="Times New Roman"/>
          <w:noProof/>
          <w:kern w:val="0"/>
          <w:sz w:val="24"/>
          <w:szCs w:val="24"/>
        </w:rPr>
        <w:t>edia Group, 2014.</w:t>
      </w:r>
    </w:p>
    <w:p w14:paraId="27E7EED6" w14:textId="4EAFA578"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Andi Sofyan, Nur Azizah. </w:t>
      </w:r>
      <w:r w:rsidRPr="00A20BEA">
        <w:rPr>
          <w:rFonts w:ascii="Times New Roman" w:hAnsi="Times New Roman" w:cs="Times New Roman"/>
          <w:i/>
          <w:iCs/>
          <w:noProof/>
          <w:kern w:val="0"/>
          <w:sz w:val="24"/>
          <w:szCs w:val="24"/>
        </w:rPr>
        <w:t>Buku A</w:t>
      </w:r>
      <w:r w:rsidR="00CB2ADD">
        <w:rPr>
          <w:rFonts w:ascii="Times New Roman" w:hAnsi="Times New Roman" w:cs="Times New Roman"/>
          <w:i/>
          <w:iCs/>
          <w:noProof/>
          <w:kern w:val="0"/>
          <w:sz w:val="24"/>
          <w:szCs w:val="24"/>
        </w:rPr>
        <w:t>j</w:t>
      </w:r>
      <w:r w:rsidRPr="00A20BEA">
        <w:rPr>
          <w:rFonts w:ascii="Times New Roman" w:hAnsi="Times New Roman" w:cs="Times New Roman"/>
          <w:i/>
          <w:iCs/>
          <w:noProof/>
          <w:kern w:val="0"/>
          <w:sz w:val="24"/>
          <w:szCs w:val="24"/>
        </w:rPr>
        <w:t>ar Hukum Pidana</w:t>
      </w:r>
      <w:r w:rsidRPr="00A20BEA">
        <w:rPr>
          <w:rFonts w:ascii="Times New Roman" w:hAnsi="Times New Roman" w:cs="Times New Roman"/>
          <w:noProof/>
          <w:kern w:val="0"/>
          <w:sz w:val="24"/>
          <w:szCs w:val="24"/>
        </w:rPr>
        <w:t>. Edited by Kadaru</w:t>
      </w:r>
      <w:r w:rsidR="00CB2ADD">
        <w:rPr>
          <w:rFonts w:ascii="Times New Roman" w:hAnsi="Times New Roman" w:cs="Times New Roman"/>
          <w:noProof/>
          <w:kern w:val="0"/>
          <w:sz w:val="24"/>
          <w:szCs w:val="24"/>
        </w:rPr>
        <w:t>d</w:t>
      </w:r>
      <w:r w:rsidRPr="00A20BEA">
        <w:rPr>
          <w:rFonts w:ascii="Times New Roman" w:hAnsi="Times New Roman" w:cs="Times New Roman"/>
          <w:noProof/>
          <w:kern w:val="0"/>
          <w:sz w:val="24"/>
          <w:szCs w:val="24"/>
        </w:rPr>
        <w:t>din. Cet 1. Makassar: Pustaka Pena Press, 2016.</w:t>
      </w:r>
    </w:p>
    <w:p w14:paraId="07C25A9E"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Annisa. “Macam-Macam Saksi Dalam Perkara Pidana.” </w:t>
      </w:r>
      <w:r w:rsidRPr="00A20BEA">
        <w:rPr>
          <w:rFonts w:ascii="Times New Roman" w:hAnsi="Times New Roman" w:cs="Times New Roman"/>
          <w:i/>
          <w:iCs/>
          <w:noProof/>
          <w:kern w:val="0"/>
          <w:sz w:val="24"/>
          <w:szCs w:val="24"/>
        </w:rPr>
        <w:t>Https://Fahum.Umsu.Ac.Id</w:t>
      </w:r>
      <w:r w:rsidRPr="00A20BEA">
        <w:rPr>
          <w:rFonts w:ascii="Times New Roman" w:hAnsi="Times New Roman" w:cs="Times New Roman"/>
          <w:noProof/>
          <w:kern w:val="0"/>
          <w:sz w:val="24"/>
          <w:szCs w:val="24"/>
        </w:rPr>
        <w:t>. Accessed April 2, 2024. https://fahum.umsu.ac.id/macam-macam-saksi-dalam-perkara-pidana/.</w:t>
      </w:r>
    </w:p>
    <w:p w14:paraId="461B0ED4"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Anshoruddin. </w:t>
      </w:r>
      <w:r w:rsidRPr="00A20BEA">
        <w:rPr>
          <w:rFonts w:ascii="Times New Roman" w:hAnsi="Times New Roman" w:cs="Times New Roman"/>
          <w:i/>
          <w:iCs/>
          <w:noProof/>
          <w:kern w:val="0"/>
          <w:sz w:val="24"/>
          <w:szCs w:val="24"/>
        </w:rPr>
        <w:t>Hukum Pembuktian Menurut Hukum Acara Islam Dan Hukum Acara Positif</w:t>
      </w:r>
      <w:r w:rsidRPr="00A20BEA">
        <w:rPr>
          <w:rFonts w:ascii="Times New Roman" w:hAnsi="Times New Roman" w:cs="Times New Roman"/>
          <w:noProof/>
          <w:kern w:val="0"/>
          <w:sz w:val="24"/>
          <w:szCs w:val="24"/>
        </w:rPr>
        <w:t>. Edited by Bima Bayu Atijah Haitamy el Jaid. Cet 1. Yogyakarta: Pustaka Pelajar, 2004.</w:t>
      </w:r>
    </w:p>
    <w:p w14:paraId="1714B409"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Arbanur Rasyid. “Kesaksian Dalam Perspektif Hukum Islam.” </w:t>
      </w:r>
      <w:r w:rsidRPr="00A20BEA">
        <w:rPr>
          <w:rFonts w:ascii="Times New Roman" w:hAnsi="Times New Roman" w:cs="Times New Roman"/>
          <w:i/>
          <w:iCs/>
          <w:noProof/>
          <w:kern w:val="0"/>
          <w:sz w:val="24"/>
          <w:szCs w:val="24"/>
        </w:rPr>
        <w:t>Jurnal el-Qanuniy: Jurnal Ilmu-Ilmu Kesyariahan dan Pranata Sosial</w:t>
      </w:r>
      <w:r w:rsidRPr="00A20BEA">
        <w:rPr>
          <w:rFonts w:ascii="Times New Roman" w:hAnsi="Times New Roman" w:cs="Times New Roman"/>
          <w:noProof/>
          <w:kern w:val="0"/>
          <w:sz w:val="24"/>
          <w:szCs w:val="24"/>
        </w:rPr>
        <w:t xml:space="preserve"> Volume 6 N (2020): 13.</w:t>
      </w:r>
    </w:p>
    <w:p w14:paraId="104B68A8"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Ari Rahmat. “Kedudukan Persaksian Syahadah Al Istifadah Sebagai Alat Bukti Dalam Perkara Perdata Di Persidangan (Studi Komparatif Ibnu Qayyim Al Jauziyyah Dan Al Shan’ani).” Universitas Islam Negeri Ar Raniry Darussalam Banda Aceh, 2022.</w:t>
      </w:r>
    </w:p>
    <w:p w14:paraId="37FAAF07"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Aristo Pangaribuan, Arsa mufti, Ichsan Zikry. </w:t>
      </w:r>
      <w:r w:rsidRPr="00A20BEA">
        <w:rPr>
          <w:rFonts w:ascii="Times New Roman" w:hAnsi="Times New Roman" w:cs="Times New Roman"/>
          <w:i/>
          <w:iCs/>
          <w:noProof/>
          <w:kern w:val="0"/>
          <w:sz w:val="24"/>
          <w:szCs w:val="24"/>
        </w:rPr>
        <w:t>Pengantar Hukum Acara Pidana Di Indonesia</w:t>
      </w:r>
      <w:r w:rsidRPr="00A20BEA">
        <w:rPr>
          <w:rFonts w:ascii="Times New Roman" w:hAnsi="Times New Roman" w:cs="Times New Roman"/>
          <w:noProof/>
          <w:kern w:val="0"/>
          <w:sz w:val="24"/>
          <w:szCs w:val="24"/>
        </w:rPr>
        <w:t>. Cet 1. Jakarta: Rajawali Pers, 2017.</w:t>
      </w:r>
    </w:p>
    <w:p w14:paraId="271969A6"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Asmuni. “Testimonium De Auditu Telaah Perspektif Hukum Acara Perdata Dan Fiqh.” </w:t>
      </w:r>
      <w:r w:rsidRPr="00A20BEA">
        <w:rPr>
          <w:rFonts w:ascii="Times New Roman" w:hAnsi="Times New Roman" w:cs="Times New Roman"/>
          <w:i/>
          <w:iCs/>
          <w:noProof/>
          <w:kern w:val="0"/>
          <w:sz w:val="24"/>
          <w:szCs w:val="24"/>
        </w:rPr>
        <w:t>Jurnal hukum dan Peradilan</w:t>
      </w:r>
      <w:r w:rsidRPr="00A20BEA">
        <w:rPr>
          <w:rFonts w:ascii="Times New Roman" w:hAnsi="Times New Roman" w:cs="Times New Roman"/>
          <w:noProof/>
          <w:kern w:val="0"/>
          <w:sz w:val="24"/>
          <w:szCs w:val="24"/>
        </w:rPr>
        <w:t xml:space="preserve"> </w:t>
      </w:r>
      <w:r w:rsidRPr="00A20BEA">
        <w:rPr>
          <w:rFonts w:ascii="Times New Roman" w:hAnsi="Times New Roman" w:cs="Times New Roman"/>
          <w:noProof/>
          <w:kern w:val="0"/>
          <w:sz w:val="24"/>
          <w:szCs w:val="24"/>
        </w:rPr>
        <w:lastRenderedPageBreak/>
        <w:t>Volume 3,N (2014).</w:t>
      </w:r>
    </w:p>
    <w:p w14:paraId="14F6D16F" w14:textId="388E7CE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Basid Djalil. </w:t>
      </w:r>
      <w:r w:rsidRPr="00A20BEA">
        <w:rPr>
          <w:rFonts w:ascii="Times New Roman" w:hAnsi="Times New Roman" w:cs="Times New Roman"/>
          <w:i/>
          <w:iCs/>
          <w:noProof/>
          <w:kern w:val="0"/>
          <w:sz w:val="24"/>
          <w:szCs w:val="24"/>
        </w:rPr>
        <w:t>Peradi</w:t>
      </w:r>
      <w:r w:rsidR="00CB2ADD">
        <w:rPr>
          <w:rFonts w:ascii="Times New Roman" w:hAnsi="Times New Roman" w:cs="Times New Roman"/>
          <w:i/>
          <w:iCs/>
          <w:noProof/>
          <w:kern w:val="0"/>
          <w:sz w:val="24"/>
          <w:szCs w:val="24"/>
        </w:rPr>
        <w:t>la</w:t>
      </w:r>
      <w:r w:rsidRPr="00A20BEA">
        <w:rPr>
          <w:rFonts w:ascii="Times New Roman" w:hAnsi="Times New Roman" w:cs="Times New Roman"/>
          <w:i/>
          <w:iCs/>
          <w:noProof/>
          <w:kern w:val="0"/>
          <w:sz w:val="24"/>
          <w:szCs w:val="24"/>
        </w:rPr>
        <w:t>n Islam</w:t>
      </w:r>
      <w:r w:rsidRPr="00A20BEA">
        <w:rPr>
          <w:rFonts w:ascii="Times New Roman" w:hAnsi="Times New Roman" w:cs="Times New Roman"/>
          <w:noProof/>
          <w:kern w:val="0"/>
          <w:sz w:val="24"/>
          <w:szCs w:val="24"/>
        </w:rPr>
        <w:t>. Edited by Siti Farida Nur Laili Ach</w:t>
      </w:r>
      <w:r w:rsidR="00CB2ADD">
        <w:rPr>
          <w:rFonts w:ascii="Times New Roman" w:hAnsi="Times New Roman" w:cs="Times New Roman"/>
          <w:noProof/>
          <w:kern w:val="0"/>
          <w:sz w:val="24"/>
          <w:szCs w:val="24"/>
        </w:rPr>
        <w:t>ma</w:t>
      </w:r>
      <w:r w:rsidRPr="00A20BEA">
        <w:rPr>
          <w:rFonts w:ascii="Times New Roman" w:hAnsi="Times New Roman" w:cs="Times New Roman"/>
          <w:noProof/>
          <w:kern w:val="0"/>
          <w:sz w:val="24"/>
          <w:szCs w:val="24"/>
        </w:rPr>
        <w:t>d Zirzis. Cet 1. Jakarta: Amzah, 2012.</w:t>
      </w:r>
    </w:p>
    <w:p w14:paraId="5BCD57C7"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Bernadetha Aurelia Oktavira. “Arti Testimonium De Auditu.” </w:t>
      </w:r>
      <w:r w:rsidRPr="00A20BEA">
        <w:rPr>
          <w:rFonts w:ascii="Times New Roman" w:hAnsi="Times New Roman" w:cs="Times New Roman"/>
          <w:i/>
          <w:iCs/>
          <w:noProof/>
          <w:kern w:val="0"/>
          <w:sz w:val="24"/>
          <w:szCs w:val="24"/>
        </w:rPr>
        <w:t>Hukum Online.Com</w:t>
      </w:r>
      <w:r w:rsidRPr="00A20BEA">
        <w:rPr>
          <w:rFonts w:ascii="Times New Roman" w:hAnsi="Times New Roman" w:cs="Times New Roman"/>
          <w:noProof/>
          <w:kern w:val="0"/>
          <w:sz w:val="24"/>
          <w:szCs w:val="24"/>
        </w:rPr>
        <w:t>. Last modified 2023. Accessed August 18, 2024. https://www.hukumonline.com/klinik/a/arti-testimonium-de-auditu-lt58dcb3732cca3/.</w:t>
      </w:r>
    </w:p>
    <w:p w14:paraId="6FAD5FEE"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Dian Dwi Jayanti. “Bisakah Pelecehan Seksual Verbal Dipidana.” </w:t>
      </w:r>
      <w:r w:rsidRPr="00A20BEA">
        <w:rPr>
          <w:rFonts w:ascii="Times New Roman" w:hAnsi="Times New Roman" w:cs="Times New Roman"/>
          <w:i/>
          <w:iCs/>
          <w:noProof/>
          <w:kern w:val="0"/>
          <w:sz w:val="24"/>
          <w:szCs w:val="24"/>
        </w:rPr>
        <w:t>Hukum Online.Com</w:t>
      </w:r>
      <w:r w:rsidRPr="00A20BEA">
        <w:rPr>
          <w:rFonts w:ascii="Times New Roman" w:hAnsi="Times New Roman" w:cs="Times New Roman"/>
          <w:noProof/>
          <w:kern w:val="0"/>
          <w:sz w:val="24"/>
          <w:szCs w:val="24"/>
        </w:rPr>
        <w:t>. Last modified 2023. Accessed September 23, 2024. https://www.hukumonline.com/klinik/a/bisakah-pelecehan-seksual-verbal-dipidana-lt4fd56b697f5d4/.</w:t>
      </w:r>
    </w:p>
    <w:p w14:paraId="69462A37"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Direktori Putusan Mahkamah Agung Republik Indonesia. “Putusan Mahkamah Syariah Takengon Nomor 9/Jn/2023/Ms.Tkn.” </w:t>
      </w:r>
      <w:r w:rsidRPr="00A20BEA">
        <w:rPr>
          <w:rFonts w:ascii="Times New Roman" w:hAnsi="Times New Roman" w:cs="Times New Roman"/>
          <w:i/>
          <w:iCs/>
          <w:noProof/>
          <w:kern w:val="0"/>
          <w:sz w:val="24"/>
          <w:szCs w:val="24"/>
        </w:rPr>
        <w:t>Https://Putusan3.Mahkamahagung.Go.Id</w:t>
      </w:r>
      <w:r w:rsidRPr="00A20BEA">
        <w:rPr>
          <w:rFonts w:ascii="Times New Roman" w:hAnsi="Times New Roman" w:cs="Times New Roman"/>
          <w:noProof/>
          <w:kern w:val="0"/>
          <w:sz w:val="24"/>
          <w:szCs w:val="24"/>
        </w:rPr>
        <w:t>. Last modified 2023. Accessed September 17, 2024. https://putusan3.mahkamahagung.go.id/direktori/index/pengadilan/ms-takengon/tahunjenis/putus/tahun/2023.html.</w:t>
      </w:r>
    </w:p>
    <w:p w14:paraId="43CE6A74"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 </w:t>
      </w:r>
      <w:r w:rsidRPr="00A20BEA">
        <w:rPr>
          <w:rFonts w:ascii="Times New Roman" w:hAnsi="Times New Roman" w:cs="Times New Roman"/>
          <w:i/>
          <w:iCs/>
          <w:noProof/>
          <w:kern w:val="0"/>
          <w:sz w:val="24"/>
          <w:szCs w:val="24"/>
        </w:rPr>
        <w:t>Putusan Perkara Nomor 9/JN/2023/MS.Tkn</w:t>
      </w:r>
      <w:r w:rsidRPr="00A20BEA">
        <w:rPr>
          <w:rFonts w:ascii="Times New Roman" w:hAnsi="Times New Roman" w:cs="Times New Roman"/>
          <w:noProof/>
          <w:kern w:val="0"/>
          <w:sz w:val="24"/>
          <w:szCs w:val="24"/>
        </w:rPr>
        <w:t>. Indonesia, 2023.</w:t>
      </w:r>
    </w:p>
    <w:p w14:paraId="60D6C240"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Dr. Rohmadi. </w:t>
      </w:r>
      <w:r w:rsidRPr="00A20BEA">
        <w:rPr>
          <w:rFonts w:ascii="Times New Roman" w:hAnsi="Times New Roman" w:cs="Times New Roman"/>
          <w:i/>
          <w:iCs/>
          <w:noProof/>
          <w:kern w:val="0"/>
          <w:sz w:val="24"/>
          <w:szCs w:val="24"/>
        </w:rPr>
        <w:t>Hukum Acara Pidana Islam</w:t>
      </w:r>
      <w:r w:rsidRPr="00A20BEA">
        <w:rPr>
          <w:rFonts w:ascii="Times New Roman" w:hAnsi="Times New Roman" w:cs="Times New Roman"/>
          <w:noProof/>
          <w:kern w:val="0"/>
          <w:sz w:val="24"/>
          <w:szCs w:val="24"/>
        </w:rPr>
        <w:t>. Edited by Nazar Nurdin. Cet 1. Semarang: CV. Lawwana, 2021.</w:t>
      </w:r>
    </w:p>
    <w:p w14:paraId="29E6F07C"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Eddy O.S. Hiariej. </w:t>
      </w:r>
      <w:r w:rsidRPr="00A20BEA">
        <w:rPr>
          <w:rFonts w:ascii="Times New Roman" w:hAnsi="Times New Roman" w:cs="Times New Roman"/>
          <w:i/>
          <w:iCs/>
          <w:noProof/>
          <w:kern w:val="0"/>
          <w:sz w:val="24"/>
          <w:szCs w:val="24"/>
        </w:rPr>
        <w:t>Teori Dan Hukum Pembuktian</w:t>
      </w:r>
      <w:r w:rsidRPr="00A20BEA">
        <w:rPr>
          <w:rFonts w:ascii="Times New Roman" w:hAnsi="Times New Roman" w:cs="Times New Roman"/>
          <w:noProof/>
          <w:kern w:val="0"/>
          <w:sz w:val="24"/>
          <w:szCs w:val="24"/>
        </w:rPr>
        <w:t>. Yogyakarta: Erlangga, 2012.</w:t>
      </w:r>
    </w:p>
    <w:p w14:paraId="1BA499B8"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Eddy Suwito. “Tinjauan Yuridis Keberadaan Saksi Sebagai Whistleblower Dan Justice Collaborators Pada Tindak </w:t>
      </w:r>
      <w:r w:rsidRPr="00A20BEA">
        <w:rPr>
          <w:rFonts w:ascii="Times New Roman" w:hAnsi="Times New Roman" w:cs="Times New Roman"/>
          <w:noProof/>
          <w:kern w:val="0"/>
          <w:sz w:val="24"/>
          <w:szCs w:val="24"/>
        </w:rPr>
        <w:lastRenderedPageBreak/>
        <w:t xml:space="preserve">Pidana Korupsi.” </w:t>
      </w:r>
      <w:r w:rsidRPr="00A20BEA">
        <w:rPr>
          <w:rFonts w:ascii="Times New Roman" w:hAnsi="Times New Roman" w:cs="Times New Roman"/>
          <w:i/>
          <w:iCs/>
          <w:noProof/>
          <w:kern w:val="0"/>
          <w:sz w:val="24"/>
          <w:szCs w:val="24"/>
        </w:rPr>
        <w:t>Momentum Jurnal Sosial dan Keagamaan</w:t>
      </w:r>
      <w:r w:rsidRPr="00A20BEA">
        <w:rPr>
          <w:rFonts w:ascii="Times New Roman" w:hAnsi="Times New Roman" w:cs="Times New Roman"/>
          <w:noProof/>
          <w:kern w:val="0"/>
          <w:sz w:val="24"/>
          <w:szCs w:val="24"/>
        </w:rPr>
        <w:t xml:space="preserve"> Volume 09 (2020).</w:t>
      </w:r>
    </w:p>
    <w:p w14:paraId="14A9E510"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Elsa Syafira Destiana, Sri Wahyuningsih Yulianti. “Telaah Nilai Pembuktian Dan Kekuatan Pembuktian Atas Perluasan Keterangan Saksi Testimonium De Auditu.” </w:t>
      </w:r>
      <w:r w:rsidRPr="00A20BEA">
        <w:rPr>
          <w:rFonts w:ascii="Times New Roman" w:hAnsi="Times New Roman" w:cs="Times New Roman"/>
          <w:i/>
          <w:iCs/>
          <w:noProof/>
          <w:kern w:val="0"/>
          <w:sz w:val="24"/>
          <w:szCs w:val="24"/>
        </w:rPr>
        <w:t>Jurnal Verstek Universitas Sebelas Maret</w:t>
      </w:r>
      <w:r w:rsidRPr="00A20BEA">
        <w:rPr>
          <w:rFonts w:ascii="Times New Roman" w:hAnsi="Times New Roman" w:cs="Times New Roman"/>
          <w:noProof/>
          <w:kern w:val="0"/>
          <w:sz w:val="24"/>
          <w:szCs w:val="24"/>
        </w:rPr>
        <w:t xml:space="preserve"> Vol. 9 No. (2021): 10. https://jurnal.uns.ac.id/verstek/article/download/51071/31685.</w:t>
      </w:r>
    </w:p>
    <w:p w14:paraId="54C559A6"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Erwin Ubrawin. “Keabsahan Keterangan Ahli Dalam Tindak Pidana Korupsi.” </w:t>
      </w:r>
      <w:r w:rsidRPr="00A20BEA">
        <w:rPr>
          <w:rFonts w:ascii="Times New Roman" w:hAnsi="Times New Roman" w:cs="Times New Roman"/>
          <w:i/>
          <w:iCs/>
          <w:noProof/>
          <w:kern w:val="0"/>
          <w:sz w:val="24"/>
          <w:szCs w:val="24"/>
        </w:rPr>
        <w:t>Jurnal Sasi</w:t>
      </w:r>
      <w:r w:rsidRPr="00A20BEA">
        <w:rPr>
          <w:rFonts w:ascii="Times New Roman" w:hAnsi="Times New Roman" w:cs="Times New Roman"/>
          <w:noProof/>
          <w:kern w:val="0"/>
          <w:sz w:val="24"/>
          <w:szCs w:val="24"/>
        </w:rPr>
        <w:t xml:space="preserve"> Vol 20. No (2014).</w:t>
      </w:r>
    </w:p>
    <w:p w14:paraId="320D100B"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Fara Novanda Fatura. “Telaah Tindak Pidana Pelecehan Seksual Secara Verbal Dalam Hukum Pidana Indonesia.” </w:t>
      </w:r>
      <w:r w:rsidRPr="00A20BEA">
        <w:rPr>
          <w:rFonts w:ascii="Times New Roman" w:hAnsi="Times New Roman" w:cs="Times New Roman"/>
          <w:i/>
          <w:iCs/>
          <w:noProof/>
          <w:kern w:val="0"/>
          <w:sz w:val="24"/>
          <w:szCs w:val="24"/>
        </w:rPr>
        <w:t>Jurnal Recidive</w:t>
      </w:r>
      <w:r w:rsidRPr="00A20BEA">
        <w:rPr>
          <w:rFonts w:ascii="Times New Roman" w:hAnsi="Times New Roman" w:cs="Times New Roman"/>
          <w:noProof/>
          <w:kern w:val="0"/>
          <w:sz w:val="24"/>
          <w:szCs w:val="24"/>
        </w:rPr>
        <w:t xml:space="preserve"> Volume 8 N (2019): 7.</w:t>
      </w:r>
    </w:p>
    <w:p w14:paraId="3A2D4E90" w14:textId="4D5A6F14"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Fitri Wahyuni. </w:t>
      </w:r>
      <w:r w:rsidRPr="00A20BEA">
        <w:rPr>
          <w:rFonts w:ascii="Times New Roman" w:hAnsi="Times New Roman" w:cs="Times New Roman"/>
          <w:i/>
          <w:iCs/>
          <w:noProof/>
          <w:kern w:val="0"/>
          <w:sz w:val="24"/>
          <w:szCs w:val="24"/>
        </w:rPr>
        <w:t>Dasar Dasar Hukum Pidana Di Indonesia</w:t>
      </w:r>
      <w:r w:rsidRPr="00A20BEA">
        <w:rPr>
          <w:rFonts w:ascii="Times New Roman" w:hAnsi="Times New Roman" w:cs="Times New Roman"/>
          <w:noProof/>
          <w:kern w:val="0"/>
          <w:sz w:val="24"/>
          <w:szCs w:val="24"/>
        </w:rPr>
        <w:t>. Edited by M Rizqi Azmi. Cet 1. Tangerang Selatan: PT Nusantara Persada Utama, 2017.</w:t>
      </w:r>
    </w:p>
    <w:p w14:paraId="772BB89C"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Gubernur Provinsi Aceh. </w:t>
      </w:r>
      <w:r w:rsidRPr="00A20BEA">
        <w:rPr>
          <w:rFonts w:ascii="Times New Roman" w:hAnsi="Times New Roman" w:cs="Times New Roman"/>
          <w:i/>
          <w:iCs/>
          <w:noProof/>
          <w:kern w:val="0"/>
          <w:sz w:val="24"/>
          <w:szCs w:val="24"/>
        </w:rPr>
        <w:t>Qanun Aceh Nomor 7 Tahun 2013 Tentang Hukum Acara Jinayat</w:t>
      </w:r>
      <w:r w:rsidRPr="00A20BEA">
        <w:rPr>
          <w:rFonts w:ascii="Times New Roman" w:hAnsi="Times New Roman" w:cs="Times New Roman"/>
          <w:noProof/>
          <w:kern w:val="0"/>
          <w:sz w:val="24"/>
          <w:szCs w:val="24"/>
        </w:rPr>
        <w:t>. Indonesia, 2013.</w:t>
      </w:r>
    </w:p>
    <w:p w14:paraId="635631C1" w14:textId="07243892"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 </w:t>
      </w:r>
      <w:r w:rsidRPr="00A20BEA">
        <w:rPr>
          <w:rFonts w:ascii="Times New Roman" w:hAnsi="Times New Roman" w:cs="Times New Roman"/>
          <w:i/>
          <w:iCs/>
          <w:noProof/>
          <w:kern w:val="0"/>
          <w:sz w:val="24"/>
          <w:szCs w:val="24"/>
        </w:rPr>
        <w:t>Qanun Nomor 6 Tahun 2014 T</w:t>
      </w:r>
      <w:r w:rsidR="00CB2ADD">
        <w:rPr>
          <w:rFonts w:ascii="Times New Roman" w:hAnsi="Times New Roman" w:cs="Times New Roman"/>
          <w:i/>
          <w:iCs/>
          <w:noProof/>
          <w:kern w:val="0"/>
          <w:sz w:val="24"/>
          <w:szCs w:val="24"/>
        </w:rPr>
        <w:t>e</w:t>
      </w:r>
      <w:r w:rsidRPr="00A20BEA">
        <w:rPr>
          <w:rFonts w:ascii="Times New Roman" w:hAnsi="Times New Roman" w:cs="Times New Roman"/>
          <w:i/>
          <w:iCs/>
          <w:noProof/>
          <w:kern w:val="0"/>
          <w:sz w:val="24"/>
          <w:szCs w:val="24"/>
        </w:rPr>
        <w:t>ntang Hukum Jinayah</w:t>
      </w:r>
      <w:r w:rsidRPr="00A20BEA">
        <w:rPr>
          <w:rFonts w:ascii="Times New Roman" w:hAnsi="Times New Roman" w:cs="Times New Roman"/>
          <w:noProof/>
          <w:kern w:val="0"/>
          <w:sz w:val="24"/>
          <w:szCs w:val="24"/>
        </w:rPr>
        <w:t>. Indonesia, 2014.</w:t>
      </w:r>
    </w:p>
    <w:p w14:paraId="7CBFA754"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H.Kosim. </w:t>
      </w:r>
      <w:r w:rsidRPr="00A20BEA">
        <w:rPr>
          <w:rFonts w:ascii="Times New Roman" w:hAnsi="Times New Roman" w:cs="Times New Roman"/>
          <w:i/>
          <w:iCs/>
          <w:noProof/>
          <w:kern w:val="0"/>
          <w:sz w:val="24"/>
          <w:szCs w:val="24"/>
        </w:rPr>
        <w:t>Fiqh Peradilan</w:t>
      </w:r>
      <w:r w:rsidRPr="00A20BEA">
        <w:rPr>
          <w:rFonts w:ascii="Times New Roman" w:hAnsi="Times New Roman" w:cs="Times New Roman"/>
          <w:noProof/>
          <w:kern w:val="0"/>
          <w:sz w:val="24"/>
          <w:szCs w:val="24"/>
        </w:rPr>
        <w:t>. Cet 2. Yogyakarta: Diandra Press Yogyakarta Anggota IKAPI, 2012.</w:t>
      </w:r>
    </w:p>
    <w:p w14:paraId="5F834922"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Harahap, M. Yahya. </w:t>
      </w:r>
      <w:r w:rsidRPr="00A20BEA">
        <w:rPr>
          <w:rFonts w:ascii="Times New Roman" w:hAnsi="Times New Roman" w:cs="Times New Roman"/>
          <w:i/>
          <w:iCs/>
          <w:noProof/>
          <w:kern w:val="0"/>
          <w:sz w:val="24"/>
          <w:szCs w:val="24"/>
        </w:rPr>
        <w:t>Pembahasan Permasalahan Dan Penerapan KUHAP Dalam Pemeriksaan Pengadilan, Banding, Kasasi, Dan Peninjauan Kembali</w:t>
      </w:r>
      <w:r w:rsidRPr="00A20BEA">
        <w:rPr>
          <w:rFonts w:ascii="Times New Roman" w:hAnsi="Times New Roman" w:cs="Times New Roman"/>
          <w:noProof/>
          <w:kern w:val="0"/>
          <w:sz w:val="24"/>
          <w:szCs w:val="24"/>
        </w:rPr>
        <w:t>. Jakarta: Sinar Grafika, 2005.</w:t>
      </w:r>
    </w:p>
    <w:p w14:paraId="4A9994DD"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Hulman Panjaitan, Daniel Suhardiman. </w:t>
      </w:r>
      <w:r w:rsidRPr="00A20BEA">
        <w:rPr>
          <w:rFonts w:ascii="Times New Roman" w:hAnsi="Times New Roman" w:cs="Times New Roman"/>
          <w:i/>
          <w:iCs/>
          <w:noProof/>
          <w:kern w:val="0"/>
          <w:sz w:val="24"/>
          <w:szCs w:val="24"/>
        </w:rPr>
        <w:t xml:space="preserve">Kemahiran Beracara </w:t>
      </w:r>
      <w:r w:rsidRPr="00A20BEA">
        <w:rPr>
          <w:rFonts w:ascii="Times New Roman" w:hAnsi="Times New Roman" w:cs="Times New Roman"/>
          <w:i/>
          <w:iCs/>
          <w:noProof/>
          <w:kern w:val="0"/>
          <w:sz w:val="24"/>
          <w:szCs w:val="24"/>
        </w:rPr>
        <w:lastRenderedPageBreak/>
        <w:t>Pidana</w:t>
      </w:r>
      <w:r w:rsidRPr="00A20BEA">
        <w:rPr>
          <w:rFonts w:ascii="Times New Roman" w:hAnsi="Times New Roman" w:cs="Times New Roman"/>
          <w:noProof/>
          <w:kern w:val="0"/>
          <w:sz w:val="24"/>
          <w:szCs w:val="24"/>
        </w:rPr>
        <w:t>. Cet 1. Depok: Rajawali Pers, 2020.</w:t>
      </w:r>
    </w:p>
    <w:p w14:paraId="00F0B144" w14:textId="37652D2A"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Ibnu Qayyim Al Jau</w:t>
      </w:r>
      <w:r w:rsidR="00CB2ADD">
        <w:rPr>
          <w:rFonts w:ascii="Times New Roman" w:hAnsi="Times New Roman" w:cs="Times New Roman"/>
          <w:noProof/>
          <w:kern w:val="0"/>
          <w:sz w:val="24"/>
          <w:szCs w:val="24"/>
        </w:rPr>
        <w:t>z</w:t>
      </w:r>
      <w:r w:rsidRPr="00A20BEA">
        <w:rPr>
          <w:rFonts w:ascii="Times New Roman" w:hAnsi="Times New Roman" w:cs="Times New Roman"/>
          <w:noProof/>
          <w:kern w:val="0"/>
          <w:sz w:val="24"/>
          <w:szCs w:val="24"/>
        </w:rPr>
        <w:t xml:space="preserve">iyyah. </w:t>
      </w:r>
      <w:r w:rsidRPr="00A20BEA">
        <w:rPr>
          <w:rFonts w:ascii="Times New Roman" w:hAnsi="Times New Roman" w:cs="Times New Roman"/>
          <w:i/>
          <w:iCs/>
          <w:noProof/>
          <w:kern w:val="0"/>
          <w:sz w:val="24"/>
          <w:szCs w:val="24"/>
        </w:rPr>
        <w:t>Hukum Acara Peradilan Islam</w:t>
      </w:r>
      <w:r w:rsidRPr="00A20BEA">
        <w:rPr>
          <w:rFonts w:ascii="Times New Roman" w:hAnsi="Times New Roman" w:cs="Times New Roman"/>
          <w:noProof/>
          <w:kern w:val="0"/>
          <w:sz w:val="24"/>
          <w:szCs w:val="24"/>
        </w:rPr>
        <w:t>. Cet 1. Yogyakarta: Pustaka Pelajar, 2006.</w:t>
      </w:r>
    </w:p>
    <w:p w14:paraId="2CCD1C0D"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Ibnu Rusyd. </w:t>
      </w:r>
      <w:r w:rsidRPr="00A20BEA">
        <w:rPr>
          <w:rFonts w:ascii="Times New Roman" w:hAnsi="Times New Roman" w:cs="Times New Roman"/>
          <w:i/>
          <w:iCs/>
          <w:noProof/>
          <w:kern w:val="0"/>
          <w:sz w:val="24"/>
          <w:szCs w:val="24"/>
        </w:rPr>
        <w:t>Bidayatul Mujtahid Jilid 3 : Analisa Fiqih Para Mujtahid</w:t>
      </w:r>
      <w:r w:rsidRPr="00A20BEA">
        <w:rPr>
          <w:rFonts w:ascii="Times New Roman" w:hAnsi="Times New Roman" w:cs="Times New Roman"/>
          <w:noProof/>
          <w:kern w:val="0"/>
          <w:sz w:val="24"/>
          <w:szCs w:val="24"/>
        </w:rPr>
        <w:t>. Edited by Achmad Zaidun penerjemah: Imam Ghazali Said. Jakarta: Pustaka Amani, 2007.</w:t>
      </w:r>
    </w:p>
    <w:p w14:paraId="53B9E7DA"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Ida Ayu Kade Cinthia Dewi, Anak Agung Sagung Laksmi Dewi, I Made Minggu Widyantara. “Kedudukan Saksi Mahkota Dalam Proses Pembuktian Tindak Pidana Di Indonesia.” </w:t>
      </w:r>
      <w:r w:rsidRPr="00A20BEA">
        <w:rPr>
          <w:rFonts w:ascii="Times New Roman" w:hAnsi="Times New Roman" w:cs="Times New Roman"/>
          <w:i/>
          <w:iCs/>
          <w:noProof/>
          <w:kern w:val="0"/>
          <w:sz w:val="24"/>
          <w:szCs w:val="24"/>
        </w:rPr>
        <w:t>Jurnal Preferensi Hukum</w:t>
      </w:r>
      <w:r w:rsidRPr="00A20BEA">
        <w:rPr>
          <w:rFonts w:ascii="Times New Roman" w:hAnsi="Times New Roman" w:cs="Times New Roman"/>
          <w:noProof/>
          <w:kern w:val="0"/>
          <w:sz w:val="24"/>
          <w:szCs w:val="24"/>
        </w:rPr>
        <w:t xml:space="preserve"> Vol. 4, No (2023). https://www.ejournal.warmadewa.ac.id/index.php/juprehum/article/download/6589/4541/.</w:t>
      </w:r>
    </w:p>
    <w:p w14:paraId="1E008654" w14:textId="0985F54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Imron, Ali, and Muha</w:t>
      </w:r>
      <w:r w:rsidR="00CB2ADD">
        <w:rPr>
          <w:rFonts w:ascii="Times New Roman" w:hAnsi="Times New Roman" w:cs="Times New Roman"/>
          <w:noProof/>
          <w:kern w:val="0"/>
          <w:sz w:val="24"/>
          <w:szCs w:val="24"/>
        </w:rPr>
        <w:t>m</w:t>
      </w:r>
      <w:r w:rsidRPr="00A20BEA">
        <w:rPr>
          <w:rFonts w:ascii="Times New Roman" w:hAnsi="Times New Roman" w:cs="Times New Roman"/>
          <w:noProof/>
          <w:kern w:val="0"/>
          <w:sz w:val="24"/>
          <w:szCs w:val="24"/>
        </w:rPr>
        <w:t xml:space="preserve">mad Iqbal. </w:t>
      </w:r>
      <w:r w:rsidRPr="00A20BEA">
        <w:rPr>
          <w:rFonts w:ascii="Times New Roman" w:hAnsi="Times New Roman" w:cs="Times New Roman"/>
          <w:i/>
          <w:iCs/>
          <w:noProof/>
          <w:kern w:val="0"/>
          <w:sz w:val="24"/>
          <w:szCs w:val="24"/>
        </w:rPr>
        <w:t>Hukum Pembuktian</w:t>
      </w:r>
      <w:r w:rsidRPr="00A20BEA">
        <w:rPr>
          <w:rFonts w:ascii="Times New Roman" w:hAnsi="Times New Roman" w:cs="Times New Roman"/>
          <w:noProof/>
          <w:kern w:val="0"/>
          <w:sz w:val="24"/>
          <w:szCs w:val="24"/>
        </w:rPr>
        <w:t>. Cet 1. Tangerang Selatan: UNPAM PRESS, 2019. https://jdihn.go.id/files/414/HUKUM PEMBUKTIAN.pdf.</w:t>
      </w:r>
    </w:p>
    <w:p w14:paraId="152E0482"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Indonesia, Mahkamah Konstitusi Republik. </w:t>
      </w:r>
      <w:r w:rsidRPr="00A20BEA">
        <w:rPr>
          <w:rFonts w:ascii="Times New Roman" w:hAnsi="Times New Roman" w:cs="Times New Roman"/>
          <w:i/>
          <w:iCs/>
          <w:noProof/>
          <w:kern w:val="0"/>
          <w:sz w:val="24"/>
          <w:szCs w:val="24"/>
        </w:rPr>
        <w:t>PUTUSAN Nomor 65/PUU-VIII/2010</w:t>
      </w:r>
      <w:r w:rsidRPr="00A20BEA">
        <w:rPr>
          <w:rFonts w:ascii="Times New Roman" w:hAnsi="Times New Roman" w:cs="Times New Roman"/>
          <w:noProof/>
          <w:kern w:val="0"/>
          <w:sz w:val="24"/>
          <w:szCs w:val="24"/>
        </w:rPr>
        <w:t>. Indonesia, 2010.</w:t>
      </w:r>
    </w:p>
    <w:p w14:paraId="216FA75A"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Joenadi Efendi, Ismu Gunadi Widodo, Fifit Fitriani Lutfianingsih. </w:t>
      </w:r>
      <w:r w:rsidRPr="00A20BEA">
        <w:rPr>
          <w:rFonts w:ascii="Times New Roman" w:hAnsi="Times New Roman" w:cs="Times New Roman"/>
          <w:i/>
          <w:iCs/>
          <w:noProof/>
          <w:kern w:val="0"/>
          <w:sz w:val="24"/>
          <w:szCs w:val="24"/>
        </w:rPr>
        <w:t>Kamus Istilah Hukum Populer</w:t>
      </w:r>
      <w:r w:rsidRPr="00A20BEA">
        <w:rPr>
          <w:rFonts w:ascii="Times New Roman" w:hAnsi="Times New Roman" w:cs="Times New Roman"/>
          <w:noProof/>
          <w:kern w:val="0"/>
          <w:sz w:val="24"/>
          <w:szCs w:val="24"/>
        </w:rPr>
        <w:t>. Edited by Y.Rendi Irfan Fahmi, Kharisma Putra Utama. Cet 1. Jakarta: Kencana Prenada Media Group, 2016.</w:t>
      </w:r>
    </w:p>
    <w:p w14:paraId="5373DD0B" w14:textId="05F2C50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Jonaedi Efendi, Johnny Ibrahim. </w:t>
      </w:r>
      <w:r w:rsidRPr="00A20BEA">
        <w:rPr>
          <w:rFonts w:ascii="Times New Roman" w:hAnsi="Times New Roman" w:cs="Times New Roman"/>
          <w:i/>
          <w:iCs/>
          <w:noProof/>
          <w:kern w:val="0"/>
          <w:sz w:val="24"/>
          <w:szCs w:val="24"/>
        </w:rPr>
        <w:t>Metode Penelitian Hukum: Normatif Dan Empiris</w:t>
      </w:r>
      <w:r w:rsidRPr="00A20BEA">
        <w:rPr>
          <w:rFonts w:ascii="Times New Roman" w:hAnsi="Times New Roman" w:cs="Times New Roman"/>
          <w:noProof/>
          <w:kern w:val="0"/>
          <w:sz w:val="24"/>
          <w:szCs w:val="24"/>
        </w:rPr>
        <w:t>. Depok: Prenada</w:t>
      </w:r>
      <w:r w:rsidR="00CB2ADD">
        <w:rPr>
          <w:rFonts w:ascii="Times New Roman" w:hAnsi="Times New Roman" w:cs="Times New Roman"/>
          <w:noProof/>
          <w:kern w:val="0"/>
          <w:sz w:val="24"/>
          <w:szCs w:val="24"/>
        </w:rPr>
        <w:t xml:space="preserve"> M</w:t>
      </w:r>
      <w:r w:rsidRPr="00A20BEA">
        <w:rPr>
          <w:rFonts w:ascii="Times New Roman" w:hAnsi="Times New Roman" w:cs="Times New Roman"/>
          <w:noProof/>
          <w:kern w:val="0"/>
          <w:sz w:val="24"/>
          <w:szCs w:val="24"/>
        </w:rPr>
        <w:t>edia Group, 2018.</w:t>
      </w:r>
    </w:p>
    <w:p w14:paraId="1EF3D56D" w14:textId="4D7D603B"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Kadi Sukarna. </w:t>
      </w:r>
      <w:r w:rsidRPr="00A20BEA">
        <w:rPr>
          <w:rFonts w:ascii="Times New Roman" w:hAnsi="Times New Roman" w:cs="Times New Roman"/>
          <w:i/>
          <w:iCs/>
          <w:noProof/>
          <w:kern w:val="0"/>
          <w:sz w:val="24"/>
          <w:szCs w:val="24"/>
        </w:rPr>
        <w:t>Alat Bukti Petunjuk Menurut KUHP Dalam Perspektif Teori Keadilan</w:t>
      </w:r>
      <w:r w:rsidRPr="00A20BEA">
        <w:rPr>
          <w:rFonts w:ascii="Times New Roman" w:hAnsi="Times New Roman" w:cs="Times New Roman"/>
          <w:noProof/>
          <w:kern w:val="0"/>
          <w:sz w:val="24"/>
          <w:szCs w:val="24"/>
        </w:rPr>
        <w:t>. Cet 1. Semarang: Unnes</w:t>
      </w:r>
      <w:r w:rsidR="00CB2ADD">
        <w:rPr>
          <w:rFonts w:ascii="Times New Roman" w:hAnsi="Times New Roman" w:cs="Times New Roman"/>
          <w:noProof/>
          <w:kern w:val="0"/>
          <w:sz w:val="24"/>
          <w:szCs w:val="24"/>
        </w:rPr>
        <w:t xml:space="preserve"> </w:t>
      </w:r>
      <w:r w:rsidRPr="00A20BEA">
        <w:rPr>
          <w:rFonts w:ascii="Times New Roman" w:hAnsi="Times New Roman" w:cs="Times New Roman"/>
          <w:noProof/>
          <w:kern w:val="0"/>
          <w:sz w:val="24"/>
          <w:szCs w:val="24"/>
        </w:rPr>
        <w:t>Press, 2016.</w:t>
      </w:r>
    </w:p>
    <w:p w14:paraId="0B4F75B1" w14:textId="2BE73EB0"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lastRenderedPageBreak/>
        <w:t>Kartika Febr</w:t>
      </w:r>
      <w:r w:rsidR="00CB2ADD">
        <w:rPr>
          <w:rFonts w:ascii="Times New Roman" w:hAnsi="Times New Roman" w:cs="Times New Roman"/>
          <w:noProof/>
          <w:kern w:val="0"/>
          <w:sz w:val="24"/>
          <w:szCs w:val="24"/>
        </w:rPr>
        <w:t>i</w:t>
      </w:r>
      <w:r w:rsidRPr="00A20BEA">
        <w:rPr>
          <w:rFonts w:ascii="Times New Roman" w:hAnsi="Times New Roman" w:cs="Times New Roman"/>
          <w:noProof/>
          <w:kern w:val="0"/>
          <w:sz w:val="24"/>
          <w:szCs w:val="24"/>
        </w:rPr>
        <w:t xml:space="preserve">yanti. “Apakah Memandang Termasuk Pelecehan Seksual.” </w:t>
      </w:r>
      <w:r w:rsidRPr="00A20BEA">
        <w:rPr>
          <w:rFonts w:ascii="Times New Roman" w:hAnsi="Times New Roman" w:cs="Times New Roman"/>
          <w:i/>
          <w:iCs/>
          <w:noProof/>
          <w:kern w:val="0"/>
          <w:sz w:val="24"/>
          <w:szCs w:val="24"/>
        </w:rPr>
        <w:t>Hukum</w:t>
      </w:r>
      <w:r w:rsidR="00CB2ADD">
        <w:rPr>
          <w:rFonts w:ascii="Times New Roman" w:hAnsi="Times New Roman" w:cs="Times New Roman"/>
          <w:i/>
          <w:iCs/>
          <w:noProof/>
          <w:kern w:val="0"/>
          <w:sz w:val="24"/>
          <w:szCs w:val="24"/>
        </w:rPr>
        <w:t>o</w:t>
      </w:r>
      <w:r w:rsidRPr="00A20BEA">
        <w:rPr>
          <w:rFonts w:ascii="Times New Roman" w:hAnsi="Times New Roman" w:cs="Times New Roman"/>
          <w:i/>
          <w:iCs/>
          <w:noProof/>
          <w:kern w:val="0"/>
          <w:sz w:val="24"/>
          <w:szCs w:val="24"/>
        </w:rPr>
        <w:t>nline.Com</w:t>
      </w:r>
      <w:r w:rsidRPr="00A20BEA">
        <w:rPr>
          <w:rFonts w:ascii="Times New Roman" w:hAnsi="Times New Roman" w:cs="Times New Roman"/>
          <w:noProof/>
          <w:kern w:val="0"/>
          <w:sz w:val="24"/>
          <w:szCs w:val="24"/>
        </w:rPr>
        <w:t>. Last modified 2011. Accessed June 18, 2024. https://www.hukumonline.com/klinik/a/apakah-memandang-termasuk-pelecehan-seksual--lt4ecccd3905227/.</w:t>
      </w:r>
    </w:p>
    <w:p w14:paraId="0262B888"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Khafifah Nuzia Arini, Herman Sujarwo. “Kedudukan Saksi Ahli Dalam Persidangan Perkara Pidana.” </w:t>
      </w:r>
      <w:r w:rsidRPr="00A20BEA">
        <w:rPr>
          <w:rFonts w:ascii="Times New Roman" w:hAnsi="Times New Roman" w:cs="Times New Roman"/>
          <w:i/>
          <w:iCs/>
          <w:noProof/>
          <w:kern w:val="0"/>
          <w:sz w:val="24"/>
          <w:szCs w:val="24"/>
        </w:rPr>
        <w:t>Syariati Jurnal Studi Al quran dan Hukum</w:t>
      </w:r>
      <w:r w:rsidRPr="00A20BEA">
        <w:rPr>
          <w:rFonts w:ascii="Times New Roman" w:hAnsi="Times New Roman" w:cs="Times New Roman"/>
          <w:noProof/>
          <w:kern w:val="0"/>
          <w:sz w:val="24"/>
          <w:szCs w:val="24"/>
        </w:rPr>
        <w:t xml:space="preserve"> Vol. VII N (2021).</w:t>
      </w:r>
    </w:p>
    <w:p w14:paraId="204DF9D9"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Komisi Perlindungan Anak Indonesia (KPAI). “Catatan Pengawasan Perlindungan Anak Di Masa Transisi Pandemi; Pengasuhan Positif, Anak Indonesia Terbebas Dari Kekerasan.” </w:t>
      </w:r>
      <w:r w:rsidRPr="00A20BEA">
        <w:rPr>
          <w:rFonts w:ascii="Times New Roman" w:hAnsi="Times New Roman" w:cs="Times New Roman"/>
          <w:i/>
          <w:iCs/>
          <w:noProof/>
          <w:kern w:val="0"/>
          <w:sz w:val="24"/>
          <w:szCs w:val="24"/>
        </w:rPr>
        <w:t>Berita KPAI</w:t>
      </w:r>
      <w:r w:rsidRPr="00A20BEA">
        <w:rPr>
          <w:rFonts w:ascii="Times New Roman" w:hAnsi="Times New Roman" w:cs="Times New Roman"/>
          <w:noProof/>
          <w:kern w:val="0"/>
          <w:sz w:val="24"/>
          <w:szCs w:val="24"/>
        </w:rPr>
        <w:t>. Last modified 2023. Accessed December 22, 2023. https://www.kpai.go.id/publikasi/catatan-pengawasan-perlindungan-anak-di-masa-transisi-pandemi-pengasuhan-positif-anak-indonesia-terbebas-dari-kekerasan.</w:t>
      </w:r>
    </w:p>
    <w:p w14:paraId="6A76B566"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Lilik Mulyadi. </w:t>
      </w:r>
      <w:r w:rsidRPr="00A20BEA">
        <w:rPr>
          <w:rFonts w:ascii="Times New Roman" w:hAnsi="Times New Roman" w:cs="Times New Roman"/>
          <w:i/>
          <w:iCs/>
          <w:noProof/>
          <w:kern w:val="0"/>
          <w:sz w:val="24"/>
          <w:szCs w:val="24"/>
        </w:rPr>
        <w:t>Hukum Acara Pidana : Normatif, Teoritis, Praktik Dan Permasalahannya</w:t>
      </w:r>
      <w:r w:rsidRPr="00A20BEA">
        <w:rPr>
          <w:rFonts w:ascii="Times New Roman" w:hAnsi="Times New Roman" w:cs="Times New Roman"/>
          <w:noProof/>
          <w:kern w:val="0"/>
          <w:sz w:val="24"/>
          <w:szCs w:val="24"/>
        </w:rPr>
        <w:t>. Cet 1. Bandung: Bandung Alumni, 2007.</w:t>
      </w:r>
    </w:p>
    <w:p w14:paraId="671A0A68"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Lisa Wahyuni, Fatria Khairo. “Saksi A de Charge Dalam Persidangan Tindak Pidana Korupsi.” </w:t>
      </w:r>
      <w:r w:rsidRPr="00A20BEA">
        <w:rPr>
          <w:rFonts w:ascii="Times New Roman" w:hAnsi="Times New Roman" w:cs="Times New Roman"/>
          <w:i/>
          <w:iCs/>
          <w:noProof/>
          <w:kern w:val="0"/>
          <w:sz w:val="24"/>
          <w:szCs w:val="24"/>
        </w:rPr>
        <w:t>Lex Stricta: Jurnal Ilmu Hukum</w:t>
      </w:r>
      <w:r w:rsidRPr="00A20BEA">
        <w:rPr>
          <w:rFonts w:ascii="Times New Roman" w:hAnsi="Times New Roman" w:cs="Times New Roman"/>
          <w:noProof/>
          <w:kern w:val="0"/>
          <w:sz w:val="24"/>
          <w:szCs w:val="24"/>
        </w:rPr>
        <w:t xml:space="preserve"> Volume 1 N (2022): 12. https://lexstricta.stihpada.ac.id/index.php/S2/article/download/4/3.</w:t>
      </w:r>
    </w:p>
    <w:p w14:paraId="6D0E1763"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Mahkamah Konstitusi Republik Indonesia. </w:t>
      </w:r>
      <w:r w:rsidRPr="00A20BEA">
        <w:rPr>
          <w:rFonts w:ascii="Times New Roman" w:hAnsi="Times New Roman" w:cs="Times New Roman"/>
          <w:i/>
          <w:iCs/>
          <w:noProof/>
          <w:kern w:val="0"/>
          <w:sz w:val="24"/>
          <w:szCs w:val="24"/>
        </w:rPr>
        <w:t>Putusan Nomor 65/PUU-VIII/2010</w:t>
      </w:r>
      <w:r w:rsidRPr="00A20BEA">
        <w:rPr>
          <w:rFonts w:ascii="Times New Roman" w:hAnsi="Times New Roman" w:cs="Times New Roman"/>
          <w:noProof/>
          <w:kern w:val="0"/>
          <w:sz w:val="24"/>
          <w:szCs w:val="24"/>
        </w:rPr>
        <w:t>. Indonesia, 2010. https://mkri.id/public/content/persidangan/putusan/putusan_sidang_65 PUU_TELAH_BACA.pdf.</w:t>
      </w:r>
    </w:p>
    <w:p w14:paraId="50A4287A"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lastRenderedPageBreak/>
        <w:t xml:space="preserve">Makinara, Ihdi Karim, Jamhir, and Fadhilah Sarah. “Saksi Testimonium De Auditu Dalam Perkara Perceraian Menurut Hukum Islam.” </w:t>
      </w:r>
      <w:r w:rsidRPr="00A20BEA">
        <w:rPr>
          <w:rFonts w:ascii="Times New Roman" w:hAnsi="Times New Roman" w:cs="Times New Roman"/>
          <w:i/>
          <w:iCs/>
          <w:noProof/>
          <w:kern w:val="0"/>
          <w:sz w:val="24"/>
          <w:szCs w:val="24"/>
        </w:rPr>
        <w:t>El-Usrah: Jurnal Hukum Keluarga</w:t>
      </w:r>
      <w:r w:rsidRPr="00A20BEA">
        <w:rPr>
          <w:rFonts w:ascii="Times New Roman" w:hAnsi="Times New Roman" w:cs="Times New Roman"/>
          <w:noProof/>
          <w:kern w:val="0"/>
          <w:sz w:val="24"/>
          <w:szCs w:val="24"/>
        </w:rPr>
        <w:t xml:space="preserve"> Vol. 3 No. (2020): 16.</w:t>
      </w:r>
    </w:p>
    <w:p w14:paraId="44B19F5F"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Muhammad Alif Daffa Putranto. “Telaah Pendayagunaan Kesaksian Testimonium De Auditu Dan Unus Testis Nullus Testis Dalam Pengungkapan Tindak Pidana Pencabulan Terhadap Anak (Studi Putusan Nomor 260/Pid.Sus/2017/Gns).” Universitas Sebelas Maret Surakarta, 2020.</w:t>
      </w:r>
    </w:p>
    <w:p w14:paraId="6D3BCB30"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Muhammad Taufik Makarao, Suhasril. </w:t>
      </w:r>
      <w:r w:rsidRPr="00A20BEA">
        <w:rPr>
          <w:rFonts w:ascii="Times New Roman" w:hAnsi="Times New Roman" w:cs="Times New Roman"/>
          <w:i/>
          <w:iCs/>
          <w:noProof/>
          <w:kern w:val="0"/>
          <w:sz w:val="24"/>
          <w:szCs w:val="24"/>
        </w:rPr>
        <w:t>Hukum Acara Pidana Dalam Teori Dan Praktek</w:t>
      </w:r>
      <w:r w:rsidRPr="00A20BEA">
        <w:rPr>
          <w:rFonts w:ascii="Times New Roman" w:hAnsi="Times New Roman" w:cs="Times New Roman"/>
          <w:noProof/>
          <w:kern w:val="0"/>
          <w:sz w:val="24"/>
          <w:szCs w:val="24"/>
        </w:rPr>
        <w:t>. Cet 2. Bogor: Ghalia Indonesia, 2022.</w:t>
      </w:r>
    </w:p>
    <w:p w14:paraId="29EEDBD0"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Munir Fuady. </w:t>
      </w:r>
      <w:r w:rsidRPr="00A20BEA">
        <w:rPr>
          <w:rFonts w:ascii="Times New Roman" w:hAnsi="Times New Roman" w:cs="Times New Roman"/>
          <w:i/>
          <w:iCs/>
          <w:noProof/>
          <w:kern w:val="0"/>
          <w:sz w:val="24"/>
          <w:szCs w:val="24"/>
        </w:rPr>
        <w:t>Teori Hukum Pembuktian: Pidana Dan Perdata</w:t>
      </w:r>
      <w:r w:rsidRPr="00A20BEA">
        <w:rPr>
          <w:rFonts w:ascii="Times New Roman" w:hAnsi="Times New Roman" w:cs="Times New Roman"/>
          <w:noProof/>
          <w:kern w:val="0"/>
          <w:sz w:val="24"/>
          <w:szCs w:val="24"/>
        </w:rPr>
        <w:t>. Bandung: Citra Aditya, 2006.</w:t>
      </w:r>
    </w:p>
    <w:p w14:paraId="4B737947"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Nabilah Muhammad. “Komnas PA: Ada 3.547 Kasus Kekerasan Anak 2023, Terbanyak Kekerasan Seksual.” </w:t>
      </w:r>
      <w:r w:rsidRPr="00A20BEA">
        <w:rPr>
          <w:rFonts w:ascii="Times New Roman" w:hAnsi="Times New Roman" w:cs="Times New Roman"/>
          <w:i/>
          <w:iCs/>
          <w:noProof/>
          <w:kern w:val="0"/>
          <w:sz w:val="24"/>
          <w:szCs w:val="24"/>
        </w:rPr>
        <w:t>Https://Databoks.Katadata.Co.Id</w:t>
      </w:r>
      <w:r w:rsidRPr="00A20BEA">
        <w:rPr>
          <w:rFonts w:ascii="Times New Roman" w:hAnsi="Times New Roman" w:cs="Times New Roman"/>
          <w:noProof/>
          <w:kern w:val="0"/>
          <w:sz w:val="24"/>
          <w:szCs w:val="24"/>
        </w:rPr>
        <w:t>. Last modified 2023. Accessed April 2, 2024. https://databoks.katadata.co.id/datapublish/2023/12/29/komnas-pa-ada-3547-kasus-kekerasan-anak-2023-terbanyak-kekerasan-seksual.</w:t>
      </w:r>
    </w:p>
    <w:p w14:paraId="280073E8"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Nikolas Simanjuntak. </w:t>
      </w:r>
      <w:r w:rsidRPr="00A20BEA">
        <w:rPr>
          <w:rFonts w:ascii="Times New Roman" w:hAnsi="Times New Roman" w:cs="Times New Roman"/>
          <w:i/>
          <w:iCs/>
          <w:noProof/>
          <w:kern w:val="0"/>
          <w:sz w:val="24"/>
          <w:szCs w:val="24"/>
        </w:rPr>
        <w:t>Acara Pidana Indonesia Dalam Sirklus Hukum</w:t>
      </w:r>
      <w:r w:rsidRPr="00A20BEA">
        <w:rPr>
          <w:rFonts w:ascii="Times New Roman" w:hAnsi="Times New Roman" w:cs="Times New Roman"/>
          <w:noProof/>
          <w:kern w:val="0"/>
          <w:sz w:val="24"/>
          <w:szCs w:val="24"/>
        </w:rPr>
        <w:t>. Cet 1. Bogor: Ghalia Indonesia, 2009.</w:t>
      </w:r>
    </w:p>
    <w:p w14:paraId="346B6053"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Nur Moklis, Agus Sanwani Arif. </w:t>
      </w:r>
      <w:r w:rsidRPr="00A20BEA">
        <w:rPr>
          <w:rFonts w:ascii="Times New Roman" w:hAnsi="Times New Roman" w:cs="Times New Roman"/>
          <w:i/>
          <w:iCs/>
          <w:noProof/>
          <w:kern w:val="0"/>
          <w:sz w:val="24"/>
          <w:szCs w:val="24"/>
        </w:rPr>
        <w:t>Penerapan Hukum Acara Pidana/Jinayah Mahkamah Syar’iyah Di Aceh</w:t>
      </w:r>
      <w:r w:rsidRPr="00A20BEA">
        <w:rPr>
          <w:rFonts w:ascii="Times New Roman" w:hAnsi="Times New Roman" w:cs="Times New Roman"/>
          <w:noProof/>
          <w:kern w:val="0"/>
          <w:sz w:val="24"/>
          <w:szCs w:val="24"/>
        </w:rPr>
        <w:t>. MegaMendung: Dipublikasikan secara Online Email: nurmoklis@yahoo.com agussanwaniarif@yahoo.com, 2012.</w:t>
      </w:r>
    </w:p>
    <w:p w14:paraId="165B3037" w14:textId="615CB0A4"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Presiden Republik Indonesi</w:t>
      </w:r>
      <w:r w:rsidR="00CB2ADD">
        <w:rPr>
          <w:rFonts w:ascii="Times New Roman" w:hAnsi="Times New Roman" w:cs="Times New Roman"/>
          <w:noProof/>
          <w:kern w:val="0"/>
          <w:sz w:val="24"/>
          <w:szCs w:val="24"/>
        </w:rPr>
        <w:t>a</w:t>
      </w:r>
      <w:r w:rsidRPr="00A20BEA">
        <w:rPr>
          <w:rFonts w:ascii="Times New Roman" w:hAnsi="Times New Roman" w:cs="Times New Roman"/>
          <w:noProof/>
          <w:kern w:val="0"/>
          <w:sz w:val="24"/>
          <w:szCs w:val="24"/>
        </w:rPr>
        <w:t xml:space="preserve">. </w:t>
      </w:r>
      <w:r w:rsidRPr="00A20BEA">
        <w:rPr>
          <w:rFonts w:ascii="Times New Roman" w:hAnsi="Times New Roman" w:cs="Times New Roman"/>
          <w:i/>
          <w:iCs/>
          <w:noProof/>
          <w:kern w:val="0"/>
          <w:sz w:val="24"/>
          <w:szCs w:val="24"/>
        </w:rPr>
        <w:t xml:space="preserve">Undang-Undang Nomor 12 </w:t>
      </w:r>
      <w:r w:rsidRPr="00A20BEA">
        <w:rPr>
          <w:rFonts w:ascii="Times New Roman" w:hAnsi="Times New Roman" w:cs="Times New Roman"/>
          <w:i/>
          <w:iCs/>
          <w:noProof/>
          <w:kern w:val="0"/>
          <w:sz w:val="24"/>
          <w:szCs w:val="24"/>
        </w:rPr>
        <w:lastRenderedPageBreak/>
        <w:t>Tahun 2022 Tentang Tindak Pidana Kekerasan Seksual</w:t>
      </w:r>
      <w:r w:rsidRPr="00A20BEA">
        <w:rPr>
          <w:rFonts w:ascii="Times New Roman" w:hAnsi="Times New Roman" w:cs="Times New Roman"/>
          <w:noProof/>
          <w:kern w:val="0"/>
          <w:sz w:val="24"/>
          <w:szCs w:val="24"/>
        </w:rPr>
        <w:t>. Indonesia, 2022.</w:t>
      </w:r>
    </w:p>
    <w:p w14:paraId="43555C36"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 </w:t>
      </w:r>
      <w:r w:rsidRPr="00A20BEA">
        <w:rPr>
          <w:rFonts w:ascii="Times New Roman" w:hAnsi="Times New Roman" w:cs="Times New Roman"/>
          <w:i/>
          <w:iCs/>
          <w:noProof/>
          <w:kern w:val="0"/>
          <w:sz w:val="24"/>
          <w:szCs w:val="24"/>
        </w:rPr>
        <w:t>Undang-Undang Nomor 18 Tahun 2001 Tentang Otonomi Khusus Bagi Provinsi Daerah Istimewa Aceh Sebagai Provinsi Nanggroe Aceh Darussalam</w:t>
      </w:r>
      <w:r w:rsidRPr="00A20BEA">
        <w:rPr>
          <w:rFonts w:ascii="Times New Roman" w:hAnsi="Times New Roman" w:cs="Times New Roman"/>
          <w:noProof/>
          <w:kern w:val="0"/>
          <w:sz w:val="24"/>
          <w:szCs w:val="24"/>
        </w:rPr>
        <w:t>. Indonesia, 2001.</w:t>
      </w:r>
    </w:p>
    <w:p w14:paraId="3CBF603B"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 </w:t>
      </w:r>
      <w:r w:rsidRPr="00A20BEA">
        <w:rPr>
          <w:rFonts w:ascii="Times New Roman" w:hAnsi="Times New Roman" w:cs="Times New Roman"/>
          <w:i/>
          <w:iCs/>
          <w:noProof/>
          <w:kern w:val="0"/>
          <w:sz w:val="24"/>
          <w:szCs w:val="24"/>
        </w:rPr>
        <w:t>Undang Undang Nomor 44 Tahun 1999 Tentang Penyelenggaraan Keistimewaan Provinsi Aceh</w:t>
      </w:r>
      <w:r w:rsidRPr="00A20BEA">
        <w:rPr>
          <w:rFonts w:ascii="Times New Roman" w:hAnsi="Times New Roman" w:cs="Times New Roman"/>
          <w:noProof/>
          <w:kern w:val="0"/>
          <w:sz w:val="24"/>
          <w:szCs w:val="24"/>
        </w:rPr>
        <w:t>. Indonesia: Dinas Syariat Islam Aceh, 1999.</w:t>
      </w:r>
    </w:p>
    <w:p w14:paraId="14DB7E65"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 </w:t>
      </w:r>
      <w:r w:rsidRPr="00A20BEA">
        <w:rPr>
          <w:rFonts w:ascii="Times New Roman" w:hAnsi="Times New Roman" w:cs="Times New Roman"/>
          <w:i/>
          <w:iCs/>
          <w:noProof/>
          <w:kern w:val="0"/>
          <w:sz w:val="24"/>
          <w:szCs w:val="24"/>
        </w:rPr>
        <w:t>Undang Undang Republik Indonesia Nomor 11 Tahun 2012 Tentang Sistem Peradilan Pidana Anak</w:t>
      </w:r>
      <w:r w:rsidRPr="00A20BEA">
        <w:rPr>
          <w:rFonts w:ascii="Times New Roman" w:hAnsi="Times New Roman" w:cs="Times New Roman"/>
          <w:noProof/>
          <w:kern w:val="0"/>
          <w:sz w:val="24"/>
          <w:szCs w:val="24"/>
        </w:rPr>
        <w:t>. Indonesia, 2012.</w:t>
      </w:r>
    </w:p>
    <w:p w14:paraId="438C9CB1"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Quran.nu.or.i. “Al Quran.” </w:t>
      </w:r>
      <w:r w:rsidRPr="00A20BEA">
        <w:rPr>
          <w:rFonts w:ascii="Times New Roman" w:hAnsi="Times New Roman" w:cs="Times New Roman"/>
          <w:i/>
          <w:iCs/>
          <w:noProof/>
          <w:kern w:val="0"/>
          <w:sz w:val="24"/>
          <w:szCs w:val="24"/>
        </w:rPr>
        <w:t>Https://Quran.Nu.or.Id</w:t>
      </w:r>
      <w:r w:rsidRPr="00A20BEA">
        <w:rPr>
          <w:rFonts w:ascii="Times New Roman" w:hAnsi="Times New Roman" w:cs="Times New Roman"/>
          <w:noProof/>
          <w:kern w:val="0"/>
          <w:sz w:val="24"/>
          <w:szCs w:val="24"/>
        </w:rPr>
        <w:t>. Accessed February 10, 2024. https://quran.nu.or.id.</w:t>
      </w:r>
    </w:p>
    <w:p w14:paraId="04640E64"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R. Soebekti. </w:t>
      </w:r>
      <w:r w:rsidRPr="00A20BEA">
        <w:rPr>
          <w:rFonts w:ascii="Times New Roman" w:hAnsi="Times New Roman" w:cs="Times New Roman"/>
          <w:i/>
          <w:iCs/>
          <w:noProof/>
          <w:kern w:val="0"/>
          <w:sz w:val="24"/>
          <w:szCs w:val="24"/>
        </w:rPr>
        <w:t>Hukum Pembuktian</w:t>
      </w:r>
      <w:r w:rsidRPr="00A20BEA">
        <w:rPr>
          <w:rFonts w:ascii="Times New Roman" w:hAnsi="Times New Roman" w:cs="Times New Roman"/>
          <w:noProof/>
          <w:kern w:val="0"/>
          <w:sz w:val="24"/>
          <w:szCs w:val="24"/>
        </w:rPr>
        <w:t>. Jakarta: Pradnya Paramita, 2010.</w:t>
      </w:r>
    </w:p>
    <w:p w14:paraId="0D88CEE0"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Rahman Amin. </w:t>
      </w:r>
      <w:r w:rsidRPr="00A20BEA">
        <w:rPr>
          <w:rFonts w:ascii="Times New Roman" w:hAnsi="Times New Roman" w:cs="Times New Roman"/>
          <w:i/>
          <w:iCs/>
          <w:noProof/>
          <w:kern w:val="0"/>
          <w:sz w:val="24"/>
          <w:szCs w:val="24"/>
        </w:rPr>
        <w:t>Hukum Pembuktian Dalam Perkara Perdata Dan Pidana</w:t>
      </w:r>
      <w:r w:rsidRPr="00A20BEA">
        <w:rPr>
          <w:rFonts w:ascii="Times New Roman" w:hAnsi="Times New Roman" w:cs="Times New Roman"/>
          <w:noProof/>
          <w:kern w:val="0"/>
          <w:sz w:val="24"/>
          <w:szCs w:val="24"/>
        </w:rPr>
        <w:t>. Edited by Dwi Noviantoko. Cet1 ed. Yogyakarta: CV. Budi Utama, 2020.</w:t>
      </w:r>
    </w:p>
    <w:p w14:paraId="547511DC" w14:textId="5CA0D935"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Rani Nur Isnaini. “Kekuata</w:t>
      </w:r>
      <w:r w:rsidR="00CB2ADD">
        <w:rPr>
          <w:rFonts w:ascii="Times New Roman" w:hAnsi="Times New Roman" w:cs="Times New Roman"/>
          <w:noProof/>
          <w:kern w:val="0"/>
          <w:sz w:val="24"/>
          <w:szCs w:val="24"/>
        </w:rPr>
        <w:t>n</w:t>
      </w:r>
      <w:r w:rsidRPr="00A20BEA">
        <w:rPr>
          <w:rFonts w:ascii="Times New Roman" w:hAnsi="Times New Roman" w:cs="Times New Roman"/>
          <w:noProof/>
          <w:kern w:val="0"/>
          <w:sz w:val="24"/>
          <w:szCs w:val="24"/>
        </w:rPr>
        <w:t xml:space="preserve"> Pembuktian Testimonium De Auditu Dalam Tindak Pidana Kekerasan Seksual Pada Anak.” </w:t>
      </w:r>
      <w:r w:rsidRPr="00A20BEA">
        <w:rPr>
          <w:rFonts w:ascii="Times New Roman" w:hAnsi="Times New Roman" w:cs="Times New Roman"/>
          <w:i/>
          <w:iCs/>
          <w:noProof/>
          <w:kern w:val="0"/>
          <w:sz w:val="24"/>
          <w:szCs w:val="24"/>
        </w:rPr>
        <w:t>Seminar Nasional Hukum dan Pancasila</w:t>
      </w:r>
      <w:r w:rsidRPr="00A20BEA">
        <w:rPr>
          <w:rFonts w:ascii="Times New Roman" w:hAnsi="Times New Roman" w:cs="Times New Roman"/>
          <w:noProof/>
          <w:kern w:val="0"/>
          <w:sz w:val="24"/>
          <w:szCs w:val="24"/>
        </w:rPr>
        <w:t xml:space="preserve"> Vol. 3, 12 (2024): 8.</w:t>
      </w:r>
    </w:p>
    <w:p w14:paraId="2A3AFE63"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Renata Christha Auli. “Alat Bukti Sah Menurut Pasal 184 KUHAP.” </w:t>
      </w:r>
      <w:r w:rsidRPr="00A20BEA">
        <w:rPr>
          <w:rFonts w:ascii="Times New Roman" w:hAnsi="Times New Roman" w:cs="Times New Roman"/>
          <w:i/>
          <w:iCs/>
          <w:noProof/>
          <w:kern w:val="0"/>
          <w:sz w:val="24"/>
          <w:szCs w:val="24"/>
        </w:rPr>
        <w:t>Hukum Online.Com</w:t>
      </w:r>
      <w:r w:rsidRPr="00A20BEA">
        <w:rPr>
          <w:rFonts w:ascii="Times New Roman" w:hAnsi="Times New Roman" w:cs="Times New Roman"/>
          <w:noProof/>
          <w:kern w:val="0"/>
          <w:sz w:val="24"/>
          <w:szCs w:val="24"/>
        </w:rPr>
        <w:t>. Last modified 2023. Accessed May 24, 2024. https://www.hukumonline.com/klinik/a/alat-bukti-sah-menurut-pasal-184-kuhap-lt657ae25924ac9/.</w:t>
      </w:r>
    </w:p>
    <w:p w14:paraId="343DF129"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lastRenderedPageBreak/>
        <w:t xml:space="preserve">Ridwan Eko Prasetyo. </w:t>
      </w:r>
      <w:r w:rsidRPr="00A20BEA">
        <w:rPr>
          <w:rFonts w:ascii="Times New Roman" w:hAnsi="Times New Roman" w:cs="Times New Roman"/>
          <w:i/>
          <w:iCs/>
          <w:noProof/>
          <w:kern w:val="0"/>
          <w:sz w:val="24"/>
          <w:szCs w:val="24"/>
        </w:rPr>
        <w:t>Hukum Acara Pidana</w:t>
      </w:r>
      <w:r w:rsidRPr="00A20BEA">
        <w:rPr>
          <w:rFonts w:ascii="Times New Roman" w:hAnsi="Times New Roman" w:cs="Times New Roman"/>
          <w:noProof/>
          <w:kern w:val="0"/>
          <w:sz w:val="24"/>
          <w:szCs w:val="24"/>
        </w:rPr>
        <w:t>. Bandung: CV. Pustaka Setia, 2015.</w:t>
      </w:r>
    </w:p>
    <w:p w14:paraId="47597987"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Saulus Suradi. “Perlindungan Hukum Terhadap Saksi Pelapor Dalam Tindak Pidana Korupsi Dikaitkan Dengan Undang-Undang Nomor 13 Tahun 2006 Tentang Perlindungan Saksi Dan Korban.” </w:t>
      </w:r>
      <w:r w:rsidRPr="00A20BEA">
        <w:rPr>
          <w:rFonts w:ascii="Times New Roman" w:hAnsi="Times New Roman" w:cs="Times New Roman"/>
          <w:i/>
          <w:iCs/>
          <w:noProof/>
          <w:kern w:val="0"/>
          <w:sz w:val="24"/>
          <w:szCs w:val="24"/>
        </w:rPr>
        <w:t>Justice Pro: Jurnal Ilmu Hukum</w:t>
      </w:r>
      <w:r w:rsidRPr="00A20BEA">
        <w:rPr>
          <w:rFonts w:ascii="Times New Roman" w:hAnsi="Times New Roman" w:cs="Times New Roman"/>
          <w:noProof/>
          <w:kern w:val="0"/>
          <w:sz w:val="24"/>
          <w:szCs w:val="24"/>
        </w:rPr>
        <w:t xml:space="preserve"> Volume 3 N (2019): 11.</w:t>
      </w:r>
    </w:p>
    <w:p w14:paraId="4E97FC65" w14:textId="21B9B35A"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Siregar, Amelia Zuliyanti, and Nurliana Harahap. </w:t>
      </w:r>
      <w:r w:rsidRPr="00A20BEA">
        <w:rPr>
          <w:rFonts w:ascii="Times New Roman" w:hAnsi="Times New Roman" w:cs="Times New Roman"/>
          <w:i/>
          <w:iCs/>
          <w:noProof/>
          <w:kern w:val="0"/>
          <w:sz w:val="24"/>
          <w:szCs w:val="24"/>
        </w:rPr>
        <w:t>Strategi Dan Teknik Penulisan Karya Tulis Ilmiah Dan Publikasi</w:t>
      </w:r>
      <w:r w:rsidRPr="00A20BEA">
        <w:rPr>
          <w:rFonts w:ascii="Times New Roman" w:hAnsi="Times New Roman" w:cs="Times New Roman"/>
          <w:noProof/>
          <w:kern w:val="0"/>
          <w:sz w:val="24"/>
          <w:szCs w:val="24"/>
        </w:rPr>
        <w:t>. Cet 1. Sleman: CV. Budi Utama, 2019.</w:t>
      </w:r>
    </w:p>
    <w:p w14:paraId="37BA8C0E"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Sisika Lia Sulistiani. </w:t>
      </w:r>
      <w:r w:rsidRPr="00A20BEA">
        <w:rPr>
          <w:rFonts w:ascii="Times New Roman" w:hAnsi="Times New Roman" w:cs="Times New Roman"/>
          <w:i/>
          <w:iCs/>
          <w:noProof/>
          <w:kern w:val="0"/>
          <w:sz w:val="24"/>
          <w:szCs w:val="24"/>
        </w:rPr>
        <w:t>Peradilan Islam</w:t>
      </w:r>
      <w:r w:rsidRPr="00A20BEA">
        <w:rPr>
          <w:rFonts w:ascii="Times New Roman" w:hAnsi="Times New Roman" w:cs="Times New Roman"/>
          <w:noProof/>
          <w:kern w:val="0"/>
          <w:sz w:val="24"/>
          <w:szCs w:val="24"/>
        </w:rPr>
        <w:t>. Edited by Kurniawan Ahmad. Cet 1. Jakarta: Sinar Grafika, 2020.</w:t>
      </w:r>
    </w:p>
    <w:p w14:paraId="0A9BB501"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Siska Trisia, Dio Ashar W, Kevin D Zega. </w:t>
      </w:r>
      <w:r w:rsidRPr="00A20BEA">
        <w:rPr>
          <w:rFonts w:ascii="Times New Roman" w:hAnsi="Times New Roman" w:cs="Times New Roman"/>
          <w:i/>
          <w:iCs/>
          <w:noProof/>
          <w:kern w:val="0"/>
          <w:sz w:val="24"/>
          <w:szCs w:val="24"/>
        </w:rPr>
        <w:t>Teknik Pembuktian Di Persidangan</w:t>
      </w:r>
      <w:r w:rsidRPr="00A20BEA">
        <w:rPr>
          <w:rFonts w:ascii="Times New Roman" w:hAnsi="Times New Roman" w:cs="Times New Roman"/>
          <w:noProof/>
          <w:kern w:val="0"/>
          <w:sz w:val="24"/>
          <w:szCs w:val="24"/>
        </w:rPr>
        <w:t xml:space="preserve">. </w:t>
      </w:r>
      <w:r w:rsidRPr="00A20BEA">
        <w:rPr>
          <w:rFonts w:ascii="Times New Roman" w:hAnsi="Times New Roman" w:cs="Times New Roman"/>
          <w:i/>
          <w:iCs/>
          <w:noProof/>
          <w:kern w:val="0"/>
          <w:sz w:val="24"/>
          <w:szCs w:val="24"/>
        </w:rPr>
        <w:t>Https://Mappifhui.Org</w:t>
      </w:r>
      <w:r w:rsidRPr="00A20BEA">
        <w:rPr>
          <w:rFonts w:ascii="Times New Roman" w:hAnsi="Times New Roman" w:cs="Times New Roman"/>
          <w:noProof/>
          <w:kern w:val="0"/>
          <w:sz w:val="24"/>
          <w:szCs w:val="24"/>
        </w:rPr>
        <w:t>. Depok, 2020. Accessed September 20, 2024. https://mappifhui.org/wp-content/uploads/2020/03/Teknik-Pembuktian-di-Persidangan.pdf.</w:t>
      </w:r>
    </w:p>
    <w:p w14:paraId="127B9885"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Soetarna, Hendar. </w:t>
      </w:r>
      <w:r w:rsidRPr="00A20BEA">
        <w:rPr>
          <w:rFonts w:ascii="Times New Roman" w:hAnsi="Times New Roman" w:cs="Times New Roman"/>
          <w:i/>
          <w:iCs/>
          <w:noProof/>
          <w:kern w:val="0"/>
          <w:sz w:val="24"/>
          <w:szCs w:val="24"/>
        </w:rPr>
        <w:t>Hukum Pembuktian Dalam Acara Pidana</w:t>
      </w:r>
      <w:r w:rsidRPr="00A20BEA">
        <w:rPr>
          <w:rFonts w:ascii="Times New Roman" w:hAnsi="Times New Roman" w:cs="Times New Roman"/>
          <w:noProof/>
          <w:kern w:val="0"/>
          <w:sz w:val="24"/>
          <w:szCs w:val="24"/>
        </w:rPr>
        <w:t>. Cet 1. Bandung: Alumni, 2011.</w:t>
      </w:r>
    </w:p>
    <w:p w14:paraId="2A96DFCA"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Sudaryono, Natangsa Surbakti. </w:t>
      </w:r>
      <w:r w:rsidRPr="00A20BEA">
        <w:rPr>
          <w:rFonts w:ascii="Times New Roman" w:hAnsi="Times New Roman" w:cs="Times New Roman"/>
          <w:i/>
          <w:iCs/>
          <w:noProof/>
          <w:kern w:val="0"/>
          <w:sz w:val="24"/>
          <w:szCs w:val="24"/>
        </w:rPr>
        <w:t>Hukum Pidana Dasar-Dasar Hukum Pidana Berdasarkan KUHP Dan RUU KUHP</w:t>
      </w:r>
      <w:r w:rsidRPr="00A20BEA">
        <w:rPr>
          <w:rFonts w:ascii="Times New Roman" w:hAnsi="Times New Roman" w:cs="Times New Roman"/>
          <w:noProof/>
          <w:kern w:val="0"/>
          <w:sz w:val="24"/>
          <w:szCs w:val="24"/>
        </w:rPr>
        <w:t>. Edited by Kuswandani. Cet 1. Surakarta: Muhammadiyah University Press, 2017.</w:t>
      </w:r>
    </w:p>
    <w:p w14:paraId="79140812"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Suryono Sutarto. </w:t>
      </w:r>
      <w:r w:rsidRPr="00A20BEA">
        <w:rPr>
          <w:rFonts w:ascii="Times New Roman" w:hAnsi="Times New Roman" w:cs="Times New Roman"/>
          <w:i/>
          <w:iCs/>
          <w:noProof/>
          <w:kern w:val="0"/>
          <w:sz w:val="24"/>
          <w:szCs w:val="24"/>
        </w:rPr>
        <w:t>Hukum Acara Pidana Buku Pengantar Kuliah Mahasiswa</w:t>
      </w:r>
      <w:r w:rsidRPr="00A20BEA">
        <w:rPr>
          <w:rFonts w:ascii="Times New Roman" w:hAnsi="Times New Roman" w:cs="Times New Roman"/>
          <w:noProof/>
          <w:kern w:val="0"/>
          <w:sz w:val="24"/>
          <w:szCs w:val="24"/>
        </w:rPr>
        <w:t>. Cet II. Semarang: Badan Penerbitan Universitas Diponegoro, 2005.</w:t>
      </w:r>
    </w:p>
    <w:p w14:paraId="10868384"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Suyatno. </w:t>
      </w:r>
      <w:r w:rsidRPr="00A20BEA">
        <w:rPr>
          <w:rFonts w:ascii="Times New Roman" w:hAnsi="Times New Roman" w:cs="Times New Roman"/>
          <w:i/>
          <w:iCs/>
          <w:noProof/>
          <w:kern w:val="0"/>
          <w:sz w:val="24"/>
          <w:szCs w:val="24"/>
        </w:rPr>
        <w:t>Pengantar Hukum Pidana</w:t>
      </w:r>
      <w:r w:rsidRPr="00A20BEA">
        <w:rPr>
          <w:rFonts w:ascii="Times New Roman" w:hAnsi="Times New Roman" w:cs="Times New Roman"/>
          <w:noProof/>
          <w:kern w:val="0"/>
          <w:sz w:val="24"/>
          <w:szCs w:val="24"/>
        </w:rPr>
        <w:t>. Edited by Putri Kusuma Anggraini. Cet 1. Yogyakarta: CV. Budi Utama, 2018.</w:t>
      </w:r>
    </w:p>
    <w:p w14:paraId="137024DD"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lastRenderedPageBreak/>
        <w:t xml:space="preserve">Syafruddin Syam, Rizki Muhammad Haris, Fachruddin Zakarya. “Studi Legalitas Saksi Syahadah Al-Istifadah Dalam Pembuktian Perkara Itsbat Nikah: Pendekatan Maqashid Syari’ah (Analisis Kasus Di Mahkamah Syar’iyah Meulaboh).” </w:t>
      </w:r>
      <w:r w:rsidRPr="00A20BEA">
        <w:rPr>
          <w:rFonts w:ascii="Times New Roman" w:hAnsi="Times New Roman" w:cs="Times New Roman"/>
          <w:i/>
          <w:iCs/>
          <w:noProof/>
          <w:kern w:val="0"/>
          <w:sz w:val="24"/>
          <w:szCs w:val="24"/>
        </w:rPr>
        <w:t>Al-Qadha: Jurnal Hukum Islam dan Perundang-Undangan</w:t>
      </w:r>
      <w:r w:rsidRPr="00A20BEA">
        <w:rPr>
          <w:rFonts w:ascii="Times New Roman" w:hAnsi="Times New Roman" w:cs="Times New Roman"/>
          <w:noProof/>
          <w:kern w:val="0"/>
          <w:sz w:val="24"/>
          <w:szCs w:val="24"/>
        </w:rPr>
        <w:t xml:space="preserve"> Vol 9 No 2 (2022): 14.</w:t>
      </w:r>
    </w:p>
    <w:p w14:paraId="5042F7D1"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Syamsuri, Abdul Basit Junaidy, Nur Lailatul Musyafa’ah, Moh. Mufid. </w:t>
      </w:r>
      <w:r w:rsidRPr="00A20BEA">
        <w:rPr>
          <w:rFonts w:ascii="Times New Roman" w:hAnsi="Times New Roman" w:cs="Times New Roman"/>
          <w:i/>
          <w:iCs/>
          <w:noProof/>
          <w:kern w:val="0"/>
          <w:sz w:val="24"/>
          <w:szCs w:val="24"/>
        </w:rPr>
        <w:t>Hukum Pidana Islam</w:t>
      </w:r>
      <w:r w:rsidRPr="00A20BEA">
        <w:rPr>
          <w:rFonts w:ascii="Times New Roman" w:hAnsi="Times New Roman" w:cs="Times New Roman"/>
          <w:noProof/>
          <w:kern w:val="0"/>
          <w:sz w:val="24"/>
          <w:szCs w:val="24"/>
        </w:rPr>
        <w:t>. Edited by Iklilah Muzayyanah Dini Fajriyah Wahyono Abdul Ghofur. Cet 1. Depok: PT Rajawali Buana Pustaka, 2020.</w:t>
      </w:r>
    </w:p>
    <w:p w14:paraId="3429FC58"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Teguh Syuhada Lubis. </w:t>
      </w:r>
      <w:r w:rsidRPr="00A20BEA">
        <w:rPr>
          <w:rFonts w:ascii="Times New Roman" w:hAnsi="Times New Roman" w:cs="Times New Roman"/>
          <w:i/>
          <w:iCs/>
          <w:noProof/>
          <w:kern w:val="0"/>
          <w:sz w:val="24"/>
          <w:szCs w:val="24"/>
        </w:rPr>
        <w:t>Hukum Pembuktian Dalam Peradilan Di Indonesia</w:t>
      </w:r>
      <w:r w:rsidRPr="00A20BEA">
        <w:rPr>
          <w:rFonts w:ascii="Times New Roman" w:hAnsi="Times New Roman" w:cs="Times New Roman"/>
          <w:noProof/>
          <w:kern w:val="0"/>
          <w:sz w:val="24"/>
          <w:szCs w:val="24"/>
        </w:rPr>
        <w:t>. Edited by Fajaruddin. Cet. 1. Medan: CV. Pustaka Prima, 2021.</w:t>
      </w:r>
    </w:p>
    <w:p w14:paraId="49C299A1" w14:textId="6C22492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Tengku Muhammad Hasbi Ash Shiddieq</w:t>
      </w:r>
      <w:r w:rsidR="00CB2ADD">
        <w:rPr>
          <w:rFonts w:ascii="Times New Roman" w:hAnsi="Times New Roman" w:cs="Times New Roman"/>
          <w:noProof/>
          <w:kern w:val="0"/>
          <w:sz w:val="24"/>
          <w:szCs w:val="24"/>
        </w:rPr>
        <w:t>y</w:t>
      </w:r>
      <w:r w:rsidRPr="00A20BEA">
        <w:rPr>
          <w:rFonts w:ascii="Times New Roman" w:hAnsi="Times New Roman" w:cs="Times New Roman"/>
          <w:noProof/>
          <w:kern w:val="0"/>
          <w:sz w:val="24"/>
          <w:szCs w:val="24"/>
        </w:rPr>
        <w:t xml:space="preserve">. </w:t>
      </w:r>
      <w:r w:rsidRPr="00A20BEA">
        <w:rPr>
          <w:rFonts w:ascii="Times New Roman" w:hAnsi="Times New Roman" w:cs="Times New Roman"/>
          <w:i/>
          <w:iCs/>
          <w:noProof/>
          <w:kern w:val="0"/>
          <w:sz w:val="24"/>
          <w:szCs w:val="24"/>
        </w:rPr>
        <w:t>Peradilan Dan Hukum Acara Islam</w:t>
      </w:r>
      <w:r w:rsidRPr="00A20BEA">
        <w:rPr>
          <w:rFonts w:ascii="Times New Roman" w:hAnsi="Times New Roman" w:cs="Times New Roman"/>
          <w:noProof/>
          <w:kern w:val="0"/>
          <w:sz w:val="24"/>
          <w:szCs w:val="24"/>
        </w:rPr>
        <w:t>. Cet 1. Semarang: PT. Pustaka Rizki Putra, 1997.</w:t>
      </w:r>
    </w:p>
    <w:p w14:paraId="498C9146" w14:textId="4EC79FF0"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Tim Hukumonline. “Mengenal 8 Jenis Saksi Dalam Hukum Acara Pidana.” </w:t>
      </w:r>
      <w:r w:rsidRPr="00A20BEA">
        <w:rPr>
          <w:rFonts w:ascii="Times New Roman" w:hAnsi="Times New Roman" w:cs="Times New Roman"/>
          <w:i/>
          <w:iCs/>
          <w:noProof/>
          <w:kern w:val="0"/>
          <w:sz w:val="24"/>
          <w:szCs w:val="24"/>
        </w:rPr>
        <w:t>Hukum</w:t>
      </w:r>
      <w:r w:rsidR="00CB2ADD">
        <w:rPr>
          <w:rFonts w:ascii="Times New Roman" w:hAnsi="Times New Roman" w:cs="Times New Roman"/>
          <w:i/>
          <w:iCs/>
          <w:noProof/>
          <w:kern w:val="0"/>
          <w:sz w:val="24"/>
          <w:szCs w:val="24"/>
        </w:rPr>
        <w:t>o</w:t>
      </w:r>
      <w:r w:rsidRPr="00A20BEA">
        <w:rPr>
          <w:rFonts w:ascii="Times New Roman" w:hAnsi="Times New Roman" w:cs="Times New Roman"/>
          <w:i/>
          <w:iCs/>
          <w:noProof/>
          <w:kern w:val="0"/>
          <w:sz w:val="24"/>
          <w:szCs w:val="24"/>
        </w:rPr>
        <w:t>nline.Com</w:t>
      </w:r>
      <w:r w:rsidRPr="00A20BEA">
        <w:rPr>
          <w:rFonts w:ascii="Times New Roman" w:hAnsi="Times New Roman" w:cs="Times New Roman"/>
          <w:noProof/>
          <w:kern w:val="0"/>
          <w:sz w:val="24"/>
          <w:szCs w:val="24"/>
        </w:rPr>
        <w:t>. Last modified 2023. Accessed May 27, 2024. https://www.hukumonline.com/berita/a/mengenal-8-jenis-saksi-dalam-hukum-acara-pidana-lt629444af59b56/?page=2.</w:t>
      </w:r>
    </w:p>
    <w:p w14:paraId="30AE17D4"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Tri Jata Ayu Pramesti. “Dasar Hukum Pelaksanaan Pemerintahan Di Aceh.” </w:t>
      </w:r>
      <w:r w:rsidRPr="00A20BEA">
        <w:rPr>
          <w:rFonts w:ascii="Times New Roman" w:hAnsi="Times New Roman" w:cs="Times New Roman"/>
          <w:i/>
          <w:iCs/>
          <w:noProof/>
          <w:kern w:val="0"/>
          <w:sz w:val="24"/>
          <w:szCs w:val="24"/>
        </w:rPr>
        <w:t>Hukum Online.Com</w:t>
      </w:r>
      <w:r w:rsidRPr="00A20BEA">
        <w:rPr>
          <w:rFonts w:ascii="Times New Roman" w:hAnsi="Times New Roman" w:cs="Times New Roman"/>
          <w:noProof/>
          <w:kern w:val="0"/>
          <w:sz w:val="24"/>
          <w:szCs w:val="24"/>
        </w:rPr>
        <w:t>. Last modified 2023. Accessed September 20, 2024. https://www.hukumonline.com/klinik/a/dasar-hukum-pelaksanaan-pemerintahan-di-aceh-lt563a237f66b9e/.</w:t>
      </w:r>
    </w:p>
    <w:p w14:paraId="21D4DAFD" w14:textId="35DC4F8E"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 “Kekuatan Pembuktian Pengakuan Terdakwa Di Persidangan.” </w:t>
      </w:r>
      <w:r w:rsidRPr="00A20BEA">
        <w:rPr>
          <w:rFonts w:ascii="Times New Roman" w:hAnsi="Times New Roman" w:cs="Times New Roman"/>
          <w:i/>
          <w:iCs/>
          <w:noProof/>
          <w:kern w:val="0"/>
          <w:sz w:val="24"/>
          <w:szCs w:val="24"/>
        </w:rPr>
        <w:t>Hukum</w:t>
      </w:r>
      <w:r w:rsidR="00CB2ADD">
        <w:rPr>
          <w:rFonts w:ascii="Times New Roman" w:hAnsi="Times New Roman" w:cs="Times New Roman"/>
          <w:i/>
          <w:iCs/>
          <w:noProof/>
          <w:kern w:val="0"/>
          <w:sz w:val="24"/>
          <w:szCs w:val="24"/>
        </w:rPr>
        <w:t>o</w:t>
      </w:r>
      <w:r w:rsidRPr="00A20BEA">
        <w:rPr>
          <w:rFonts w:ascii="Times New Roman" w:hAnsi="Times New Roman" w:cs="Times New Roman"/>
          <w:i/>
          <w:iCs/>
          <w:noProof/>
          <w:kern w:val="0"/>
          <w:sz w:val="24"/>
          <w:szCs w:val="24"/>
        </w:rPr>
        <w:t>nline.Com</w:t>
      </w:r>
      <w:r w:rsidRPr="00A20BEA">
        <w:rPr>
          <w:rFonts w:ascii="Times New Roman" w:hAnsi="Times New Roman" w:cs="Times New Roman"/>
          <w:noProof/>
          <w:kern w:val="0"/>
          <w:sz w:val="24"/>
          <w:szCs w:val="24"/>
        </w:rPr>
        <w:t xml:space="preserve">. Last modified 2014. Accessed May 24, 2024. </w:t>
      </w:r>
      <w:r w:rsidRPr="00A20BEA">
        <w:rPr>
          <w:rFonts w:ascii="Times New Roman" w:hAnsi="Times New Roman" w:cs="Times New Roman"/>
          <w:noProof/>
          <w:kern w:val="0"/>
          <w:sz w:val="24"/>
          <w:szCs w:val="24"/>
        </w:rPr>
        <w:lastRenderedPageBreak/>
        <w:t>https://www.hukumonline.com/klinik/a/kekuatan-pembuktian-pengakuan-terdakwa-di-persidangan-lt52e015b3902e6/.</w:t>
      </w:r>
    </w:p>
    <w:p w14:paraId="7DE1CD82"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Wahbah Az-Zuhaili. </w:t>
      </w:r>
      <w:r w:rsidRPr="00A20BEA">
        <w:rPr>
          <w:rFonts w:ascii="Times New Roman" w:hAnsi="Times New Roman" w:cs="Times New Roman"/>
          <w:i/>
          <w:iCs/>
          <w:noProof/>
          <w:kern w:val="0"/>
          <w:sz w:val="24"/>
          <w:szCs w:val="24"/>
        </w:rPr>
        <w:t>Fiqih Islam Wa Adillatuhu Jilid 8</w:t>
      </w:r>
      <w:r w:rsidRPr="00A20BEA">
        <w:rPr>
          <w:rFonts w:ascii="Times New Roman" w:hAnsi="Times New Roman" w:cs="Times New Roman"/>
          <w:noProof/>
          <w:kern w:val="0"/>
          <w:sz w:val="24"/>
          <w:szCs w:val="24"/>
        </w:rPr>
        <w:t>. Jakarta: Gema Insani Press, 2011.</w:t>
      </w:r>
    </w:p>
    <w:p w14:paraId="5A95FDDE"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Wijaya, Gede Pradana Arta, Dewa Gede Sudika Mangku, and Made Sugi Hartono. “Pemeriksaan Saksi Korban Dalam Proses Persidangan Berdasarkan Pasal 160 Ayat 1 Huruf B KUHAP (Studi Kasus Putusan Pengadilan Negeri Singaraja Dalam Perkara Nomor 95/Pid.Sus/2020/PN.Sgr).” </w:t>
      </w:r>
      <w:r w:rsidRPr="00A20BEA">
        <w:rPr>
          <w:rFonts w:ascii="Times New Roman" w:hAnsi="Times New Roman" w:cs="Times New Roman"/>
          <w:i/>
          <w:iCs/>
          <w:noProof/>
          <w:kern w:val="0"/>
          <w:sz w:val="24"/>
          <w:szCs w:val="24"/>
        </w:rPr>
        <w:t>e-Journal Komunikasi Yustisia Universitas Pendidikan Ganesha Program Studi Ilmu Hukum</w:t>
      </w:r>
      <w:r w:rsidRPr="00A20BEA">
        <w:rPr>
          <w:rFonts w:ascii="Times New Roman" w:hAnsi="Times New Roman" w:cs="Times New Roman"/>
          <w:noProof/>
          <w:kern w:val="0"/>
          <w:sz w:val="24"/>
          <w:szCs w:val="24"/>
        </w:rPr>
        <w:t xml:space="preserve"> Volume 5 N (2022): 11.</w:t>
      </w:r>
    </w:p>
    <w:p w14:paraId="4739216A"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Willa Wahyuni. “Keterangan Saksi Sebagai Alat Bukti.” </w:t>
      </w:r>
      <w:r w:rsidRPr="00A20BEA">
        <w:rPr>
          <w:rFonts w:ascii="Times New Roman" w:hAnsi="Times New Roman" w:cs="Times New Roman"/>
          <w:i/>
          <w:iCs/>
          <w:noProof/>
          <w:kern w:val="0"/>
          <w:sz w:val="24"/>
          <w:szCs w:val="24"/>
        </w:rPr>
        <w:t>Hukum Online.Com</w:t>
      </w:r>
      <w:r w:rsidRPr="00A20BEA">
        <w:rPr>
          <w:rFonts w:ascii="Times New Roman" w:hAnsi="Times New Roman" w:cs="Times New Roman"/>
          <w:noProof/>
          <w:kern w:val="0"/>
          <w:sz w:val="24"/>
          <w:szCs w:val="24"/>
        </w:rPr>
        <w:t>. Last modified 2022. Accessed May 22, 2024. https://www.hukumonline.com/berita/a/keterangan-saksi-sebagai-alat-bukti-lt6357b0c181f39/.</w:t>
      </w:r>
    </w:p>
    <w:p w14:paraId="75C3AB55"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 “Pembuktian Alat Bukti Dalam Perkara Pidana Dan Perdata.” </w:t>
      </w:r>
      <w:r w:rsidRPr="00A20BEA">
        <w:rPr>
          <w:rFonts w:ascii="Times New Roman" w:hAnsi="Times New Roman" w:cs="Times New Roman"/>
          <w:i/>
          <w:iCs/>
          <w:noProof/>
          <w:kern w:val="0"/>
          <w:sz w:val="24"/>
          <w:szCs w:val="24"/>
        </w:rPr>
        <w:t>Hukum Online.Com</w:t>
      </w:r>
      <w:r w:rsidRPr="00A20BEA">
        <w:rPr>
          <w:rFonts w:ascii="Times New Roman" w:hAnsi="Times New Roman" w:cs="Times New Roman"/>
          <w:noProof/>
          <w:kern w:val="0"/>
          <w:sz w:val="24"/>
          <w:szCs w:val="24"/>
        </w:rPr>
        <w:t>. Last modified 2022. Accessed May 22, 2024. https://www.hukumonline.com/berita/a/pembuktian-alat-bukti-dalam-perkara-pidana-dan-perdata-lt62d51f4edb81b/.</w:t>
      </w:r>
    </w:p>
    <w:p w14:paraId="6E90D52F"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t xml:space="preserve">Zakaria, Chepi Ali Firman, Ade Mahmud, and Aji Mulyana. “Perlindungan Hukum Terhadap Anak Korban Pelecehan Seksual Dalam Perspektif Keadilan Restoratif Legal Protection For Child Victims Of Sexual Assault In A Restorative Justice Perspective.” </w:t>
      </w:r>
      <w:r w:rsidRPr="00A20BEA">
        <w:rPr>
          <w:rFonts w:ascii="Times New Roman" w:hAnsi="Times New Roman" w:cs="Times New Roman"/>
          <w:i/>
          <w:iCs/>
          <w:noProof/>
          <w:kern w:val="0"/>
          <w:sz w:val="24"/>
          <w:szCs w:val="24"/>
        </w:rPr>
        <w:t>Jurnal Penelitian Hukum De Jure</w:t>
      </w:r>
      <w:r w:rsidRPr="00A20BEA">
        <w:rPr>
          <w:rFonts w:ascii="Times New Roman" w:hAnsi="Times New Roman" w:cs="Times New Roman"/>
          <w:noProof/>
          <w:kern w:val="0"/>
          <w:sz w:val="24"/>
          <w:szCs w:val="24"/>
        </w:rPr>
        <w:t xml:space="preserve"> Vol.23, No (2023): 12.</w:t>
      </w:r>
    </w:p>
    <w:p w14:paraId="454F6F46"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20BEA">
        <w:rPr>
          <w:rFonts w:ascii="Times New Roman" w:hAnsi="Times New Roman" w:cs="Times New Roman"/>
          <w:noProof/>
          <w:kern w:val="0"/>
          <w:sz w:val="24"/>
          <w:szCs w:val="24"/>
        </w:rPr>
        <w:lastRenderedPageBreak/>
        <w:t xml:space="preserve">Zuchri Abdussamad. </w:t>
      </w:r>
      <w:r w:rsidRPr="00A20BEA">
        <w:rPr>
          <w:rFonts w:ascii="Times New Roman" w:hAnsi="Times New Roman" w:cs="Times New Roman"/>
          <w:i/>
          <w:iCs/>
          <w:noProof/>
          <w:kern w:val="0"/>
          <w:sz w:val="24"/>
          <w:szCs w:val="24"/>
        </w:rPr>
        <w:t>Metode Penelitian Kualitatif</w:t>
      </w:r>
      <w:r w:rsidRPr="00A20BEA">
        <w:rPr>
          <w:rFonts w:ascii="Times New Roman" w:hAnsi="Times New Roman" w:cs="Times New Roman"/>
          <w:noProof/>
          <w:kern w:val="0"/>
          <w:sz w:val="24"/>
          <w:szCs w:val="24"/>
        </w:rPr>
        <w:t>. Cet 1. Makassar: CV. Syakir Media Press, 2021.</w:t>
      </w:r>
    </w:p>
    <w:p w14:paraId="136CAC5F" w14:textId="77777777" w:rsidR="00A20BEA" w:rsidRPr="00A20BEA" w:rsidRDefault="00A20BEA" w:rsidP="00127BD6">
      <w:pPr>
        <w:widowControl w:val="0"/>
        <w:autoSpaceDE w:val="0"/>
        <w:autoSpaceDN w:val="0"/>
        <w:adjustRightInd w:val="0"/>
        <w:spacing w:line="240" w:lineRule="auto"/>
        <w:ind w:left="480" w:hanging="480"/>
        <w:jc w:val="both"/>
        <w:rPr>
          <w:rFonts w:ascii="Times New Roman" w:hAnsi="Times New Roman" w:cs="Times New Roman"/>
          <w:noProof/>
          <w:sz w:val="24"/>
        </w:rPr>
      </w:pPr>
      <w:r w:rsidRPr="00A20BEA">
        <w:rPr>
          <w:rFonts w:ascii="Times New Roman" w:hAnsi="Times New Roman" w:cs="Times New Roman"/>
          <w:noProof/>
          <w:kern w:val="0"/>
          <w:sz w:val="24"/>
          <w:szCs w:val="24"/>
        </w:rPr>
        <w:t xml:space="preserve">Zulkarnain Lubis, Bakti Ritonga. </w:t>
      </w:r>
      <w:r w:rsidRPr="00A20BEA">
        <w:rPr>
          <w:rFonts w:ascii="Times New Roman" w:hAnsi="Times New Roman" w:cs="Times New Roman"/>
          <w:i/>
          <w:iCs/>
          <w:noProof/>
          <w:kern w:val="0"/>
          <w:sz w:val="24"/>
          <w:szCs w:val="24"/>
        </w:rPr>
        <w:t>Dasar Dasar Hukum Acara Jinayat</w:t>
      </w:r>
      <w:r w:rsidRPr="00A20BEA">
        <w:rPr>
          <w:rFonts w:ascii="Times New Roman" w:hAnsi="Times New Roman" w:cs="Times New Roman"/>
          <w:noProof/>
          <w:kern w:val="0"/>
          <w:sz w:val="24"/>
          <w:szCs w:val="24"/>
        </w:rPr>
        <w:t>. Edited by Rendy. Cet 1. Jakarta: Kencana Prenada Media Group, 2016.</w:t>
      </w:r>
    </w:p>
    <w:p w14:paraId="5742567F" w14:textId="0B8A3CA1" w:rsidR="008D372B" w:rsidRPr="00FF60E6" w:rsidRDefault="00A20BEA" w:rsidP="00127BD6">
      <w:pPr>
        <w:spacing w:line="240" w:lineRule="auto"/>
        <w:jc w:val="both"/>
        <w:rPr>
          <w:rFonts w:asciiTheme="majorBidi" w:hAnsiTheme="majorBidi" w:cstheme="majorBidi"/>
          <w:sz w:val="24"/>
          <w:szCs w:val="24"/>
        </w:rPr>
      </w:pPr>
      <w:r>
        <w:rPr>
          <w:rFonts w:asciiTheme="majorBidi" w:hAnsiTheme="majorBidi" w:cstheme="majorBidi"/>
          <w:sz w:val="24"/>
          <w:szCs w:val="24"/>
        </w:rPr>
        <w:fldChar w:fldCharType="end"/>
      </w:r>
    </w:p>
    <w:p w14:paraId="26FD36C1" w14:textId="77777777" w:rsidR="008D372B" w:rsidRDefault="008D372B">
      <w:pPr>
        <w:rPr>
          <w:rFonts w:asciiTheme="majorBidi" w:hAnsiTheme="majorBidi" w:cstheme="majorBidi"/>
          <w:b/>
          <w:bCs/>
          <w:sz w:val="24"/>
          <w:szCs w:val="24"/>
          <w:lang w:val="en-US"/>
        </w:rPr>
      </w:pPr>
      <w:r>
        <w:br w:type="page"/>
      </w:r>
    </w:p>
    <w:p w14:paraId="5B2A642D" w14:textId="0E1CFB9A" w:rsidR="008D372B" w:rsidRDefault="008D372B" w:rsidP="005C65A0">
      <w:pPr>
        <w:pStyle w:val="Heading1"/>
      </w:pPr>
      <w:bookmarkStart w:id="44" w:name="_Toc185961358"/>
      <w:r w:rsidRPr="005B5473">
        <w:lastRenderedPageBreak/>
        <w:t>LAMPIRAN</w:t>
      </w:r>
      <w:r>
        <w:t>-LAMPIRAN</w:t>
      </w:r>
      <w:bookmarkEnd w:id="44"/>
    </w:p>
    <w:p w14:paraId="0451F8EE" w14:textId="77777777" w:rsidR="008D372B" w:rsidRPr="00F436DE" w:rsidRDefault="008D372B" w:rsidP="00F436DE">
      <w:pPr>
        <w:pStyle w:val="ListParagraph"/>
        <w:numPr>
          <w:ilvl w:val="0"/>
          <w:numId w:val="89"/>
        </w:numPr>
        <w:rPr>
          <w:rFonts w:asciiTheme="majorBidi" w:hAnsiTheme="majorBidi" w:cstheme="majorBidi"/>
          <w:b/>
          <w:bCs/>
          <w:sz w:val="24"/>
          <w:szCs w:val="24"/>
        </w:rPr>
      </w:pPr>
      <w:r w:rsidRPr="00267A02">
        <w:rPr>
          <w:rFonts w:asciiTheme="majorBidi" w:hAnsiTheme="majorBidi" w:cstheme="majorBidi"/>
          <w:b/>
          <w:bCs/>
          <w:sz w:val="24"/>
          <w:szCs w:val="24"/>
          <w:lang w:val="en-US"/>
        </w:rPr>
        <w:t>Putusan Mahkamah Syariah Takengon Nomor 9/Jn/2023/Ms.Tkn</w:t>
      </w:r>
    </w:p>
    <w:p w14:paraId="77B4BBA2" w14:textId="4AFD6004" w:rsidR="00A660D8" w:rsidRPr="00F40690" w:rsidRDefault="008D372B" w:rsidP="00F40690">
      <w:pPr>
        <w:pStyle w:val="ListParagraph"/>
        <w:rPr>
          <w:rFonts w:asciiTheme="majorBidi" w:hAnsiTheme="majorBidi" w:cstheme="majorBidi"/>
          <w:b/>
          <w:bCs/>
          <w:sz w:val="24"/>
          <w:szCs w:val="24"/>
          <w:lang w:val="en-US"/>
        </w:rPr>
      </w:pPr>
      <w:r>
        <w:rPr>
          <w:rFonts w:asciiTheme="majorBidi" w:hAnsiTheme="majorBidi" w:cstheme="majorBidi"/>
          <w:b/>
          <w:bCs/>
          <w:noProof/>
          <w:sz w:val="24"/>
          <w:szCs w:val="24"/>
          <w:lang w:val="en-US"/>
        </w:rPr>
        <w:drawing>
          <wp:inline distT="0" distB="0" distL="0" distR="0" wp14:anchorId="2E8DBB35" wp14:editId="7BAD0BC6">
            <wp:extent cx="3707765" cy="5237480"/>
            <wp:effectExtent l="0" t="0" r="6985" b="1270"/>
            <wp:docPr id="509675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675037" name="Picture 50967503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07765" cy="5237480"/>
                    </a:xfrm>
                    <a:prstGeom prst="rect">
                      <a:avLst/>
                    </a:prstGeom>
                  </pic:spPr>
                </pic:pic>
              </a:graphicData>
            </a:graphic>
          </wp:inline>
        </w:drawing>
      </w:r>
    </w:p>
    <w:p w14:paraId="220C769E" w14:textId="0C2F5001" w:rsidR="008D372B" w:rsidRPr="00184568" w:rsidRDefault="008D372B" w:rsidP="00184568">
      <w:pPr>
        <w:pStyle w:val="ListParagraph"/>
        <w:rPr>
          <w:rFonts w:asciiTheme="majorBidi" w:hAnsiTheme="majorBidi" w:cstheme="majorBidi"/>
          <w:b/>
          <w:bCs/>
          <w:noProof/>
          <w:sz w:val="24"/>
          <w:szCs w:val="24"/>
        </w:rPr>
      </w:pPr>
      <w:r>
        <w:rPr>
          <w:rFonts w:asciiTheme="majorBidi" w:hAnsiTheme="majorBidi" w:cstheme="majorBidi"/>
          <w:b/>
          <w:bCs/>
          <w:noProof/>
          <w:sz w:val="24"/>
          <w:szCs w:val="24"/>
        </w:rPr>
        <w:lastRenderedPageBreak/>
        <w:drawing>
          <wp:inline distT="0" distB="0" distL="0" distR="0" wp14:anchorId="3D397AD7" wp14:editId="19D4F03B">
            <wp:extent cx="3707697" cy="5284177"/>
            <wp:effectExtent l="0" t="0" r="7620" b="5080"/>
            <wp:docPr id="133204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21989" name="Picture 20802198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07697" cy="5284177"/>
                    </a:xfrm>
                    <a:prstGeom prst="rect">
                      <a:avLst/>
                    </a:prstGeom>
                  </pic:spPr>
                </pic:pic>
              </a:graphicData>
            </a:graphic>
          </wp:inline>
        </w:drawing>
      </w:r>
      <w:r>
        <w:tab/>
      </w:r>
    </w:p>
    <w:p w14:paraId="532F4B89" w14:textId="77777777" w:rsidR="008D372B" w:rsidRPr="00845C60" w:rsidRDefault="008D372B" w:rsidP="00845C60">
      <w:pPr>
        <w:pStyle w:val="ListParagraph"/>
      </w:pPr>
      <w:r>
        <w:rPr>
          <w:rFonts w:asciiTheme="majorBidi" w:hAnsiTheme="majorBidi" w:cstheme="majorBidi"/>
          <w:b/>
          <w:bCs/>
          <w:noProof/>
          <w:sz w:val="24"/>
          <w:szCs w:val="24"/>
        </w:rPr>
        <w:lastRenderedPageBreak/>
        <w:drawing>
          <wp:inline distT="0" distB="0" distL="0" distR="0" wp14:anchorId="308E6081" wp14:editId="5EDE8659">
            <wp:extent cx="3707765" cy="5237480"/>
            <wp:effectExtent l="0" t="0" r="6985" b="1270"/>
            <wp:docPr id="5997523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752326" name="Picture 5997523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07765" cy="5237480"/>
                    </a:xfrm>
                    <a:prstGeom prst="rect">
                      <a:avLst/>
                    </a:prstGeom>
                  </pic:spPr>
                </pic:pic>
              </a:graphicData>
            </a:graphic>
          </wp:inline>
        </w:drawing>
      </w:r>
    </w:p>
    <w:p w14:paraId="5871B331" w14:textId="77777777" w:rsidR="008D372B" w:rsidRDefault="008D372B" w:rsidP="00AF4F5B">
      <w:pPr>
        <w:pStyle w:val="ListParagraph"/>
        <w:rPr>
          <w:rFonts w:asciiTheme="majorBidi" w:hAnsiTheme="majorBidi" w:cstheme="majorBidi"/>
          <w:b/>
          <w:bCs/>
          <w:sz w:val="24"/>
          <w:szCs w:val="24"/>
        </w:rPr>
      </w:pPr>
      <w:r>
        <w:rPr>
          <w:rFonts w:asciiTheme="majorBidi" w:hAnsiTheme="majorBidi" w:cstheme="majorBidi"/>
          <w:b/>
          <w:bCs/>
          <w:noProof/>
          <w:sz w:val="24"/>
          <w:szCs w:val="24"/>
        </w:rPr>
        <w:lastRenderedPageBreak/>
        <w:drawing>
          <wp:inline distT="0" distB="0" distL="0" distR="0" wp14:anchorId="16A4001B" wp14:editId="412FB925">
            <wp:extent cx="3707765" cy="5237480"/>
            <wp:effectExtent l="0" t="0" r="6985" b="1270"/>
            <wp:docPr id="17692061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206186" name="Picture 176920618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07765" cy="5237480"/>
                    </a:xfrm>
                    <a:prstGeom prst="rect">
                      <a:avLst/>
                    </a:prstGeom>
                  </pic:spPr>
                </pic:pic>
              </a:graphicData>
            </a:graphic>
          </wp:inline>
        </w:drawing>
      </w:r>
    </w:p>
    <w:p w14:paraId="1CF43246" w14:textId="77777777" w:rsidR="008D372B" w:rsidRDefault="008D372B" w:rsidP="00AF4F5B">
      <w:pPr>
        <w:pStyle w:val="ListParagraph"/>
        <w:rPr>
          <w:rFonts w:asciiTheme="majorBidi" w:hAnsiTheme="majorBidi" w:cstheme="majorBidi"/>
          <w:b/>
          <w:bCs/>
          <w:sz w:val="24"/>
          <w:szCs w:val="24"/>
        </w:rPr>
      </w:pPr>
    </w:p>
    <w:p w14:paraId="5F39683E" w14:textId="77777777" w:rsidR="008D372B" w:rsidRDefault="008D372B" w:rsidP="00AF4F5B">
      <w:pPr>
        <w:pStyle w:val="ListParagraph"/>
        <w:rPr>
          <w:rFonts w:asciiTheme="majorBidi" w:hAnsiTheme="majorBidi" w:cstheme="majorBidi"/>
          <w:b/>
          <w:bCs/>
          <w:sz w:val="24"/>
          <w:szCs w:val="24"/>
        </w:rPr>
      </w:pPr>
    </w:p>
    <w:p w14:paraId="3860F0EF" w14:textId="77777777" w:rsidR="008D372B" w:rsidRPr="00F436DE" w:rsidRDefault="008D372B" w:rsidP="00F436DE">
      <w:pPr>
        <w:pStyle w:val="ListParagraph"/>
        <w:rPr>
          <w:rFonts w:asciiTheme="majorBidi" w:hAnsiTheme="majorBidi" w:cstheme="majorBidi"/>
          <w:b/>
          <w:bCs/>
          <w:sz w:val="24"/>
          <w:szCs w:val="24"/>
        </w:rPr>
      </w:pPr>
      <w:r>
        <w:rPr>
          <w:rFonts w:asciiTheme="majorBidi" w:hAnsiTheme="majorBidi" w:cstheme="majorBidi"/>
          <w:b/>
          <w:bCs/>
          <w:noProof/>
          <w:sz w:val="24"/>
          <w:szCs w:val="24"/>
        </w:rPr>
        <w:lastRenderedPageBreak/>
        <w:drawing>
          <wp:inline distT="0" distB="0" distL="0" distR="0" wp14:anchorId="45F7F474" wp14:editId="16FB4917">
            <wp:extent cx="3707765" cy="5237480"/>
            <wp:effectExtent l="0" t="0" r="6985" b="1270"/>
            <wp:docPr id="1122825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243046" name="Picture 15782430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07765" cy="5237480"/>
                    </a:xfrm>
                    <a:prstGeom prst="rect">
                      <a:avLst/>
                    </a:prstGeom>
                  </pic:spPr>
                </pic:pic>
              </a:graphicData>
            </a:graphic>
          </wp:inline>
        </w:drawing>
      </w:r>
    </w:p>
    <w:p w14:paraId="7A07D591" w14:textId="77777777" w:rsidR="008D372B" w:rsidRPr="00AF4F5B" w:rsidRDefault="008D372B" w:rsidP="00AF4F5B">
      <w:pPr>
        <w:pStyle w:val="ListParagraph"/>
        <w:rPr>
          <w:rFonts w:asciiTheme="majorBidi" w:hAnsiTheme="majorBidi" w:cstheme="majorBidi"/>
          <w:b/>
          <w:bCs/>
          <w:sz w:val="24"/>
          <w:szCs w:val="24"/>
        </w:rPr>
      </w:pPr>
      <w:r>
        <w:rPr>
          <w:rFonts w:asciiTheme="majorBidi" w:hAnsiTheme="majorBidi" w:cstheme="majorBidi"/>
          <w:b/>
          <w:bCs/>
          <w:noProof/>
          <w:sz w:val="24"/>
          <w:szCs w:val="24"/>
        </w:rPr>
        <w:lastRenderedPageBreak/>
        <w:drawing>
          <wp:inline distT="0" distB="0" distL="0" distR="0" wp14:anchorId="7AD40819" wp14:editId="59BF3258">
            <wp:extent cx="3707765" cy="5237480"/>
            <wp:effectExtent l="0" t="0" r="6985" b="1270"/>
            <wp:docPr id="16066721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672108" name="Picture 160667210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07765" cy="5237480"/>
                    </a:xfrm>
                    <a:prstGeom prst="rect">
                      <a:avLst/>
                    </a:prstGeom>
                  </pic:spPr>
                </pic:pic>
              </a:graphicData>
            </a:graphic>
          </wp:inline>
        </w:drawing>
      </w:r>
      <w:r>
        <w:rPr>
          <w:rFonts w:asciiTheme="majorBidi" w:hAnsiTheme="majorBidi" w:cstheme="majorBidi"/>
          <w:b/>
          <w:bCs/>
          <w:noProof/>
          <w:sz w:val="24"/>
          <w:szCs w:val="24"/>
        </w:rPr>
        <w:lastRenderedPageBreak/>
        <w:drawing>
          <wp:inline distT="0" distB="0" distL="0" distR="0" wp14:anchorId="5BD5D0B3" wp14:editId="0ED9EF54">
            <wp:extent cx="3707765" cy="5237480"/>
            <wp:effectExtent l="0" t="0" r="6985" b="1270"/>
            <wp:docPr id="6294384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310854" name="Picture 78531085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07765" cy="5237480"/>
                    </a:xfrm>
                    <a:prstGeom prst="rect">
                      <a:avLst/>
                    </a:prstGeom>
                  </pic:spPr>
                </pic:pic>
              </a:graphicData>
            </a:graphic>
          </wp:inline>
        </w:drawing>
      </w:r>
      <w:r>
        <w:rPr>
          <w:rFonts w:asciiTheme="majorBidi" w:hAnsiTheme="majorBidi" w:cstheme="majorBidi"/>
          <w:b/>
          <w:bCs/>
          <w:noProof/>
          <w:sz w:val="24"/>
          <w:szCs w:val="24"/>
        </w:rPr>
        <w:lastRenderedPageBreak/>
        <w:drawing>
          <wp:inline distT="0" distB="0" distL="0" distR="0" wp14:anchorId="05081A5D" wp14:editId="135A6B7A">
            <wp:extent cx="3707765" cy="5237480"/>
            <wp:effectExtent l="0" t="0" r="6985" b="1270"/>
            <wp:docPr id="19269402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940234" name="Picture 192694023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07765" cy="5237480"/>
                    </a:xfrm>
                    <a:prstGeom prst="rect">
                      <a:avLst/>
                    </a:prstGeom>
                  </pic:spPr>
                </pic:pic>
              </a:graphicData>
            </a:graphic>
          </wp:inline>
        </w:drawing>
      </w:r>
      <w:r>
        <w:rPr>
          <w:rFonts w:asciiTheme="majorBidi" w:hAnsiTheme="majorBidi" w:cstheme="majorBidi"/>
          <w:b/>
          <w:bCs/>
          <w:noProof/>
          <w:sz w:val="24"/>
          <w:szCs w:val="24"/>
        </w:rPr>
        <w:lastRenderedPageBreak/>
        <w:drawing>
          <wp:inline distT="0" distB="0" distL="0" distR="0" wp14:anchorId="3B56AA97" wp14:editId="3A16AF93">
            <wp:extent cx="3707765" cy="5237480"/>
            <wp:effectExtent l="0" t="0" r="6985" b="1270"/>
            <wp:docPr id="16946533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653314" name="Picture 169465331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07765" cy="5237480"/>
                    </a:xfrm>
                    <a:prstGeom prst="rect">
                      <a:avLst/>
                    </a:prstGeom>
                  </pic:spPr>
                </pic:pic>
              </a:graphicData>
            </a:graphic>
          </wp:inline>
        </w:drawing>
      </w:r>
      <w:r>
        <w:rPr>
          <w:rFonts w:asciiTheme="majorBidi" w:hAnsiTheme="majorBidi" w:cstheme="majorBidi"/>
          <w:b/>
          <w:bCs/>
          <w:noProof/>
          <w:sz w:val="24"/>
          <w:szCs w:val="24"/>
        </w:rPr>
        <w:lastRenderedPageBreak/>
        <w:drawing>
          <wp:inline distT="0" distB="0" distL="0" distR="0" wp14:anchorId="253E189F" wp14:editId="66D95174">
            <wp:extent cx="3707765" cy="5237480"/>
            <wp:effectExtent l="0" t="0" r="6985" b="1270"/>
            <wp:docPr id="10241820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82052" name="Picture 102418205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07765" cy="5237480"/>
                    </a:xfrm>
                    <a:prstGeom prst="rect">
                      <a:avLst/>
                    </a:prstGeom>
                  </pic:spPr>
                </pic:pic>
              </a:graphicData>
            </a:graphic>
          </wp:inline>
        </w:drawing>
      </w:r>
    </w:p>
    <w:p w14:paraId="1999063A" w14:textId="77777777" w:rsidR="008D372B" w:rsidRPr="00845C60" w:rsidRDefault="008D372B" w:rsidP="00845C60">
      <w:pPr>
        <w:pStyle w:val="ListParagraph"/>
        <w:rPr>
          <w:rFonts w:asciiTheme="majorBidi" w:hAnsiTheme="majorBidi" w:cstheme="majorBidi"/>
          <w:b/>
          <w:bCs/>
          <w:sz w:val="24"/>
          <w:szCs w:val="24"/>
        </w:rPr>
      </w:pPr>
    </w:p>
    <w:p w14:paraId="1E909DF0" w14:textId="77777777" w:rsidR="008D372B" w:rsidRDefault="008D372B" w:rsidP="00D13A90">
      <w:pPr>
        <w:pStyle w:val="ListParagraph"/>
        <w:rPr>
          <w:rFonts w:asciiTheme="majorBidi" w:hAnsiTheme="majorBidi" w:cstheme="majorBidi"/>
          <w:b/>
          <w:bCs/>
          <w:sz w:val="24"/>
          <w:szCs w:val="24"/>
        </w:rPr>
      </w:pPr>
      <w:r>
        <w:rPr>
          <w:rFonts w:asciiTheme="majorBidi" w:hAnsiTheme="majorBidi" w:cstheme="majorBidi"/>
          <w:b/>
          <w:bCs/>
          <w:sz w:val="24"/>
          <w:szCs w:val="24"/>
        </w:rPr>
        <w:br w:type="page"/>
      </w:r>
    </w:p>
    <w:p w14:paraId="2D07C2E0" w14:textId="77777777" w:rsidR="008D372B" w:rsidRPr="00442ED1" w:rsidRDefault="008D372B" w:rsidP="00003B0D">
      <w:pPr>
        <w:pStyle w:val="ListParagraph"/>
        <w:rPr>
          <w:rFonts w:asciiTheme="majorBidi" w:hAnsiTheme="majorBidi" w:cstheme="majorBidi"/>
          <w:b/>
          <w:bCs/>
          <w:sz w:val="24"/>
          <w:szCs w:val="24"/>
        </w:rPr>
      </w:pPr>
    </w:p>
    <w:p w14:paraId="1DCBD82E" w14:textId="77777777" w:rsidR="008D372B" w:rsidRPr="00442ED1" w:rsidRDefault="008D372B" w:rsidP="00442ED1">
      <w:pPr>
        <w:pStyle w:val="Heading1"/>
        <w:rPr>
          <w:rStyle w:val="Heading1Char"/>
          <w:b/>
          <w:bCs/>
        </w:rPr>
      </w:pPr>
      <w:bookmarkStart w:id="45" w:name="_Toc185961359"/>
      <w:r w:rsidRPr="00442ED1">
        <w:rPr>
          <w:rStyle w:val="Heading1Char"/>
          <w:b/>
          <w:bCs/>
        </w:rPr>
        <w:t>DAFTAR RIWAYAT HIDUP</w:t>
      </w:r>
      <w:bookmarkEnd w:id="45"/>
    </w:p>
    <w:p w14:paraId="30311728" w14:textId="77777777" w:rsidR="008D372B" w:rsidRPr="00442ED1" w:rsidRDefault="008D372B" w:rsidP="00442ED1">
      <w:pPr>
        <w:pStyle w:val="ListParagraph"/>
        <w:jc w:val="center"/>
        <w:rPr>
          <w:rStyle w:val="Heading1Char"/>
        </w:rPr>
      </w:pPr>
    </w:p>
    <w:tbl>
      <w:tblPr>
        <w:tblStyle w:val="TableGrid"/>
        <w:tblW w:w="5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6"/>
        <w:gridCol w:w="2805"/>
      </w:tblGrid>
      <w:tr w:rsidR="008D372B" w:rsidRPr="00DF7BC1" w14:paraId="4DB16435" w14:textId="77777777" w:rsidTr="008E071E">
        <w:trPr>
          <w:trHeight w:val="322"/>
        </w:trPr>
        <w:tc>
          <w:tcPr>
            <w:tcW w:w="3066" w:type="dxa"/>
          </w:tcPr>
          <w:p w14:paraId="66522714" w14:textId="77777777" w:rsidR="008D372B" w:rsidRPr="00DF7BC1" w:rsidRDefault="008D372B" w:rsidP="00DF7BC1">
            <w:pPr>
              <w:pStyle w:val="ListParagraph"/>
              <w:numPr>
                <w:ilvl w:val="0"/>
                <w:numId w:val="90"/>
              </w:numPr>
              <w:rPr>
                <w:rFonts w:asciiTheme="majorBidi" w:hAnsiTheme="majorBidi" w:cstheme="majorBidi"/>
                <w:b/>
                <w:bCs/>
                <w:lang w:val="en-US"/>
              </w:rPr>
            </w:pPr>
            <w:r w:rsidRPr="00DF7BC1">
              <w:rPr>
                <w:rFonts w:asciiTheme="majorBidi" w:hAnsiTheme="majorBidi" w:cstheme="majorBidi"/>
                <w:b/>
                <w:bCs/>
                <w:lang w:val="en-US"/>
              </w:rPr>
              <w:t xml:space="preserve">Data Pribadi </w:t>
            </w:r>
          </w:p>
          <w:p w14:paraId="78B22A64" w14:textId="77777777" w:rsidR="008D372B" w:rsidRPr="00DF7BC1" w:rsidRDefault="008D372B" w:rsidP="00DF7BC1">
            <w:pPr>
              <w:pStyle w:val="ListParagraph"/>
              <w:rPr>
                <w:rFonts w:asciiTheme="majorBidi" w:hAnsiTheme="majorBidi" w:cstheme="majorBidi"/>
                <w:lang w:val="en-US"/>
              </w:rPr>
            </w:pPr>
            <w:r w:rsidRPr="00DF7BC1">
              <w:rPr>
                <w:rFonts w:asciiTheme="majorBidi" w:hAnsiTheme="majorBidi" w:cstheme="majorBidi"/>
                <w:lang w:val="en-US"/>
              </w:rPr>
              <w:t xml:space="preserve">Nama </w:t>
            </w:r>
          </w:p>
          <w:p w14:paraId="66112F65" w14:textId="5FE4C2BE" w:rsidR="008D372B" w:rsidRPr="00DF7BC1" w:rsidRDefault="008D372B" w:rsidP="00DF7BC1">
            <w:pPr>
              <w:pStyle w:val="ListParagraph"/>
              <w:rPr>
                <w:rFonts w:asciiTheme="majorBidi" w:hAnsiTheme="majorBidi" w:cstheme="majorBidi"/>
                <w:lang w:val="en-US"/>
              </w:rPr>
            </w:pPr>
            <w:r w:rsidRPr="00DF7BC1">
              <w:rPr>
                <w:rFonts w:asciiTheme="majorBidi" w:hAnsiTheme="majorBidi" w:cstheme="majorBidi"/>
                <w:lang w:val="en-US"/>
              </w:rPr>
              <w:t>Tempat Tangga</w:t>
            </w:r>
            <w:r w:rsidR="00CB2ADD">
              <w:rPr>
                <w:rFonts w:asciiTheme="majorBidi" w:hAnsiTheme="majorBidi" w:cstheme="majorBidi"/>
                <w:lang w:val="en-US"/>
              </w:rPr>
              <w:t>l</w:t>
            </w:r>
            <w:r w:rsidRPr="00DF7BC1">
              <w:rPr>
                <w:rFonts w:asciiTheme="majorBidi" w:hAnsiTheme="majorBidi" w:cstheme="majorBidi"/>
                <w:lang w:val="en-US"/>
              </w:rPr>
              <w:t xml:space="preserve"> Lahir </w:t>
            </w:r>
          </w:p>
          <w:p w14:paraId="3C541347" w14:textId="77777777" w:rsidR="008D372B" w:rsidRPr="00DF7BC1" w:rsidRDefault="008D372B" w:rsidP="00DF7BC1">
            <w:pPr>
              <w:pStyle w:val="ListParagraph"/>
              <w:rPr>
                <w:rFonts w:asciiTheme="majorBidi" w:hAnsiTheme="majorBidi" w:cstheme="majorBidi"/>
                <w:lang w:val="en-US"/>
              </w:rPr>
            </w:pPr>
            <w:r w:rsidRPr="00DF7BC1">
              <w:rPr>
                <w:rFonts w:asciiTheme="majorBidi" w:hAnsiTheme="majorBidi" w:cstheme="majorBidi"/>
                <w:lang w:val="en-US"/>
              </w:rPr>
              <w:t xml:space="preserve">Jenis Kelamin </w:t>
            </w:r>
          </w:p>
          <w:p w14:paraId="00745F9E" w14:textId="77777777" w:rsidR="008D372B" w:rsidRPr="00DF7BC1" w:rsidRDefault="008D372B" w:rsidP="00DF7BC1">
            <w:pPr>
              <w:pStyle w:val="ListParagraph"/>
              <w:rPr>
                <w:rFonts w:asciiTheme="majorBidi" w:hAnsiTheme="majorBidi" w:cstheme="majorBidi"/>
                <w:lang w:val="en-US"/>
              </w:rPr>
            </w:pPr>
            <w:r w:rsidRPr="00DF7BC1">
              <w:rPr>
                <w:rFonts w:asciiTheme="majorBidi" w:hAnsiTheme="majorBidi" w:cstheme="majorBidi"/>
                <w:lang w:val="en-US"/>
              </w:rPr>
              <w:t xml:space="preserve">Agama </w:t>
            </w:r>
          </w:p>
          <w:p w14:paraId="0B84D531" w14:textId="77777777" w:rsidR="008D372B" w:rsidRPr="00DF7BC1" w:rsidRDefault="008D372B" w:rsidP="00DF7BC1">
            <w:pPr>
              <w:pStyle w:val="ListParagraph"/>
              <w:rPr>
                <w:rFonts w:asciiTheme="majorBidi" w:hAnsiTheme="majorBidi" w:cstheme="majorBidi"/>
                <w:lang w:val="en-US"/>
              </w:rPr>
            </w:pPr>
            <w:r w:rsidRPr="00DF7BC1">
              <w:rPr>
                <w:rFonts w:asciiTheme="majorBidi" w:hAnsiTheme="majorBidi" w:cstheme="majorBidi"/>
                <w:lang w:val="en-US"/>
              </w:rPr>
              <w:t xml:space="preserve">Status </w:t>
            </w:r>
          </w:p>
          <w:p w14:paraId="01F37366" w14:textId="77777777" w:rsidR="008D372B" w:rsidRPr="00DF7BC1" w:rsidRDefault="008D372B" w:rsidP="00DF7BC1">
            <w:pPr>
              <w:pStyle w:val="ListParagraph"/>
              <w:rPr>
                <w:rFonts w:asciiTheme="majorBidi" w:hAnsiTheme="majorBidi" w:cstheme="majorBidi"/>
                <w:lang w:val="en-US"/>
              </w:rPr>
            </w:pPr>
            <w:r w:rsidRPr="00DF7BC1">
              <w:rPr>
                <w:rFonts w:asciiTheme="majorBidi" w:hAnsiTheme="majorBidi" w:cstheme="majorBidi"/>
                <w:lang w:val="en-US"/>
              </w:rPr>
              <w:t xml:space="preserve">Alamat </w:t>
            </w:r>
          </w:p>
          <w:p w14:paraId="739ED0AD" w14:textId="77777777" w:rsidR="008D372B" w:rsidRDefault="008D372B" w:rsidP="00DF7BC1">
            <w:pPr>
              <w:pStyle w:val="ListParagraph"/>
              <w:rPr>
                <w:rFonts w:asciiTheme="majorBidi" w:hAnsiTheme="majorBidi" w:cstheme="majorBidi"/>
                <w:lang w:val="en-US"/>
              </w:rPr>
            </w:pPr>
          </w:p>
          <w:p w14:paraId="2EB88363" w14:textId="77777777" w:rsidR="008D372B" w:rsidRDefault="008D372B" w:rsidP="00DF7BC1">
            <w:pPr>
              <w:pStyle w:val="ListParagraph"/>
              <w:rPr>
                <w:rFonts w:asciiTheme="majorBidi" w:hAnsiTheme="majorBidi" w:cstheme="majorBidi"/>
                <w:lang w:val="en-US"/>
              </w:rPr>
            </w:pPr>
          </w:p>
          <w:p w14:paraId="77952994" w14:textId="77777777" w:rsidR="008D372B" w:rsidRPr="00DF7BC1" w:rsidRDefault="008D372B" w:rsidP="00DF7BC1">
            <w:pPr>
              <w:pStyle w:val="ListParagraph"/>
              <w:rPr>
                <w:rFonts w:asciiTheme="majorBidi" w:hAnsiTheme="majorBidi" w:cstheme="majorBidi"/>
                <w:lang w:val="en-US"/>
              </w:rPr>
            </w:pPr>
            <w:r w:rsidRPr="00DF7BC1">
              <w:rPr>
                <w:rFonts w:asciiTheme="majorBidi" w:hAnsiTheme="majorBidi" w:cstheme="majorBidi"/>
                <w:lang w:val="en-US"/>
              </w:rPr>
              <w:t>No. Telepon</w:t>
            </w:r>
          </w:p>
          <w:p w14:paraId="306910F2" w14:textId="77777777" w:rsidR="008D372B" w:rsidRPr="00DF7BC1" w:rsidRDefault="008D372B" w:rsidP="00DF7BC1">
            <w:pPr>
              <w:pStyle w:val="ListParagraph"/>
              <w:rPr>
                <w:rFonts w:asciiTheme="majorBidi" w:hAnsiTheme="majorBidi" w:cstheme="majorBidi"/>
                <w:lang w:val="en-US"/>
              </w:rPr>
            </w:pPr>
            <w:r w:rsidRPr="00DF7BC1">
              <w:rPr>
                <w:rFonts w:asciiTheme="majorBidi" w:hAnsiTheme="majorBidi" w:cstheme="majorBidi"/>
                <w:lang w:val="en-US"/>
              </w:rPr>
              <w:t xml:space="preserve">Email </w:t>
            </w:r>
          </w:p>
          <w:p w14:paraId="49BBE942" w14:textId="77777777" w:rsidR="008D372B" w:rsidRPr="00DF7BC1" w:rsidRDefault="008D372B" w:rsidP="00DF7BC1">
            <w:pPr>
              <w:pStyle w:val="ListParagraph"/>
              <w:rPr>
                <w:rFonts w:asciiTheme="majorBidi" w:hAnsiTheme="majorBidi" w:cstheme="majorBidi"/>
                <w:lang w:val="en-US"/>
              </w:rPr>
            </w:pPr>
            <w:r w:rsidRPr="00DF7BC1">
              <w:rPr>
                <w:rFonts w:asciiTheme="majorBidi" w:hAnsiTheme="majorBidi" w:cstheme="majorBidi"/>
                <w:lang w:val="en-US"/>
              </w:rPr>
              <w:t xml:space="preserve">Motto </w:t>
            </w:r>
          </w:p>
        </w:tc>
        <w:tc>
          <w:tcPr>
            <w:tcW w:w="2805" w:type="dxa"/>
          </w:tcPr>
          <w:p w14:paraId="48F05E8B" w14:textId="77777777" w:rsidR="008D372B" w:rsidRPr="00DF7BC1" w:rsidRDefault="008D372B" w:rsidP="00DF7BC1">
            <w:pPr>
              <w:rPr>
                <w:rFonts w:asciiTheme="majorBidi" w:hAnsiTheme="majorBidi" w:cstheme="majorBidi"/>
                <w:lang w:val="en-US"/>
              </w:rPr>
            </w:pPr>
          </w:p>
          <w:p w14:paraId="4867E4F8" w14:textId="77777777" w:rsidR="008D372B" w:rsidRPr="00DF7BC1" w:rsidRDefault="008D372B" w:rsidP="00DF7BC1">
            <w:pPr>
              <w:rPr>
                <w:rFonts w:asciiTheme="majorBidi" w:hAnsiTheme="majorBidi" w:cstheme="majorBidi"/>
                <w:lang w:val="en-US"/>
              </w:rPr>
            </w:pPr>
            <w:r w:rsidRPr="00DF7BC1">
              <w:rPr>
                <w:rFonts w:asciiTheme="majorBidi" w:hAnsiTheme="majorBidi" w:cstheme="majorBidi"/>
                <w:lang w:val="en-US"/>
              </w:rPr>
              <w:t>: Hamid Reza Asefi</w:t>
            </w:r>
          </w:p>
          <w:p w14:paraId="54C7DC34" w14:textId="77777777" w:rsidR="008D372B" w:rsidRPr="00DF7BC1" w:rsidRDefault="008D372B" w:rsidP="00DF7BC1">
            <w:pPr>
              <w:rPr>
                <w:rFonts w:asciiTheme="majorBidi" w:hAnsiTheme="majorBidi" w:cstheme="majorBidi"/>
                <w:lang w:val="en-US"/>
              </w:rPr>
            </w:pPr>
            <w:r w:rsidRPr="00DF7BC1">
              <w:rPr>
                <w:rFonts w:asciiTheme="majorBidi" w:hAnsiTheme="majorBidi" w:cstheme="majorBidi"/>
                <w:lang w:val="en-US"/>
              </w:rPr>
              <w:t>: Kendal, 29 Maret 2003</w:t>
            </w:r>
          </w:p>
          <w:p w14:paraId="12579621" w14:textId="77777777" w:rsidR="008D372B" w:rsidRPr="00DF7BC1" w:rsidRDefault="008D372B" w:rsidP="00DF7BC1">
            <w:pPr>
              <w:rPr>
                <w:rFonts w:asciiTheme="majorBidi" w:hAnsiTheme="majorBidi" w:cstheme="majorBidi"/>
                <w:lang w:val="en-US"/>
              </w:rPr>
            </w:pPr>
            <w:r w:rsidRPr="00DF7BC1">
              <w:rPr>
                <w:rFonts w:asciiTheme="majorBidi" w:hAnsiTheme="majorBidi" w:cstheme="majorBidi"/>
                <w:lang w:val="en-US"/>
              </w:rPr>
              <w:t>: Laki-Laki</w:t>
            </w:r>
          </w:p>
          <w:p w14:paraId="45271E4B" w14:textId="77777777" w:rsidR="008D372B" w:rsidRPr="00DF7BC1" w:rsidRDefault="008D372B" w:rsidP="00DF7BC1">
            <w:pPr>
              <w:rPr>
                <w:rFonts w:asciiTheme="majorBidi" w:hAnsiTheme="majorBidi" w:cstheme="majorBidi"/>
                <w:lang w:val="en-US"/>
              </w:rPr>
            </w:pPr>
            <w:r w:rsidRPr="00DF7BC1">
              <w:rPr>
                <w:rFonts w:asciiTheme="majorBidi" w:hAnsiTheme="majorBidi" w:cstheme="majorBidi"/>
                <w:lang w:val="en-US"/>
              </w:rPr>
              <w:t xml:space="preserve">: Islam </w:t>
            </w:r>
          </w:p>
          <w:p w14:paraId="08C206D4" w14:textId="77777777" w:rsidR="008D372B" w:rsidRPr="00DF7BC1" w:rsidRDefault="008D372B" w:rsidP="00DF7BC1">
            <w:pPr>
              <w:rPr>
                <w:rFonts w:asciiTheme="majorBidi" w:hAnsiTheme="majorBidi" w:cstheme="majorBidi"/>
                <w:lang w:val="en-US"/>
              </w:rPr>
            </w:pPr>
            <w:r w:rsidRPr="00DF7BC1">
              <w:rPr>
                <w:rFonts w:asciiTheme="majorBidi" w:hAnsiTheme="majorBidi" w:cstheme="majorBidi"/>
                <w:lang w:val="en-US"/>
              </w:rPr>
              <w:t>: Mahasiswa</w:t>
            </w:r>
          </w:p>
          <w:p w14:paraId="168CB5DB" w14:textId="77777777" w:rsidR="008D372B" w:rsidRPr="00DF7BC1" w:rsidRDefault="008D372B" w:rsidP="00DF7BC1">
            <w:pPr>
              <w:rPr>
                <w:rFonts w:asciiTheme="majorBidi" w:hAnsiTheme="majorBidi" w:cstheme="majorBidi"/>
                <w:lang w:val="en-US"/>
              </w:rPr>
            </w:pPr>
            <w:r w:rsidRPr="00DF7BC1">
              <w:rPr>
                <w:rFonts w:asciiTheme="majorBidi" w:hAnsiTheme="majorBidi" w:cstheme="majorBidi"/>
                <w:lang w:val="en-US"/>
              </w:rPr>
              <w:t>: Ds. Sarirejo RT04/RW05, Kec. Kaliwungu, Kab. Kendal</w:t>
            </w:r>
          </w:p>
          <w:p w14:paraId="2F2946EF" w14:textId="77777777" w:rsidR="008D372B" w:rsidRPr="00DF7BC1" w:rsidRDefault="008D372B" w:rsidP="00DF7BC1">
            <w:pPr>
              <w:rPr>
                <w:rFonts w:asciiTheme="majorBidi" w:hAnsiTheme="majorBidi" w:cstheme="majorBidi"/>
                <w:lang w:val="en-US"/>
              </w:rPr>
            </w:pPr>
            <w:r w:rsidRPr="00DF7BC1">
              <w:rPr>
                <w:rFonts w:asciiTheme="majorBidi" w:hAnsiTheme="majorBidi" w:cstheme="majorBidi"/>
                <w:lang w:val="en-US"/>
              </w:rPr>
              <w:t>: 082134503008</w:t>
            </w:r>
          </w:p>
          <w:p w14:paraId="5D931763" w14:textId="77777777" w:rsidR="008D372B" w:rsidRPr="00DF7BC1" w:rsidRDefault="008D372B" w:rsidP="00DF7BC1">
            <w:pPr>
              <w:rPr>
                <w:rFonts w:asciiTheme="majorBidi" w:hAnsiTheme="majorBidi" w:cstheme="majorBidi"/>
                <w:lang w:val="en-US"/>
              </w:rPr>
            </w:pPr>
            <w:r w:rsidRPr="00DF7BC1">
              <w:rPr>
                <w:rFonts w:asciiTheme="majorBidi" w:hAnsiTheme="majorBidi" w:cstheme="majorBidi"/>
                <w:lang w:val="en-US"/>
              </w:rPr>
              <w:t xml:space="preserve">: </w:t>
            </w:r>
            <w:hyperlink r:id="rId29" w:history="1">
              <w:r w:rsidRPr="00DF7BC1">
                <w:rPr>
                  <w:rStyle w:val="Hyperlink"/>
                  <w:rFonts w:asciiTheme="majorBidi" w:hAnsiTheme="majorBidi" w:cstheme="majorBidi"/>
                  <w:lang w:val="en-US"/>
                </w:rPr>
                <w:t>hamireza3771@gmail.com</w:t>
              </w:r>
            </w:hyperlink>
          </w:p>
          <w:p w14:paraId="6EF525A0" w14:textId="77777777" w:rsidR="008D372B" w:rsidRPr="00DF7BC1" w:rsidRDefault="008D372B" w:rsidP="00DF7BC1">
            <w:pPr>
              <w:rPr>
                <w:rFonts w:asciiTheme="majorBidi" w:hAnsiTheme="majorBidi" w:cstheme="majorBidi"/>
                <w:lang w:val="en-US"/>
              </w:rPr>
            </w:pPr>
            <w:r w:rsidRPr="00DF7BC1">
              <w:rPr>
                <w:rFonts w:asciiTheme="majorBidi" w:hAnsiTheme="majorBidi" w:cstheme="majorBidi"/>
                <w:lang w:val="en-US"/>
              </w:rPr>
              <w:t xml:space="preserve">: Tertinggal bukan berarti gagal, lambat bukan berarti tidak bisa, karena setiap manusia punya jalan dan takdirnya masing-masing </w:t>
            </w:r>
          </w:p>
        </w:tc>
      </w:tr>
      <w:tr w:rsidR="008D372B" w:rsidRPr="00DF7BC1" w14:paraId="07AA8EE0" w14:textId="77777777" w:rsidTr="008E071E">
        <w:trPr>
          <w:trHeight w:val="341"/>
        </w:trPr>
        <w:tc>
          <w:tcPr>
            <w:tcW w:w="3066" w:type="dxa"/>
          </w:tcPr>
          <w:p w14:paraId="295E337A" w14:textId="660FC9CA" w:rsidR="008D372B" w:rsidRPr="00DF7BC1" w:rsidRDefault="008D372B" w:rsidP="00DF7BC1">
            <w:pPr>
              <w:pStyle w:val="ListParagraph"/>
              <w:numPr>
                <w:ilvl w:val="0"/>
                <w:numId w:val="90"/>
              </w:numPr>
              <w:rPr>
                <w:rFonts w:asciiTheme="majorBidi" w:hAnsiTheme="majorBidi" w:cstheme="majorBidi"/>
                <w:b/>
                <w:bCs/>
                <w:lang w:val="en-US"/>
              </w:rPr>
            </w:pPr>
            <w:r w:rsidRPr="00DF7BC1">
              <w:rPr>
                <w:rFonts w:asciiTheme="majorBidi" w:hAnsiTheme="majorBidi" w:cstheme="majorBidi"/>
                <w:b/>
                <w:bCs/>
                <w:lang w:val="en-US"/>
              </w:rPr>
              <w:t xml:space="preserve">Pendidikan </w:t>
            </w:r>
          </w:p>
          <w:p w14:paraId="1DE98A37" w14:textId="77777777" w:rsidR="008D372B" w:rsidRPr="00DF7BC1" w:rsidRDefault="008D372B" w:rsidP="00DF7BC1">
            <w:pPr>
              <w:pStyle w:val="ListParagraph"/>
              <w:numPr>
                <w:ilvl w:val="0"/>
                <w:numId w:val="91"/>
              </w:numPr>
              <w:rPr>
                <w:rFonts w:asciiTheme="majorBidi" w:hAnsiTheme="majorBidi" w:cstheme="majorBidi"/>
                <w:lang w:val="en-US"/>
              </w:rPr>
            </w:pPr>
            <w:r w:rsidRPr="00DF7BC1">
              <w:rPr>
                <w:rFonts w:asciiTheme="majorBidi" w:hAnsiTheme="majorBidi" w:cstheme="majorBidi"/>
                <w:lang w:val="en-US"/>
              </w:rPr>
              <w:t xml:space="preserve">Pendidikan formal </w:t>
            </w:r>
          </w:p>
          <w:p w14:paraId="236830FB" w14:textId="77777777" w:rsidR="008D372B" w:rsidRPr="00DF7BC1" w:rsidRDefault="008D372B" w:rsidP="00DF7BC1">
            <w:pPr>
              <w:pStyle w:val="ListParagraph"/>
              <w:ind w:left="1080"/>
              <w:rPr>
                <w:rFonts w:asciiTheme="majorBidi" w:hAnsiTheme="majorBidi" w:cstheme="majorBidi"/>
                <w:lang w:val="en-US"/>
              </w:rPr>
            </w:pPr>
            <w:r w:rsidRPr="00DF7BC1">
              <w:rPr>
                <w:rFonts w:asciiTheme="majorBidi" w:hAnsiTheme="majorBidi" w:cstheme="majorBidi"/>
                <w:lang w:val="en-US"/>
              </w:rPr>
              <w:t>Tahun (2009-2015)</w:t>
            </w:r>
          </w:p>
          <w:p w14:paraId="6F2BCE38" w14:textId="77777777" w:rsidR="008D372B" w:rsidRDefault="008D372B" w:rsidP="00DF7BC1">
            <w:pPr>
              <w:pStyle w:val="ListParagraph"/>
              <w:ind w:left="1080"/>
              <w:rPr>
                <w:rFonts w:asciiTheme="majorBidi" w:hAnsiTheme="majorBidi" w:cstheme="majorBidi"/>
                <w:lang w:val="en-US"/>
              </w:rPr>
            </w:pPr>
          </w:p>
          <w:p w14:paraId="7E932DA8" w14:textId="77777777" w:rsidR="008D372B" w:rsidRDefault="008D372B" w:rsidP="00DF7BC1">
            <w:pPr>
              <w:pStyle w:val="ListParagraph"/>
              <w:ind w:left="1080"/>
              <w:rPr>
                <w:rFonts w:asciiTheme="majorBidi" w:hAnsiTheme="majorBidi" w:cstheme="majorBidi"/>
                <w:lang w:val="en-US"/>
              </w:rPr>
            </w:pPr>
          </w:p>
          <w:p w14:paraId="6F4B74D9" w14:textId="77777777" w:rsidR="008D372B" w:rsidRPr="00DF7BC1" w:rsidRDefault="008D372B" w:rsidP="00DF7BC1">
            <w:pPr>
              <w:pStyle w:val="ListParagraph"/>
              <w:ind w:left="1080"/>
              <w:rPr>
                <w:rFonts w:asciiTheme="majorBidi" w:hAnsiTheme="majorBidi" w:cstheme="majorBidi"/>
                <w:lang w:val="en-US"/>
              </w:rPr>
            </w:pPr>
            <w:r w:rsidRPr="00DF7BC1">
              <w:rPr>
                <w:rFonts w:asciiTheme="majorBidi" w:hAnsiTheme="majorBidi" w:cstheme="majorBidi"/>
                <w:lang w:val="en-US"/>
              </w:rPr>
              <w:t>Tahun (2015-2018)</w:t>
            </w:r>
          </w:p>
          <w:p w14:paraId="3CCE9B8C" w14:textId="77777777" w:rsidR="008D372B" w:rsidRDefault="008D372B" w:rsidP="00DF7BC1">
            <w:pPr>
              <w:pStyle w:val="ListParagraph"/>
              <w:ind w:left="1080"/>
              <w:rPr>
                <w:rFonts w:asciiTheme="majorBidi" w:hAnsiTheme="majorBidi" w:cstheme="majorBidi"/>
                <w:lang w:val="en-US"/>
              </w:rPr>
            </w:pPr>
          </w:p>
          <w:p w14:paraId="5D32274B" w14:textId="77777777" w:rsidR="008D372B" w:rsidRDefault="008D372B" w:rsidP="00DF7BC1">
            <w:pPr>
              <w:pStyle w:val="ListParagraph"/>
              <w:ind w:left="1080"/>
              <w:rPr>
                <w:rFonts w:asciiTheme="majorBidi" w:hAnsiTheme="majorBidi" w:cstheme="majorBidi"/>
                <w:lang w:val="en-US"/>
              </w:rPr>
            </w:pPr>
          </w:p>
          <w:p w14:paraId="681A557D" w14:textId="77777777" w:rsidR="008D372B" w:rsidRPr="00DF7BC1" w:rsidRDefault="008D372B" w:rsidP="00DF7BC1">
            <w:pPr>
              <w:pStyle w:val="ListParagraph"/>
              <w:ind w:left="1080"/>
              <w:rPr>
                <w:rFonts w:asciiTheme="majorBidi" w:hAnsiTheme="majorBidi" w:cstheme="majorBidi"/>
                <w:lang w:val="en-US"/>
              </w:rPr>
            </w:pPr>
            <w:r w:rsidRPr="00DF7BC1">
              <w:rPr>
                <w:rFonts w:asciiTheme="majorBidi" w:hAnsiTheme="majorBidi" w:cstheme="majorBidi"/>
                <w:lang w:val="en-US"/>
              </w:rPr>
              <w:t>Tahun (2018-2021)</w:t>
            </w:r>
          </w:p>
          <w:p w14:paraId="554E962B" w14:textId="77777777" w:rsidR="008D372B" w:rsidRDefault="008D372B" w:rsidP="00DF7BC1">
            <w:pPr>
              <w:pStyle w:val="ListParagraph"/>
              <w:ind w:left="1080"/>
              <w:rPr>
                <w:rFonts w:asciiTheme="majorBidi" w:hAnsiTheme="majorBidi" w:cstheme="majorBidi"/>
                <w:lang w:val="en-US"/>
              </w:rPr>
            </w:pPr>
          </w:p>
          <w:p w14:paraId="42E3CFD4" w14:textId="77777777" w:rsidR="008D372B" w:rsidRDefault="008D372B" w:rsidP="00DF7BC1">
            <w:pPr>
              <w:pStyle w:val="ListParagraph"/>
              <w:ind w:left="1080"/>
              <w:rPr>
                <w:rFonts w:asciiTheme="majorBidi" w:hAnsiTheme="majorBidi" w:cstheme="majorBidi"/>
                <w:lang w:val="en-US"/>
              </w:rPr>
            </w:pPr>
          </w:p>
          <w:p w14:paraId="38A8DA8C" w14:textId="77777777" w:rsidR="008D372B" w:rsidRPr="008E071E" w:rsidRDefault="008D372B" w:rsidP="008E071E">
            <w:pPr>
              <w:pStyle w:val="ListParagraph"/>
              <w:ind w:left="1080"/>
              <w:rPr>
                <w:rFonts w:asciiTheme="majorBidi" w:hAnsiTheme="majorBidi" w:cstheme="majorBidi"/>
                <w:lang w:val="en-US"/>
              </w:rPr>
            </w:pPr>
            <w:r w:rsidRPr="00DF7BC1">
              <w:rPr>
                <w:rFonts w:asciiTheme="majorBidi" w:hAnsiTheme="majorBidi" w:cstheme="majorBidi"/>
                <w:lang w:val="en-US"/>
              </w:rPr>
              <w:t>Tahun (2021</w:t>
            </w:r>
            <w:r>
              <w:rPr>
                <w:rFonts w:asciiTheme="majorBidi" w:hAnsiTheme="majorBidi" w:cstheme="majorBidi"/>
                <w:lang w:val="en-US"/>
              </w:rPr>
              <w:t>-</w:t>
            </w:r>
            <w:r w:rsidRPr="00DF7BC1">
              <w:rPr>
                <w:rFonts w:asciiTheme="majorBidi" w:hAnsiTheme="majorBidi" w:cstheme="majorBidi"/>
                <w:lang w:val="en-US"/>
              </w:rPr>
              <w:t>Sekarang)</w:t>
            </w:r>
            <w:r w:rsidRPr="008E071E">
              <w:rPr>
                <w:rFonts w:asciiTheme="majorBidi" w:hAnsiTheme="majorBidi" w:cstheme="majorBidi"/>
                <w:lang w:val="en-US"/>
              </w:rPr>
              <w:t xml:space="preserve"> </w:t>
            </w:r>
          </w:p>
        </w:tc>
        <w:tc>
          <w:tcPr>
            <w:tcW w:w="2805" w:type="dxa"/>
          </w:tcPr>
          <w:p w14:paraId="40D5013B" w14:textId="77777777" w:rsidR="008D372B" w:rsidRPr="00DF7BC1" w:rsidRDefault="008D372B" w:rsidP="00DF7BC1">
            <w:pPr>
              <w:rPr>
                <w:rFonts w:asciiTheme="majorBidi" w:hAnsiTheme="majorBidi" w:cstheme="majorBidi"/>
                <w:lang w:val="en-US"/>
              </w:rPr>
            </w:pPr>
          </w:p>
          <w:p w14:paraId="469CFC24" w14:textId="77777777" w:rsidR="008D372B" w:rsidRPr="00DF7BC1" w:rsidRDefault="008D372B" w:rsidP="00DF7BC1">
            <w:pPr>
              <w:rPr>
                <w:rFonts w:asciiTheme="majorBidi" w:hAnsiTheme="majorBidi" w:cstheme="majorBidi"/>
                <w:lang w:val="en-US"/>
              </w:rPr>
            </w:pPr>
          </w:p>
          <w:p w14:paraId="0F81C467" w14:textId="77777777" w:rsidR="008D372B" w:rsidRPr="00DF7BC1" w:rsidRDefault="008D372B" w:rsidP="00DF7BC1">
            <w:pPr>
              <w:rPr>
                <w:rFonts w:asciiTheme="majorBidi" w:hAnsiTheme="majorBidi" w:cstheme="majorBidi"/>
                <w:lang w:val="en-US"/>
              </w:rPr>
            </w:pPr>
            <w:r w:rsidRPr="00DF7BC1">
              <w:rPr>
                <w:rFonts w:asciiTheme="majorBidi" w:hAnsiTheme="majorBidi" w:cstheme="majorBidi"/>
                <w:lang w:val="en-US"/>
              </w:rPr>
              <w:t xml:space="preserve">: MI Muhammadiyah 03 Sarirejo Kecamatan Kaliwungu </w:t>
            </w:r>
          </w:p>
          <w:p w14:paraId="0058564C" w14:textId="77777777" w:rsidR="008D372B" w:rsidRPr="00DF7BC1" w:rsidRDefault="008D372B" w:rsidP="00DF7BC1">
            <w:pPr>
              <w:rPr>
                <w:rFonts w:asciiTheme="majorBidi" w:hAnsiTheme="majorBidi" w:cstheme="majorBidi"/>
                <w:lang w:val="en-US"/>
              </w:rPr>
            </w:pPr>
            <w:r w:rsidRPr="00DF7BC1">
              <w:rPr>
                <w:rFonts w:asciiTheme="majorBidi" w:hAnsiTheme="majorBidi" w:cstheme="majorBidi"/>
                <w:lang w:val="en-US"/>
              </w:rPr>
              <w:t xml:space="preserve">: SMP N 2 Kaliwungu Kecamatan Kaliwungu Selatan </w:t>
            </w:r>
          </w:p>
          <w:p w14:paraId="57F361E6" w14:textId="77777777" w:rsidR="008D372B" w:rsidRPr="00DF7BC1" w:rsidRDefault="008D372B" w:rsidP="00DF7BC1">
            <w:pPr>
              <w:rPr>
                <w:rFonts w:asciiTheme="majorBidi" w:hAnsiTheme="majorBidi" w:cstheme="majorBidi"/>
                <w:lang w:val="en-US"/>
              </w:rPr>
            </w:pPr>
            <w:r w:rsidRPr="00DF7BC1">
              <w:rPr>
                <w:rFonts w:asciiTheme="majorBidi" w:hAnsiTheme="majorBidi" w:cstheme="majorBidi"/>
                <w:lang w:val="en-US"/>
              </w:rPr>
              <w:t xml:space="preserve">: SMA N 1 Kaliwungu Kecamatan Kaliwungu Selatan </w:t>
            </w:r>
          </w:p>
          <w:p w14:paraId="2EFF888D" w14:textId="77777777" w:rsidR="008D372B" w:rsidRPr="00DF7BC1" w:rsidRDefault="008D372B" w:rsidP="00DF7BC1">
            <w:pPr>
              <w:rPr>
                <w:rFonts w:asciiTheme="majorBidi" w:hAnsiTheme="majorBidi" w:cstheme="majorBidi"/>
                <w:lang w:val="en-US"/>
              </w:rPr>
            </w:pPr>
            <w:r w:rsidRPr="00DF7BC1">
              <w:rPr>
                <w:rFonts w:asciiTheme="majorBidi" w:hAnsiTheme="majorBidi" w:cstheme="majorBidi"/>
                <w:lang w:val="en-US"/>
              </w:rPr>
              <w:t xml:space="preserve">: UIN Walisongo Semarang </w:t>
            </w:r>
          </w:p>
          <w:p w14:paraId="1C2662D7" w14:textId="77777777" w:rsidR="008D372B" w:rsidRPr="00DF7BC1" w:rsidRDefault="008D372B" w:rsidP="00DF7BC1">
            <w:pPr>
              <w:rPr>
                <w:rFonts w:asciiTheme="majorBidi" w:hAnsiTheme="majorBidi" w:cstheme="majorBidi"/>
                <w:lang w:val="en-US"/>
              </w:rPr>
            </w:pPr>
            <w:r w:rsidRPr="00DF7BC1">
              <w:rPr>
                <w:rFonts w:asciiTheme="majorBidi" w:hAnsiTheme="majorBidi" w:cstheme="majorBidi"/>
                <w:lang w:val="en-US"/>
              </w:rPr>
              <w:tab/>
            </w:r>
            <w:r w:rsidRPr="00DF7BC1">
              <w:rPr>
                <w:rFonts w:asciiTheme="majorBidi" w:hAnsiTheme="majorBidi" w:cstheme="majorBidi"/>
                <w:lang w:val="en-US"/>
              </w:rPr>
              <w:tab/>
            </w:r>
            <w:r w:rsidRPr="00DF7BC1">
              <w:rPr>
                <w:rFonts w:asciiTheme="majorBidi" w:hAnsiTheme="majorBidi" w:cstheme="majorBidi"/>
                <w:lang w:val="en-US"/>
              </w:rPr>
              <w:tab/>
            </w:r>
          </w:p>
        </w:tc>
      </w:tr>
      <w:tr w:rsidR="008D372B" w:rsidRPr="00DF7BC1" w14:paraId="2EB7A0B6" w14:textId="77777777" w:rsidTr="008E071E">
        <w:trPr>
          <w:trHeight w:val="101"/>
        </w:trPr>
        <w:tc>
          <w:tcPr>
            <w:tcW w:w="5871" w:type="dxa"/>
            <w:gridSpan w:val="2"/>
          </w:tcPr>
          <w:p w14:paraId="3537E6C4" w14:textId="77777777" w:rsidR="008D372B" w:rsidRDefault="008D372B" w:rsidP="008E071E">
            <w:pPr>
              <w:pStyle w:val="ListParagraph"/>
              <w:numPr>
                <w:ilvl w:val="0"/>
                <w:numId w:val="91"/>
              </w:numPr>
              <w:rPr>
                <w:rFonts w:asciiTheme="majorBidi" w:hAnsiTheme="majorBidi" w:cstheme="majorBidi"/>
                <w:b/>
                <w:bCs/>
                <w:lang w:val="en-US"/>
              </w:rPr>
            </w:pPr>
            <w:r>
              <w:rPr>
                <w:rFonts w:asciiTheme="majorBidi" w:hAnsiTheme="majorBidi" w:cstheme="majorBidi"/>
                <w:b/>
                <w:bCs/>
                <w:lang w:val="en-US"/>
              </w:rPr>
              <w:t xml:space="preserve">Pendidikan Non Formal </w:t>
            </w:r>
          </w:p>
          <w:p w14:paraId="3C9CBA4E" w14:textId="77777777" w:rsidR="008D372B" w:rsidRPr="008E071E" w:rsidRDefault="008D372B" w:rsidP="008E071E">
            <w:pPr>
              <w:pStyle w:val="ListParagraph"/>
              <w:ind w:left="1080"/>
              <w:rPr>
                <w:rFonts w:asciiTheme="majorBidi" w:hAnsiTheme="majorBidi" w:cstheme="majorBidi"/>
                <w:lang w:val="en-US"/>
              </w:rPr>
            </w:pPr>
            <w:r w:rsidRPr="008E071E">
              <w:rPr>
                <w:rFonts w:asciiTheme="majorBidi" w:hAnsiTheme="majorBidi" w:cstheme="majorBidi"/>
                <w:lang w:val="en-US"/>
              </w:rPr>
              <w:t>TPQ Raudhodtunnajjah</w:t>
            </w:r>
            <w:r>
              <w:rPr>
                <w:rFonts w:asciiTheme="majorBidi" w:hAnsiTheme="majorBidi" w:cstheme="majorBidi"/>
                <w:lang w:val="en-US"/>
              </w:rPr>
              <w:t xml:space="preserve"> Sarirejo</w:t>
            </w:r>
          </w:p>
          <w:p w14:paraId="63A418A7" w14:textId="06BD3143" w:rsidR="008D372B" w:rsidRPr="008E071E" w:rsidRDefault="008D372B" w:rsidP="008E071E">
            <w:pPr>
              <w:pStyle w:val="ListParagraph"/>
              <w:ind w:left="1080"/>
              <w:rPr>
                <w:rFonts w:asciiTheme="majorBidi" w:hAnsiTheme="majorBidi" w:cstheme="majorBidi"/>
                <w:lang w:val="en-US"/>
              </w:rPr>
            </w:pPr>
            <w:r w:rsidRPr="008E071E">
              <w:rPr>
                <w:rFonts w:asciiTheme="majorBidi" w:hAnsiTheme="majorBidi" w:cstheme="majorBidi"/>
                <w:lang w:val="en-US"/>
              </w:rPr>
              <w:t>MDA Sul</w:t>
            </w:r>
            <w:r w:rsidR="00CB2ADD">
              <w:rPr>
                <w:rFonts w:asciiTheme="majorBidi" w:hAnsiTheme="majorBidi" w:cstheme="majorBidi"/>
                <w:lang w:val="en-US"/>
              </w:rPr>
              <w:t>l</w:t>
            </w:r>
            <w:r w:rsidRPr="008E071E">
              <w:rPr>
                <w:rFonts w:asciiTheme="majorBidi" w:hAnsiTheme="majorBidi" w:cstheme="majorBidi"/>
                <w:lang w:val="en-US"/>
              </w:rPr>
              <w:t>amul Hidayah</w:t>
            </w:r>
            <w:r>
              <w:rPr>
                <w:rFonts w:asciiTheme="majorBidi" w:hAnsiTheme="majorBidi" w:cstheme="majorBidi"/>
                <w:lang w:val="en-US"/>
              </w:rPr>
              <w:t xml:space="preserve"> Sarirejo</w:t>
            </w:r>
          </w:p>
          <w:p w14:paraId="2952A219" w14:textId="77777777" w:rsidR="008D372B" w:rsidRPr="00B37351" w:rsidRDefault="008D372B" w:rsidP="00B37351">
            <w:pPr>
              <w:pStyle w:val="ListParagraph"/>
              <w:ind w:left="1080"/>
              <w:rPr>
                <w:rFonts w:asciiTheme="majorBidi" w:hAnsiTheme="majorBidi" w:cstheme="majorBidi"/>
                <w:lang w:val="en-US"/>
              </w:rPr>
            </w:pPr>
            <w:r w:rsidRPr="008E071E">
              <w:rPr>
                <w:rFonts w:asciiTheme="majorBidi" w:hAnsiTheme="majorBidi" w:cstheme="majorBidi"/>
                <w:lang w:val="en-US"/>
              </w:rPr>
              <w:lastRenderedPageBreak/>
              <w:t>MDW Sulamul Hidayah</w:t>
            </w:r>
            <w:r>
              <w:rPr>
                <w:rFonts w:asciiTheme="majorBidi" w:hAnsiTheme="majorBidi" w:cstheme="majorBidi"/>
                <w:lang w:val="en-US"/>
              </w:rPr>
              <w:t xml:space="preserve"> Sarirejo</w:t>
            </w:r>
          </w:p>
          <w:p w14:paraId="62217458" w14:textId="77777777" w:rsidR="008D372B" w:rsidRPr="00DF7BC1" w:rsidRDefault="008D372B" w:rsidP="00DF7BC1">
            <w:pPr>
              <w:pStyle w:val="ListParagraph"/>
              <w:numPr>
                <w:ilvl w:val="0"/>
                <w:numId w:val="90"/>
              </w:numPr>
              <w:rPr>
                <w:rFonts w:asciiTheme="majorBidi" w:hAnsiTheme="majorBidi" w:cstheme="majorBidi"/>
                <w:b/>
                <w:bCs/>
                <w:lang w:val="en-US"/>
              </w:rPr>
            </w:pPr>
            <w:r w:rsidRPr="00DF7BC1">
              <w:rPr>
                <w:rFonts w:asciiTheme="majorBidi" w:hAnsiTheme="majorBidi" w:cstheme="majorBidi"/>
                <w:b/>
                <w:bCs/>
                <w:lang w:val="en-US"/>
              </w:rPr>
              <w:t>Pengalaman Kerja, PPL dan Magang</w:t>
            </w:r>
          </w:p>
          <w:p w14:paraId="387936F3" w14:textId="77777777" w:rsidR="008D372B" w:rsidRPr="00DF7BC1" w:rsidRDefault="008D372B" w:rsidP="00DF7BC1">
            <w:pPr>
              <w:pStyle w:val="ListParagraph"/>
              <w:numPr>
                <w:ilvl w:val="0"/>
                <w:numId w:val="94"/>
              </w:numPr>
              <w:ind w:left="1023"/>
              <w:rPr>
                <w:rFonts w:asciiTheme="majorBidi" w:hAnsiTheme="majorBidi" w:cstheme="majorBidi"/>
                <w:lang w:val="en-US"/>
              </w:rPr>
            </w:pPr>
            <w:r w:rsidRPr="00DF7BC1">
              <w:rPr>
                <w:rFonts w:asciiTheme="majorBidi" w:hAnsiTheme="majorBidi" w:cstheme="majorBidi"/>
                <w:lang w:val="en-US"/>
              </w:rPr>
              <w:t>Magang Di Kantor Urusan Agama Semarang Timur</w:t>
            </w:r>
          </w:p>
          <w:p w14:paraId="1D3DE019" w14:textId="77777777" w:rsidR="008D372B" w:rsidRPr="00DF7BC1" w:rsidRDefault="008D372B" w:rsidP="00DF7BC1">
            <w:pPr>
              <w:pStyle w:val="ListParagraph"/>
              <w:numPr>
                <w:ilvl w:val="0"/>
                <w:numId w:val="94"/>
              </w:numPr>
              <w:ind w:left="1023"/>
              <w:rPr>
                <w:rFonts w:asciiTheme="majorBidi" w:hAnsiTheme="majorBidi" w:cstheme="majorBidi"/>
                <w:lang w:val="en-US"/>
              </w:rPr>
            </w:pPr>
            <w:r w:rsidRPr="00DF7BC1">
              <w:rPr>
                <w:rFonts w:asciiTheme="majorBidi" w:hAnsiTheme="majorBidi" w:cstheme="majorBidi"/>
                <w:lang w:val="en-US"/>
              </w:rPr>
              <w:t>Magang Di Pengadilan Agama Klaten</w:t>
            </w:r>
          </w:p>
          <w:p w14:paraId="69CACE0F" w14:textId="77777777" w:rsidR="008D372B" w:rsidRPr="00DF7BC1" w:rsidRDefault="008D372B" w:rsidP="00DF7BC1">
            <w:pPr>
              <w:pStyle w:val="ListParagraph"/>
              <w:numPr>
                <w:ilvl w:val="0"/>
                <w:numId w:val="94"/>
              </w:numPr>
              <w:ind w:left="1023"/>
              <w:rPr>
                <w:rFonts w:asciiTheme="majorBidi" w:hAnsiTheme="majorBidi" w:cstheme="majorBidi"/>
                <w:lang w:val="en-US"/>
              </w:rPr>
            </w:pPr>
            <w:r w:rsidRPr="00DF7BC1">
              <w:rPr>
                <w:rFonts w:asciiTheme="majorBidi" w:hAnsiTheme="majorBidi" w:cstheme="majorBidi"/>
                <w:lang w:val="en-US"/>
              </w:rPr>
              <w:t>Magang Di Pengadilan Negeri Klaten</w:t>
            </w:r>
          </w:p>
          <w:p w14:paraId="24501162" w14:textId="0104FC00" w:rsidR="008D372B" w:rsidRPr="00DF7BC1" w:rsidRDefault="008D372B" w:rsidP="00DF7BC1">
            <w:pPr>
              <w:pStyle w:val="ListParagraph"/>
              <w:numPr>
                <w:ilvl w:val="0"/>
                <w:numId w:val="94"/>
              </w:numPr>
              <w:ind w:left="1023"/>
              <w:rPr>
                <w:rFonts w:asciiTheme="majorBidi" w:hAnsiTheme="majorBidi" w:cstheme="majorBidi"/>
                <w:lang w:val="en-US"/>
              </w:rPr>
            </w:pPr>
            <w:r w:rsidRPr="00DF7BC1">
              <w:rPr>
                <w:rFonts w:asciiTheme="majorBidi" w:hAnsiTheme="majorBidi" w:cstheme="majorBidi"/>
                <w:lang w:val="en-US"/>
              </w:rPr>
              <w:t>Guru TPQ Darun</w:t>
            </w:r>
            <w:r w:rsidR="00CB2ADD">
              <w:rPr>
                <w:rFonts w:asciiTheme="majorBidi" w:hAnsiTheme="majorBidi" w:cstheme="majorBidi"/>
                <w:lang w:val="en-US"/>
              </w:rPr>
              <w:t xml:space="preserve"> N</w:t>
            </w:r>
            <w:r w:rsidRPr="00DF7BC1">
              <w:rPr>
                <w:rFonts w:asciiTheme="majorBidi" w:hAnsiTheme="majorBidi" w:cstheme="majorBidi"/>
                <w:lang w:val="en-US"/>
              </w:rPr>
              <w:t>a’im Desa Johorejo</w:t>
            </w:r>
          </w:p>
        </w:tc>
      </w:tr>
    </w:tbl>
    <w:p w14:paraId="559D443A" w14:textId="77777777" w:rsidR="008D372B" w:rsidRPr="00DF7BC1" w:rsidRDefault="008D372B" w:rsidP="00DF7BC1">
      <w:pPr>
        <w:spacing w:line="240" w:lineRule="auto"/>
        <w:ind w:left="720" w:firstLine="720"/>
        <w:rPr>
          <w:rFonts w:asciiTheme="majorBidi" w:hAnsiTheme="majorBidi" w:cstheme="majorBidi"/>
          <w:lang w:val="en-US"/>
        </w:rPr>
      </w:pPr>
      <w:r w:rsidRPr="00DF7BC1">
        <w:rPr>
          <w:rFonts w:asciiTheme="majorBidi" w:hAnsiTheme="majorBidi" w:cstheme="majorBidi"/>
          <w:lang w:val="en-US"/>
        </w:rPr>
        <w:t>Demikian daftar riwayat hidup ini saya buat</w:t>
      </w:r>
      <w:r>
        <w:rPr>
          <w:rFonts w:asciiTheme="majorBidi" w:hAnsiTheme="majorBidi" w:cstheme="majorBidi"/>
          <w:lang w:val="en-US"/>
        </w:rPr>
        <w:t xml:space="preserve"> </w:t>
      </w:r>
      <w:r w:rsidRPr="00DF7BC1">
        <w:rPr>
          <w:rFonts w:asciiTheme="majorBidi" w:hAnsiTheme="majorBidi" w:cstheme="majorBidi"/>
          <w:lang w:val="en-US"/>
        </w:rPr>
        <w:t xml:space="preserve">dengan sebenar-benarnya dan dapat dipertanggungjawabkan </w:t>
      </w:r>
    </w:p>
    <w:tbl>
      <w:tblPr>
        <w:tblStyle w:val="TableGrid"/>
        <w:tblpPr w:leftFromText="180" w:rightFromText="180" w:vertAnchor="page" w:horzAnchor="margin" w:tblpXSpec="right" w:tblpY="38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3"/>
      </w:tblGrid>
      <w:tr w:rsidR="008D372B" w:rsidRPr="00DF7BC1" w14:paraId="6732FC7C" w14:textId="77777777" w:rsidTr="008E071E">
        <w:trPr>
          <w:trHeight w:val="2397"/>
        </w:trPr>
        <w:tc>
          <w:tcPr>
            <w:tcW w:w="2653" w:type="dxa"/>
          </w:tcPr>
          <w:p w14:paraId="0D4F444F" w14:textId="2B46DCA7" w:rsidR="008D372B" w:rsidRDefault="008D372B" w:rsidP="00200ACC">
            <w:pPr>
              <w:jc w:val="center"/>
              <w:rPr>
                <w:rFonts w:asciiTheme="majorBidi" w:hAnsiTheme="majorBidi" w:cstheme="majorBidi"/>
                <w:lang w:val="en-US"/>
              </w:rPr>
            </w:pPr>
            <w:r w:rsidRPr="00DF7BC1">
              <w:rPr>
                <w:rFonts w:asciiTheme="majorBidi" w:hAnsiTheme="majorBidi" w:cstheme="majorBidi"/>
                <w:lang w:val="en-US"/>
              </w:rPr>
              <w:t>Semarang, 3 Oktober 2024</w:t>
            </w:r>
          </w:p>
          <w:p w14:paraId="0C7F45FD" w14:textId="5C449535" w:rsidR="00D33C88" w:rsidRPr="00DF7BC1" w:rsidRDefault="00D33C88" w:rsidP="00200ACC">
            <w:pPr>
              <w:jc w:val="center"/>
              <w:rPr>
                <w:rFonts w:asciiTheme="majorBidi" w:hAnsiTheme="majorBidi" w:cstheme="majorBidi"/>
                <w:lang w:val="en-US"/>
              </w:rPr>
            </w:pPr>
            <w:r>
              <w:rPr>
                <w:rFonts w:asciiTheme="majorBidi" w:hAnsiTheme="majorBidi" w:cstheme="majorBidi"/>
                <w:noProof/>
                <w:sz w:val="24"/>
                <w:szCs w:val="24"/>
                <w:lang w:val="en-US"/>
              </w:rPr>
              <w:drawing>
                <wp:anchor distT="0" distB="0" distL="114300" distR="114300" simplePos="0" relativeHeight="251663360" behindDoc="0" locked="0" layoutInCell="1" allowOverlap="1" wp14:anchorId="23F7FB7C" wp14:editId="25346A28">
                  <wp:simplePos x="0" y="0"/>
                  <wp:positionH relativeFrom="column">
                    <wp:posOffset>121452</wp:posOffset>
                  </wp:positionH>
                  <wp:positionV relativeFrom="paragraph">
                    <wp:posOffset>54621</wp:posOffset>
                  </wp:positionV>
                  <wp:extent cx="1231976" cy="803275"/>
                  <wp:effectExtent l="0" t="0" r="0" b="0"/>
                  <wp:wrapNone/>
                  <wp:docPr id="14924389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364653" name="Picture 947364653"/>
                          <pic:cNvPicPr/>
                        </pic:nvPicPr>
                        <pic:blipFill rotWithShape="1">
                          <a:blip r:embed="rId30" cstate="print">
                            <a:clrChange>
                              <a:clrFrom>
                                <a:srgbClr val="FFFFFF"/>
                              </a:clrFrom>
                              <a:clrTo>
                                <a:srgbClr val="FFFFFF">
                                  <a:alpha val="0"/>
                                </a:srgbClr>
                              </a:clrTo>
                            </a:clrChange>
                            <a:extLst>
                              <a:ext uri="{BEBA8EAE-BF5A-486C-A8C5-ECC9F3942E4B}">
                                <a14:imgProps xmlns:a14="http://schemas.microsoft.com/office/drawing/2010/main">
                                  <a14:imgLayer r:embed="rId31">
                                    <a14:imgEffect>
                                      <a14:backgroundRemoval t="15624" b="79491" l="10000" r="90000"/>
                                    </a14:imgEffect>
                                  </a14:imgLayer>
                                </a14:imgProps>
                              </a:ext>
                              <a:ext uri="{28A0092B-C50C-407E-A947-70E740481C1C}">
                                <a14:useLocalDpi xmlns:a14="http://schemas.microsoft.com/office/drawing/2010/main" val="0"/>
                              </a:ext>
                            </a:extLst>
                          </a:blip>
                          <a:srcRect t="7641" b="12525"/>
                          <a:stretch/>
                        </pic:blipFill>
                        <pic:spPr bwMode="auto">
                          <a:xfrm>
                            <a:off x="0" y="0"/>
                            <a:ext cx="1231976" cy="803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lang w:val="en-US"/>
              </w:rPr>
              <w:t>penulis</w:t>
            </w:r>
          </w:p>
          <w:p w14:paraId="34FC3902" w14:textId="51C70CD8" w:rsidR="008D372B" w:rsidRDefault="008D372B" w:rsidP="00200ACC">
            <w:pPr>
              <w:jc w:val="center"/>
              <w:rPr>
                <w:rFonts w:asciiTheme="majorBidi" w:hAnsiTheme="majorBidi" w:cstheme="majorBidi"/>
                <w:noProof/>
                <w:lang w:val="en-US"/>
              </w:rPr>
            </w:pPr>
          </w:p>
          <w:p w14:paraId="05B9F6DE" w14:textId="081941F4" w:rsidR="00D33C88" w:rsidRDefault="00D33C88" w:rsidP="00D33C88">
            <w:pPr>
              <w:rPr>
                <w:rFonts w:asciiTheme="majorBidi" w:hAnsiTheme="majorBidi" w:cstheme="majorBidi"/>
                <w:lang w:val="en-US"/>
              </w:rPr>
            </w:pPr>
          </w:p>
          <w:p w14:paraId="19C25985" w14:textId="77777777" w:rsidR="00D33C88" w:rsidRPr="00200ACC" w:rsidRDefault="00D33C88" w:rsidP="00D33C88">
            <w:pPr>
              <w:rPr>
                <w:rFonts w:asciiTheme="majorBidi" w:hAnsiTheme="majorBidi" w:cstheme="majorBidi"/>
                <w:lang w:val="en-US"/>
              </w:rPr>
            </w:pPr>
          </w:p>
          <w:p w14:paraId="4B23BEF1" w14:textId="77777777" w:rsidR="008D372B" w:rsidRDefault="008D372B" w:rsidP="008E071E">
            <w:pPr>
              <w:jc w:val="center"/>
              <w:rPr>
                <w:rFonts w:asciiTheme="majorBidi" w:hAnsiTheme="majorBidi" w:cstheme="majorBidi"/>
                <w:b/>
                <w:bCs/>
                <w:u w:val="single"/>
                <w:lang w:val="en-US"/>
              </w:rPr>
            </w:pPr>
            <w:r w:rsidRPr="00DF7BC1">
              <w:rPr>
                <w:rFonts w:asciiTheme="majorBidi" w:hAnsiTheme="majorBidi" w:cstheme="majorBidi"/>
                <w:b/>
                <w:bCs/>
                <w:u w:val="single"/>
                <w:lang w:val="en-US"/>
              </w:rPr>
              <w:t>Hamid Reza Asefi</w:t>
            </w:r>
          </w:p>
          <w:p w14:paraId="35610CC0" w14:textId="2CA42E57" w:rsidR="008D372B" w:rsidRPr="00200ACC" w:rsidRDefault="00C26BC1" w:rsidP="008E071E">
            <w:pPr>
              <w:jc w:val="center"/>
              <w:rPr>
                <w:rFonts w:asciiTheme="majorBidi" w:hAnsiTheme="majorBidi" w:cstheme="majorBidi"/>
                <w:lang w:val="en-US"/>
              </w:rPr>
            </w:pPr>
            <w:r>
              <w:rPr>
                <w:rFonts w:asciiTheme="majorBidi" w:hAnsiTheme="majorBidi" w:cstheme="majorBidi"/>
                <w:b/>
                <w:bCs/>
                <w:lang w:val="en-US"/>
              </w:rPr>
              <w:t>NIM.</w:t>
            </w:r>
            <w:r w:rsidR="008D372B" w:rsidRPr="00200ACC">
              <w:rPr>
                <w:rFonts w:asciiTheme="majorBidi" w:hAnsiTheme="majorBidi" w:cstheme="majorBidi"/>
                <w:b/>
                <w:bCs/>
                <w:lang w:val="en-US"/>
              </w:rPr>
              <w:t>2102026031</w:t>
            </w:r>
          </w:p>
        </w:tc>
      </w:tr>
    </w:tbl>
    <w:p w14:paraId="2A0D1FFA" w14:textId="77777777" w:rsidR="008D372B" w:rsidRPr="008E071E" w:rsidRDefault="008D372B" w:rsidP="008E071E">
      <w:pPr>
        <w:rPr>
          <w:lang w:val="en-US"/>
        </w:rPr>
      </w:pPr>
    </w:p>
    <w:p w14:paraId="5913530D" w14:textId="77777777" w:rsidR="00CC34C4" w:rsidRDefault="00CC34C4"/>
    <w:sectPr w:rsidR="00CC34C4" w:rsidSect="008D372B">
      <w:footnotePr>
        <w:numRestart w:val="eachSect"/>
      </w:footnotePr>
      <w:type w:val="continuous"/>
      <w:pgSz w:w="8391" w:h="11906" w:code="11"/>
      <w:pgMar w:top="1134" w:right="1134"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6DE139" w14:textId="77777777" w:rsidR="004C6E8C" w:rsidRDefault="004C6E8C" w:rsidP="008D372B">
      <w:pPr>
        <w:spacing w:after="0" w:line="240" w:lineRule="auto"/>
      </w:pPr>
      <w:r>
        <w:separator/>
      </w:r>
    </w:p>
  </w:endnote>
  <w:endnote w:type="continuationSeparator" w:id="0">
    <w:p w14:paraId="6C3BD3E0" w14:textId="77777777" w:rsidR="004C6E8C" w:rsidRDefault="004C6E8C" w:rsidP="008D37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adea">
    <w:altName w:val="Times New Roman"/>
    <w:charset w:val="00"/>
    <w:family w:val="roman"/>
    <w:pitch w:val="variable"/>
  </w:font>
  <w:font w:name="Calibri Light">
    <w:panose1 w:val="020F03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5751066"/>
      <w:docPartObj>
        <w:docPartGallery w:val="Page Numbers (Bottom of Page)"/>
        <w:docPartUnique/>
      </w:docPartObj>
    </w:sdtPr>
    <w:sdtEndPr>
      <w:rPr>
        <w:rFonts w:asciiTheme="majorBidi" w:hAnsiTheme="majorBidi" w:cstheme="majorBidi"/>
        <w:noProof/>
        <w:sz w:val="24"/>
        <w:szCs w:val="24"/>
      </w:rPr>
    </w:sdtEndPr>
    <w:sdtContent>
      <w:p w14:paraId="6B8409BB" w14:textId="77777777" w:rsidR="008D372B" w:rsidRPr="009174A7" w:rsidRDefault="008D372B">
        <w:pPr>
          <w:pStyle w:val="Footer"/>
          <w:jc w:val="center"/>
          <w:rPr>
            <w:rFonts w:asciiTheme="majorBidi" w:hAnsiTheme="majorBidi" w:cstheme="majorBidi"/>
            <w:sz w:val="24"/>
            <w:szCs w:val="24"/>
          </w:rPr>
        </w:pPr>
        <w:r w:rsidRPr="009174A7">
          <w:rPr>
            <w:rFonts w:asciiTheme="majorBidi" w:hAnsiTheme="majorBidi" w:cstheme="majorBidi"/>
            <w:sz w:val="24"/>
            <w:szCs w:val="24"/>
          </w:rPr>
          <w:fldChar w:fldCharType="begin"/>
        </w:r>
        <w:r w:rsidRPr="009174A7">
          <w:rPr>
            <w:rFonts w:asciiTheme="majorBidi" w:hAnsiTheme="majorBidi" w:cstheme="majorBidi"/>
            <w:sz w:val="24"/>
            <w:szCs w:val="24"/>
          </w:rPr>
          <w:instrText xml:space="preserve"> PAGE   \* MERGEFORMAT </w:instrText>
        </w:r>
        <w:r w:rsidRPr="009174A7">
          <w:rPr>
            <w:rFonts w:asciiTheme="majorBidi" w:hAnsiTheme="majorBidi" w:cstheme="majorBidi"/>
            <w:sz w:val="24"/>
            <w:szCs w:val="24"/>
          </w:rPr>
          <w:fldChar w:fldCharType="separate"/>
        </w:r>
        <w:r w:rsidRPr="009174A7">
          <w:rPr>
            <w:rFonts w:asciiTheme="majorBidi" w:hAnsiTheme="majorBidi" w:cstheme="majorBidi"/>
            <w:noProof/>
            <w:sz w:val="24"/>
            <w:szCs w:val="24"/>
          </w:rPr>
          <w:t>2</w:t>
        </w:r>
        <w:r w:rsidRPr="009174A7">
          <w:rPr>
            <w:rFonts w:asciiTheme="majorBidi" w:hAnsiTheme="majorBidi" w:cstheme="majorBidi"/>
            <w:noProof/>
            <w:sz w:val="24"/>
            <w:szCs w:val="24"/>
          </w:rPr>
          <w:fldChar w:fldCharType="end"/>
        </w:r>
      </w:p>
    </w:sdtContent>
  </w:sdt>
  <w:p w14:paraId="4376393A" w14:textId="77777777" w:rsidR="008D372B" w:rsidRDefault="008D37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E867C" w14:textId="77777777" w:rsidR="008D372B" w:rsidRDefault="008D372B">
    <w:pPr>
      <w:pStyle w:val="Footer"/>
      <w:jc w:val="center"/>
    </w:pPr>
  </w:p>
  <w:p w14:paraId="0FCA2AD3" w14:textId="77777777" w:rsidR="008D372B" w:rsidRDefault="008D37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6DB20" w14:textId="77777777" w:rsidR="008D372B" w:rsidRDefault="008D372B">
    <w:pPr>
      <w:pStyle w:val="Footer"/>
      <w:jc w:val="center"/>
    </w:pPr>
  </w:p>
  <w:p w14:paraId="09712A21" w14:textId="77777777" w:rsidR="008D372B" w:rsidRDefault="008D372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sz w:val="24"/>
        <w:szCs w:val="24"/>
      </w:rPr>
      <w:id w:val="-1479610714"/>
      <w:docPartObj>
        <w:docPartGallery w:val="Page Numbers (Bottom of Page)"/>
        <w:docPartUnique/>
      </w:docPartObj>
    </w:sdtPr>
    <w:sdtEndPr>
      <w:rPr>
        <w:noProof/>
      </w:rPr>
    </w:sdtEndPr>
    <w:sdtContent>
      <w:p w14:paraId="59468465" w14:textId="77777777" w:rsidR="008D372B" w:rsidRPr="00D854A1" w:rsidRDefault="008D372B">
        <w:pPr>
          <w:pStyle w:val="Footer"/>
          <w:jc w:val="center"/>
          <w:rPr>
            <w:rFonts w:asciiTheme="majorBidi" w:hAnsiTheme="majorBidi" w:cstheme="majorBidi"/>
            <w:sz w:val="24"/>
            <w:szCs w:val="24"/>
          </w:rPr>
        </w:pPr>
        <w:r w:rsidRPr="00D854A1">
          <w:rPr>
            <w:rFonts w:asciiTheme="majorBidi" w:hAnsiTheme="majorBidi" w:cstheme="majorBidi"/>
            <w:sz w:val="24"/>
            <w:szCs w:val="24"/>
          </w:rPr>
          <w:fldChar w:fldCharType="begin"/>
        </w:r>
        <w:r w:rsidRPr="00D854A1">
          <w:rPr>
            <w:rFonts w:asciiTheme="majorBidi" w:hAnsiTheme="majorBidi" w:cstheme="majorBidi"/>
            <w:sz w:val="24"/>
            <w:szCs w:val="24"/>
          </w:rPr>
          <w:instrText xml:space="preserve"> PAGE   \* MERGEFORMAT </w:instrText>
        </w:r>
        <w:r w:rsidRPr="00D854A1">
          <w:rPr>
            <w:rFonts w:asciiTheme="majorBidi" w:hAnsiTheme="majorBidi" w:cstheme="majorBidi"/>
            <w:sz w:val="24"/>
            <w:szCs w:val="24"/>
          </w:rPr>
          <w:fldChar w:fldCharType="separate"/>
        </w:r>
        <w:r w:rsidRPr="00D854A1">
          <w:rPr>
            <w:rFonts w:asciiTheme="majorBidi" w:hAnsiTheme="majorBidi" w:cstheme="majorBidi"/>
            <w:noProof/>
            <w:sz w:val="24"/>
            <w:szCs w:val="24"/>
          </w:rPr>
          <w:t>2</w:t>
        </w:r>
        <w:r w:rsidRPr="00D854A1">
          <w:rPr>
            <w:rFonts w:asciiTheme="majorBidi" w:hAnsiTheme="majorBidi" w:cstheme="majorBidi"/>
            <w:noProof/>
            <w:sz w:val="24"/>
            <w:szCs w:val="24"/>
          </w:rPr>
          <w:fldChar w:fldCharType="end"/>
        </w:r>
      </w:p>
    </w:sdtContent>
  </w:sdt>
  <w:p w14:paraId="0151FDF2" w14:textId="77777777" w:rsidR="008D372B" w:rsidRPr="00D854A1" w:rsidRDefault="008D372B">
    <w:pPr>
      <w:pStyle w:val="Footer"/>
      <w:rPr>
        <w:rFonts w:asciiTheme="majorBidi" w:hAnsiTheme="majorBidi" w:cstheme="majorBidi"/>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889FCC" w14:textId="77777777" w:rsidR="004C6E8C" w:rsidRDefault="004C6E8C" w:rsidP="008D372B">
      <w:pPr>
        <w:spacing w:after="0" w:line="240" w:lineRule="auto"/>
      </w:pPr>
      <w:r>
        <w:separator/>
      </w:r>
    </w:p>
  </w:footnote>
  <w:footnote w:type="continuationSeparator" w:id="0">
    <w:p w14:paraId="3B6F5BB5" w14:textId="77777777" w:rsidR="004C6E8C" w:rsidRDefault="004C6E8C" w:rsidP="008D372B">
      <w:pPr>
        <w:spacing w:after="0" w:line="240" w:lineRule="auto"/>
      </w:pPr>
      <w:r>
        <w:continuationSeparator/>
      </w:r>
    </w:p>
  </w:footnote>
  <w:footnote w:id="1">
    <w:p w14:paraId="689BABF9" w14:textId="2678D4B9" w:rsidR="008D372B" w:rsidRPr="00DE1A93" w:rsidRDefault="008D372B" w:rsidP="00463691">
      <w:pPr>
        <w:pStyle w:val="FootnoteText"/>
        <w:ind w:firstLine="720"/>
        <w:jc w:val="both"/>
        <w:rPr>
          <w:rFonts w:asciiTheme="majorBidi" w:hAnsiTheme="majorBidi" w:cstheme="majorBidi"/>
          <w:sz w:val="18"/>
          <w:szCs w:val="18"/>
          <w:lang w:val="en-US"/>
        </w:rPr>
      </w:pPr>
      <w:r w:rsidRPr="00DE1A93">
        <w:rPr>
          <w:rStyle w:val="FootnoteReference"/>
          <w:rFonts w:asciiTheme="majorBidi" w:hAnsiTheme="majorBidi" w:cstheme="majorBidi"/>
          <w:sz w:val="18"/>
          <w:szCs w:val="18"/>
        </w:rPr>
        <w:footnoteRef/>
      </w:r>
      <w:r w:rsidRPr="00DE1A93">
        <w:rPr>
          <w:rFonts w:asciiTheme="majorBidi" w:hAnsiTheme="majorBidi" w:cstheme="majorBidi"/>
          <w:sz w:val="18"/>
          <w:szCs w:val="18"/>
        </w:rPr>
        <w:t xml:space="preserve"> </w:t>
      </w:r>
      <w:r w:rsidRPr="00DE1A93">
        <w:rPr>
          <w:rFonts w:asciiTheme="majorBidi" w:hAnsiTheme="majorBidi" w:cstheme="majorBidi"/>
          <w:sz w:val="18"/>
          <w:szCs w:val="18"/>
        </w:rPr>
        <w:fldChar w:fldCharType="begin" w:fldLock="1"/>
      </w:r>
      <w:r>
        <w:rPr>
          <w:rFonts w:asciiTheme="majorBidi" w:hAnsiTheme="majorBidi" w:cstheme="majorBidi"/>
          <w:sz w:val="18"/>
          <w:szCs w:val="18"/>
        </w:rPr>
        <w:instrText>ADDIN CSL_CITATION {"citationItems":[{"id":"ITEM-1","itemData":{"URL":"https://quran.nu.or.id","accessed":{"date-parts":[["2024","2","10"]]},"author":[{"dropping-particle":"","family":"Quran.nu.or.i","given":"","non-dropping-particle":"","parse-names":false,"suffix":""}],"container-title":"https://quran.nu.or.id","id":"ITEM-1","issued":{"date-parts":[["0"]]},"title":"Al Quran","type":"webpage"},"uris":["http://www.mendeley.com/documents/?uuid=0d70ed8d-7f51-438b-b545-36b39f4bc4a9"]}],"mendeley":{"formattedCitation":"Quran.nu.or.i, “Al Quran,” &lt;i&gt;Https://Quran.Nu.or.Id&lt;/i&gt;, accessed February 10, 2024, https://quran.nu.or.id.","plainTextFormattedCitation":"Quran.nu.or.i, “Al Quran,” Https://Quran.Nu.or.Id, accessed February 10, 2024, https://quran.nu.or.id.","previouslyFormattedCitation":"Quran.nu.or.i, “Al Quran,” &lt;i&gt;Https://Quran.Nu.or.Id&lt;/i&gt;, accessed February 10, 2024, https://quran.nu.or.id."},"properties":{"noteIndex":1},"schema":"https://github.com/citation-style-language/schema/raw/master/csl-citation.json"}</w:instrText>
      </w:r>
      <w:r w:rsidRPr="00DE1A93">
        <w:rPr>
          <w:rFonts w:asciiTheme="majorBidi" w:hAnsiTheme="majorBidi" w:cstheme="majorBidi"/>
          <w:sz w:val="18"/>
          <w:szCs w:val="18"/>
        </w:rPr>
        <w:fldChar w:fldCharType="separate"/>
      </w:r>
      <w:r w:rsidRPr="00DE1A93">
        <w:rPr>
          <w:rFonts w:asciiTheme="majorBidi" w:hAnsiTheme="majorBidi" w:cstheme="majorBidi"/>
          <w:noProof/>
          <w:sz w:val="18"/>
          <w:szCs w:val="18"/>
        </w:rPr>
        <w:t xml:space="preserve">Quran.nu.or.i, “Al Quran,” </w:t>
      </w:r>
      <w:r w:rsidRPr="00DE1A93">
        <w:rPr>
          <w:rFonts w:asciiTheme="majorBidi" w:hAnsiTheme="majorBidi" w:cstheme="majorBidi"/>
          <w:i/>
          <w:noProof/>
          <w:sz w:val="18"/>
          <w:szCs w:val="18"/>
        </w:rPr>
        <w:t>Https://Quran.Nu.or.Id</w:t>
      </w:r>
      <w:r w:rsidRPr="00DE1A93">
        <w:rPr>
          <w:rFonts w:asciiTheme="majorBidi" w:hAnsiTheme="majorBidi" w:cstheme="majorBidi"/>
          <w:noProof/>
          <w:sz w:val="18"/>
          <w:szCs w:val="18"/>
        </w:rPr>
        <w:t>, accessed February 10, 2024, https://quran.nu.or.id.</w:t>
      </w:r>
      <w:r w:rsidRPr="00DE1A93">
        <w:rPr>
          <w:rFonts w:asciiTheme="majorBidi" w:hAnsiTheme="majorBidi" w:cstheme="majorBidi"/>
          <w:sz w:val="18"/>
          <w:szCs w:val="18"/>
        </w:rPr>
        <w:fldChar w:fldCharType="end"/>
      </w:r>
      <w:r w:rsidRPr="00DE1A93">
        <w:rPr>
          <w:rFonts w:asciiTheme="majorBidi" w:hAnsiTheme="majorBidi" w:cstheme="majorBidi"/>
          <w:sz w:val="18"/>
          <w:szCs w:val="18"/>
        </w:rPr>
        <w:t xml:space="preserve">, (Q.S </w:t>
      </w:r>
      <w:r w:rsidR="00B02AD8" w:rsidRPr="00B02AD8">
        <w:rPr>
          <w:rFonts w:asciiTheme="majorBidi" w:hAnsiTheme="majorBidi" w:cstheme="majorBidi"/>
          <w:sz w:val="18"/>
          <w:szCs w:val="18"/>
        </w:rPr>
        <w:t>An-Nur ayat 15</w:t>
      </w:r>
      <w:r w:rsidR="00B02AD8">
        <w:rPr>
          <w:rFonts w:asciiTheme="majorBidi" w:hAnsiTheme="majorBidi" w:cstheme="majorBidi"/>
          <w:sz w:val="18"/>
          <w:szCs w:val="18"/>
        </w:rPr>
        <w:t>)</w:t>
      </w:r>
    </w:p>
  </w:footnote>
  <w:footnote w:id="2">
    <w:p w14:paraId="00A9BB0D" w14:textId="42926917" w:rsidR="009B7112" w:rsidRDefault="008D372B" w:rsidP="00463691">
      <w:pPr>
        <w:pStyle w:val="FootnoteText"/>
        <w:ind w:firstLine="720"/>
        <w:jc w:val="both"/>
        <w:rPr>
          <w:rFonts w:asciiTheme="majorBidi" w:hAnsiTheme="majorBidi" w:cstheme="majorBidi"/>
          <w:noProof/>
          <w:sz w:val="18"/>
          <w:szCs w:val="18"/>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C30C23">
        <w:rPr>
          <w:rFonts w:asciiTheme="majorBidi" w:hAnsiTheme="majorBidi" w:cstheme="majorBidi"/>
          <w:sz w:val="18"/>
          <w:szCs w:val="18"/>
        </w:rPr>
        <w:instrText>ADDIN CSL_CITATION {"citationItems":[{"id":"ITEM-1","itemData":{"URL":"https://fahum.umsu.ac.id/macam-macam-saksi-dalam-perkara-pidana/","accessed":{"date-parts":[["2024","4","2"]]},"author":[{"dropping-particle":"","family":"Annisa","given":"","non-dropping-particle":"","parse-names":false,"suffix":""}],"container-title":"https://fahum.umsu.ac.id","id":"ITEM-1","issued":{"date-parts":[["0"]]},"title":"Macam-Macam Saksi Dalam Perkara Pidana","type":"webpage"},"uris":["http://www.mendeley.com/documents/?uuid=d4e9f07d-f66b-4150-aa18-78f232e49816"]}],"mendeley":{"formattedCitation":"Annisa, “Macam-Macam Saksi Dalam Perkara Pidana,” &lt;i&gt;Https://Fahum.Umsu.Ac.Id&lt;/i&gt;, accessed April 2, 2024, https://fahum.umsu.ac.id/macam-macam-saksi-dalam-perkara-pidana/.","manualFormatting":"Annisa, “Macam-Macam Saksi dalam Perkara Pidana,” Https://Fahum.Umsu.Ac.Id, accessed April 2, 2024, \rhttps://fahum.umsu.ac.id/macam-macam-saksi-dalam-perkara-pidana/.","plainTextFormattedCitation":"Annisa, “Macam-Macam Saksi Dalam Perkara Pidana,” Https://Fahum.Umsu.Ac.Id, accessed April 2, 2024, https://fahum.umsu.ac.id/macam-macam-saksi-dalam-perkara-pidana/.","previouslyFormattedCitation":"Annisa, “Macam-Macam Saksi Dalam Perkara Pidana,” &lt;i&gt;Https://Fahum.Umsu.Ac.Id&lt;/i&gt;, accessed April 2, 2024, https://fahum.umsu.ac.id/macam-macam-saksi-dalam-perkara-pidana/."},"properties":{"noteIndex":2},"schema":"https://github.com/citation-style-language/schema/raw/master/csl-citation.json"}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Annisa, “Macam-Macam Saksi </w:t>
      </w:r>
      <w:r w:rsidR="00704603">
        <w:rPr>
          <w:rFonts w:asciiTheme="majorBidi" w:hAnsiTheme="majorBidi" w:cstheme="majorBidi"/>
          <w:noProof/>
          <w:sz w:val="18"/>
          <w:szCs w:val="18"/>
        </w:rPr>
        <w:t>d</w:t>
      </w:r>
      <w:r w:rsidRPr="00BC0107">
        <w:rPr>
          <w:rFonts w:asciiTheme="majorBidi" w:hAnsiTheme="majorBidi" w:cstheme="majorBidi"/>
          <w:noProof/>
          <w:sz w:val="18"/>
          <w:szCs w:val="18"/>
        </w:rPr>
        <w:t xml:space="preserve">alam Perkara Pidana,” </w:t>
      </w:r>
      <w:r w:rsidRPr="00BC0107">
        <w:rPr>
          <w:rFonts w:asciiTheme="majorBidi" w:hAnsiTheme="majorBidi" w:cstheme="majorBidi"/>
          <w:i/>
          <w:noProof/>
          <w:sz w:val="18"/>
          <w:szCs w:val="18"/>
        </w:rPr>
        <w:t>Https://Fahum.Umsu.Ac.Id</w:t>
      </w:r>
      <w:r w:rsidRPr="00BC0107">
        <w:rPr>
          <w:rFonts w:asciiTheme="majorBidi" w:hAnsiTheme="majorBidi" w:cstheme="majorBidi"/>
          <w:noProof/>
          <w:sz w:val="18"/>
          <w:szCs w:val="18"/>
        </w:rPr>
        <w:t xml:space="preserve">, accessed April 2, 2024, </w:t>
      </w:r>
    </w:p>
    <w:p w14:paraId="180AA07A" w14:textId="5F920A80" w:rsidR="008D372B" w:rsidRPr="009B7112" w:rsidRDefault="008D372B" w:rsidP="009F7719">
      <w:pPr>
        <w:pStyle w:val="FootnoteText"/>
        <w:jc w:val="both"/>
        <w:rPr>
          <w:rFonts w:asciiTheme="majorBidi" w:hAnsiTheme="majorBidi" w:cstheme="majorBidi"/>
          <w:noProof/>
          <w:sz w:val="18"/>
          <w:szCs w:val="18"/>
        </w:rPr>
      </w:pPr>
      <w:r w:rsidRPr="00BC0107">
        <w:rPr>
          <w:rFonts w:asciiTheme="majorBidi" w:hAnsiTheme="majorBidi" w:cstheme="majorBidi"/>
          <w:noProof/>
          <w:sz w:val="18"/>
          <w:szCs w:val="18"/>
        </w:rPr>
        <w:t>https://fahum.umsu.ac.id/macam-macam-saksi-dalam-perkara-pidana/.</w:t>
      </w:r>
      <w:r w:rsidRPr="00BC0107">
        <w:rPr>
          <w:rFonts w:asciiTheme="majorBidi" w:hAnsiTheme="majorBidi" w:cstheme="majorBidi"/>
          <w:sz w:val="18"/>
          <w:szCs w:val="18"/>
        </w:rPr>
        <w:fldChar w:fldCharType="end"/>
      </w:r>
    </w:p>
  </w:footnote>
  <w:footnote w:id="3">
    <w:p w14:paraId="6ABB1AAB" w14:textId="19B13A3D" w:rsidR="008D372B" w:rsidRPr="00BC0107" w:rsidRDefault="008D372B" w:rsidP="00463691">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C30C23">
        <w:rPr>
          <w:rFonts w:asciiTheme="majorBidi" w:hAnsiTheme="majorBidi" w:cstheme="majorBidi"/>
          <w:sz w:val="18"/>
          <w:szCs w:val="18"/>
        </w:rPr>
        <w:instrText>ADDIN CSL_CITATION {"citationItems":[{"id":"ITEM-1","itemData":{"author":[{"dropping-particle":"","family":"Zakaria","given":"Chepi Ali Firman","non-dropping-particle":"","parse-names":false,"suffix":""},{"dropping-particle":"","family":"Mahmud","given":"Ade","non-dropping-particle":"","parse-names":false,"suffix":""},{"dropping-particle":"","family":"Mulyana","given":"Aji","non-dropping-particle":"","parse-names":false,"suffix":""}],"container-title":"Jurnal Penelitian Hukum De Jure","id":"ITEM-1","issued":{"date-parts":[["2023"]]},"page":"12","title":"Perlindungan Hukum Terhadap Anak Korban Pelecehan Seksual Dalam Perspektif Keadilan Restoratif Legal Protection For Child Victims Of Sexual Assault In A Restorative Justice Perspective","type":"article-journal","volume":"Vol.23, No"},"uris":["http://www.mendeley.com/documents/?uuid=6365a22b-5c34-49ca-bae1-146025dc94ee"]}],"mendeley":{"formattedCitation":"Chepi Ali Firman Zakaria, Ade Mahmud, and Aji Mulyana, “Perlindungan Hukum Terhadap Anak Korban Pelecehan Seksual Dalam Perspektif Keadilan Restoratif Legal Protection For Child Victims Of Sexual Assault In A Restorative Justice Perspective,” &lt;i&gt;Jurnal Penelitian Hukum De Jure&lt;/i&gt; Vol.23, No (2023): 12.","manualFormatting":"Chepi Ali Firman Zakaria, Ade Mahmud, and Aji Mulyana, “Perlindungan Hukum Terhadap Anak Korban Pelecehan Seksual dalam Perspektif Keadilan Restoratif Legal Protection For Child Victims Of Sexual Assault In A Restorative Justice Perspective,” Jurnal Penelitian Hukum De Jure Vol.23, No (2023): 12.","plainTextFormattedCitation":"Chepi Ali Firman Zakaria, Ade Mahmud, and Aji Mulyana, “Perlindungan Hukum Terhadap Anak Korban Pelecehan Seksual Dalam Perspektif Keadilan Restoratif Legal Protection For Child Victims Of Sexual Assault In A Restorative Justice Perspective,” Jurnal Penelitian Hukum De Jure Vol.23, No (2023): 12.","previouslyFormattedCitation":"Chepi Ali Firman Zakaria, Ade Mahmud, and Aji Mulyana, “Perlindungan Hukum Terhadap Anak Korban Pelecehan Seksual Dalam Perspektif Keadilan Restoratif Legal Protection For Child Victims Of Sexual Assault In A Restorative Justice Perspective,” &lt;i&gt;Jurnal Penelitian Hukum De Jure&lt;/i&gt; Vol.23, No (2023): 12."},"properties":{"noteIndex":3},"schema":"https://github.com/citation-style-language/schema/raw/master/csl-citation.json"}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Chepi Ali Firman Zakaria, Ade Mahmud, and Aji Mulyana, “Perlindungan Hukum Terhadap Anak Korban Pelecehan Seksual </w:t>
      </w:r>
      <w:r w:rsidR="00704603">
        <w:rPr>
          <w:rFonts w:asciiTheme="majorBidi" w:hAnsiTheme="majorBidi" w:cstheme="majorBidi"/>
          <w:noProof/>
          <w:sz w:val="18"/>
          <w:szCs w:val="18"/>
        </w:rPr>
        <w:t>d</w:t>
      </w:r>
      <w:r w:rsidRPr="00BC0107">
        <w:rPr>
          <w:rFonts w:asciiTheme="majorBidi" w:hAnsiTheme="majorBidi" w:cstheme="majorBidi"/>
          <w:noProof/>
          <w:sz w:val="18"/>
          <w:szCs w:val="18"/>
        </w:rPr>
        <w:t xml:space="preserve">alam Perspektif Keadilan Restoratif Legal Protection For Child Victims Of Sexual Assault In A Restorative Justice Perspective,” </w:t>
      </w:r>
      <w:r w:rsidRPr="00BC0107">
        <w:rPr>
          <w:rFonts w:asciiTheme="majorBidi" w:hAnsiTheme="majorBidi" w:cstheme="majorBidi"/>
          <w:i/>
          <w:noProof/>
          <w:sz w:val="18"/>
          <w:szCs w:val="18"/>
        </w:rPr>
        <w:t>Jurnal Penelitian Hukum De Jure</w:t>
      </w:r>
      <w:r w:rsidRPr="00BC0107">
        <w:rPr>
          <w:rFonts w:asciiTheme="majorBidi" w:hAnsiTheme="majorBidi" w:cstheme="majorBidi"/>
          <w:noProof/>
          <w:sz w:val="18"/>
          <w:szCs w:val="18"/>
        </w:rPr>
        <w:t xml:space="preserve"> Vol.23, No (2023): 12.</w:t>
      </w:r>
      <w:r w:rsidRPr="00BC0107">
        <w:rPr>
          <w:rFonts w:asciiTheme="majorBidi" w:hAnsiTheme="majorBidi" w:cstheme="majorBidi"/>
          <w:sz w:val="18"/>
          <w:szCs w:val="18"/>
        </w:rPr>
        <w:fldChar w:fldCharType="end"/>
      </w:r>
    </w:p>
  </w:footnote>
  <w:footnote w:id="4">
    <w:p w14:paraId="53D97DC1" w14:textId="77777777" w:rsidR="0083343C" w:rsidRDefault="00C30C23" w:rsidP="00463691">
      <w:pPr>
        <w:pStyle w:val="FootnoteText"/>
        <w:ind w:firstLine="720"/>
        <w:jc w:val="both"/>
        <w:rPr>
          <w:rFonts w:asciiTheme="majorBidi" w:hAnsiTheme="majorBidi" w:cstheme="majorBidi"/>
          <w:noProof/>
          <w:sz w:val="18"/>
          <w:szCs w:val="18"/>
        </w:rPr>
      </w:pPr>
      <w:r w:rsidRPr="00C30C23">
        <w:rPr>
          <w:rStyle w:val="FootnoteReference"/>
          <w:rFonts w:asciiTheme="majorBidi" w:hAnsiTheme="majorBidi" w:cstheme="majorBidi"/>
          <w:sz w:val="18"/>
          <w:szCs w:val="18"/>
        </w:rPr>
        <w:footnoteRef/>
      </w:r>
      <w:r w:rsidRPr="00C30C23">
        <w:rPr>
          <w:rFonts w:asciiTheme="majorBidi" w:hAnsiTheme="majorBidi" w:cstheme="majorBidi"/>
          <w:sz w:val="18"/>
          <w:szCs w:val="18"/>
        </w:rPr>
        <w:t xml:space="preserve"> </w:t>
      </w:r>
      <w:r w:rsidRPr="00C30C23">
        <w:rPr>
          <w:rFonts w:asciiTheme="majorBidi" w:hAnsiTheme="majorBidi" w:cstheme="majorBidi"/>
          <w:sz w:val="18"/>
          <w:szCs w:val="18"/>
        </w:rPr>
        <w:fldChar w:fldCharType="begin" w:fldLock="1"/>
      </w:r>
      <w:r w:rsidR="008C19B8">
        <w:rPr>
          <w:rFonts w:asciiTheme="majorBidi" w:hAnsiTheme="majorBidi" w:cstheme="majorBidi"/>
          <w:sz w:val="18"/>
          <w:szCs w:val="18"/>
        </w:rPr>
        <w:instrText>ADDIN CSL_CITATION {"citationItems":[{"id":"ITEM-1","itemData":{"URL":"https://www.kpai.go.id/publikasi/catatan-pengawasan-perlindungan-anak-di-masa-transisi-pandemi-pengasuhan-positif-anak-indonesia-terbebas-dari-kekerasan","accessed":{"date-parts":[["2023","12","22"]]},"author":[{"dropping-particle":"","family":"Komisi Perlindungan Anak Indonesia (KPAI)","given":"","non-dropping-particle":"","parse-names":false,"suffix":""}],"container-title":"Berita KPAI","id":"ITEM-1","issued":{"date-parts":[["2023"]]},"title":"Catatan Pengawasan Perlindungan Anak di Masa Transisi Pandemi; Pengasuhan Positif, Anak Indonesia Terbebas dari Kekerasan","type":"webpage"},"uris":["http://www.mendeley.com/documents/?uuid=be5e5a58-d70e-41d3-b729-0e4e2a4f3be9"]}],"mendeley":{"formattedCitation":"Komisi Perlindungan Anak Indonesia (KPAI), “Catatan Pengawasan Perlindungan Anak Di Masa Transisi Pandemi; Pengasuhan Positif, Anak Indonesia Terbebas Dari Kekerasan,” &lt;i&gt;Berita KPAI&lt;/i&gt;, last modified 2023, accessed December 22, 2023, https://www.kpai.go.id/publikasi/catatan-pengawasan-perlindungan-anak-di-masa-transisi-pandemi-pengasuhan-positif-anak-indonesia-terbebas-dari-kekerasan.","manualFormatting":"Komisi Perlindungan Anak Indonesia (KPAI), “Catatan Pengawasan Perlindungan Anak Di Masa Transisi Pandemi; Pengasuhan Positif, Anak Indonesia Terbebas dari Kekerasan,” Berita KPAI, last modified 2023, accessed December 22, 2023, https://www.kpai.go.id/publikasi/catatan-pengawasan-perlindungan-anak-di-masa-transisi-pandemi-pengasuhan-positif-anak-indonesia-terbebas-dari-kekerasan.","plainTextFormattedCitation":"Komisi Perlindungan Anak Indonesia (KPAI), “Catatan Pengawasan Perlindungan Anak Di Masa Transisi Pandemi; Pengasuhan Positif, Anak Indonesia Terbebas Dari Kekerasan,” Berita KPAI, last modified 2023, accessed December 22, 2023, https://www.kpai.go.id/publikasi/catatan-pengawasan-perlindungan-anak-di-masa-transisi-pandemi-pengasuhan-positif-anak-indonesia-terbebas-dari-kekerasan.","previouslyFormattedCitation":"Komisi Perlindungan Anak Indonesia (KPAI), “Catatan Pengawasan Perlindungan Anak Di Masa Transisi Pandemi; Pengasuhan Positif, Anak Indonesia Terbebas Dari Kekerasan,” &lt;i&gt;Berita KPAI&lt;/i&gt;, last modified 2023, accessed December 22, 2023, https://www.kpai.go.id/publikasi/catatan-pengawasan-perlindungan-anak-di-masa-transisi-pandemi-pengasuhan-positif-anak-indonesia-terbebas-dari-kekerasan."},"properties":{"noteIndex":4},"schema":"https://github.com/citation-style-language/schema/raw/master/csl-citation.json"}</w:instrText>
      </w:r>
      <w:r w:rsidRPr="00C30C23">
        <w:rPr>
          <w:rFonts w:asciiTheme="majorBidi" w:hAnsiTheme="majorBidi" w:cstheme="majorBidi"/>
          <w:sz w:val="18"/>
          <w:szCs w:val="18"/>
        </w:rPr>
        <w:fldChar w:fldCharType="separate"/>
      </w:r>
      <w:r w:rsidRPr="00C30C23">
        <w:rPr>
          <w:rFonts w:asciiTheme="majorBidi" w:hAnsiTheme="majorBidi" w:cstheme="majorBidi"/>
          <w:noProof/>
          <w:sz w:val="18"/>
          <w:szCs w:val="18"/>
        </w:rPr>
        <w:t xml:space="preserve">Komisi Perlindungan Anak Indonesia (KPAI), “Catatan Pengawasan Perlindungan Anak Di Masa Transisi Pandemi; Pengasuhan Positif, Anak Indonesia Terbebas </w:t>
      </w:r>
      <w:r>
        <w:rPr>
          <w:rFonts w:asciiTheme="majorBidi" w:hAnsiTheme="majorBidi" w:cstheme="majorBidi"/>
          <w:noProof/>
          <w:sz w:val="18"/>
          <w:szCs w:val="18"/>
        </w:rPr>
        <w:t>d</w:t>
      </w:r>
      <w:r w:rsidRPr="00C30C23">
        <w:rPr>
          <w:rFonts w:asciiTheme="majorBidi" w:hAnsiTheme="majorBidi" w:cstheme="majorBidi"/>
          <w:noProof/>
          <w:sz w:val="18"/>
          <w:szCs w:val="18"/>
        </w:rPr>
        <w:t xml:space="preserve">ari Kekerasan,” </w:t>
      </w:r>
      <w:r w:rsidRPr="00C30C23">
        <w:rPr>
          <w:rFonts w:asciiTheme="majorBidi" w:hAnsiTheme="majorBidi" w:cstheme="majorBidi"/>
          <w:i/>
          <w:noProof/>
          <w:sz w:val="18"/>
          <w:szCs w:val="18"/>
        </w:rPr>
        <w:t>Berita KPAI</w:t>
      </w:r>
      <w:r w:rsidRPr="00C30C23">
        <w:rPr>
          <w:rFonts w:asciiTheme="majorBidi" w:hAnsiTheme="majorBidi" w:cstheme="majorBidi"/>
          <w:noProof/>
          <w:sz w:val="18"/>
          <w:szCs w:val="18"/>
        </w:rPr>
        <w:t>, last modified 2023, accessed December 22, 2023,</w:t>
      </w:r>
    </w:p>
    <w:p w14:paraId="0E6B7CB8" w14:textId="0378FEF4" w:rsidR="00C30C23" w:rsidRPr="00C30C23" w:rsidRDefault="00C30C23" w:rsidP="0083343C">
      <w:pPr>
        <w:pStyle w:val="FootnoteText"/>
        <w:jc w:val="both"/>
        <w:rPr>
          <w:rFonts w:asciiTheme="majorBidi" w:hAnsiTheme="majorBidi" w:cstheme="majorBidi"/>
          <w:sz w:val="18"/>
          <w:szCs w:val="18"/>
          <w:lang w:val="en-US"/>
        </w:rPr>
      </w:pPr>
      <w:r w:rsidRPr="00C30C23">
        <w:rPr>
          <w:rFonts w:asciiTheme="majorBidi" w:hAnsiTheme="majorBidi" w:cstheme="majorBidi"/>
          <w:noProof/>
          <w:sz w:val="18"/>
          <w:szCs w:val="18"/>
        </w:rPr>
        <w:t>https://www.kpai.go.id/publikasi/catatan-pengawasan-perlindungan-anak-di-masa-transisi-pandemi-pengasuhan-positif-anak-indonesia-terbebas-dari-kekerasan.</w:t>
      </w:r>
      <w:r w:rsidRPr="00C30C23">
        <w:rPr>
          <w:rFonts w:asciiTheme="majorBidi" w:hAnsiTheme="majorBidi" w:cstheme="majorBidi"/>
          <w:sz w:val="18"/>
          <w:szCs w:val="18"/>
        </w:rPr>
        <w:fldChar w:fldCharType="end"/>
      </w:r>
    </w:p>
  </w:footnote>
  <w:footnote w:id="5">
    <w:p w14:paraId="6BB2F899" w14:textId="77777777" w:rsidR="0083343C" w:rsidRDefault="008D372B" w:rsidP="00463691">
      <w:pPr>
        <w:pStyle w:val="FootnoteText"/>
        <w:ind w:firstLine="720"/>
        <w:jc w:val="both"/>
        <w:rPr>
          <w:rFonts w:asciiTheme="majorBidi" w:hAnsiTheme="majorBidi" w:cstheme="majorBidi"/>
          <w:noProof/>
          <w:sz w:val="18"/>
          <w:szCs w:val="18"/>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8C19B8">
        <w:rPr>
          <w:rFonts w:asciiTheme="majorBidi" w:hAnsiTheme="majorBidi" w:cstheme="majorBidi"/>
          <w:sz w:val="18"/>
          <w:szCs w:val="18"/>
        </w:rPr>
        <w:instrText>ADDIN CSL_CITATION {"citationItems":[{"id":"ITEM-1","itemData":{"URL":"https://databoks.katadata.co.id/datapublish/2023/12/29/komnas-pa-ada-3547-kasus-kekerasan-anak-2023-terbanyak-kekerasan-seksual","accessed":{"date-parts":[["2024","4","2"]]},"author":[{"dropping-particle":"","family":"Nabilah Muhammad","given":"","non-dropping-particle":"","parse-names":false,"suffix":""}],"container-title":"https://databoks.katadata.co.id","id":"ITEM-1","issued":{"date-parts":[["2023"]]},"title":"Komnas PA: Ada 3.547 Kasus Kekerasan Anak 2023, Terbanyak Kekerasan Seksual","type":"webpage"},"uris":["http://www.mendeley.com/documents/?uuid=f152fb02-0aaf-408d-925e-12c20e4a422c"]}],"mendeley":{"formattedCitation":"Nabilah Muhammad, “Komnas PA: Ada 3.547 Kasus Kekerasan Anak 2023, Terbanyak Kekerasan Seksual,” &lt;i&gt;Https://Databoks.Katadata.Co.Id&lt;/i&gt;, last modified 2023, accessed April 2, 2024, https://databoks.katadata.co.id/datapublish/2023/12/29/komnas-pa-ada-3547-kasus-kekerasan-anak-2023-terbanyak-kekerasan-seksual.","manualFormatting":"Nabilah Muhammad, “Komnas PA: Ada 3.547 Kasus Kekerasan Anak 2023, Terbanyak Kekerasan Seksual,” Https://Databoks.Katadata.Co.Id, last modified 2023, accessed April 2, 2024, https://databoks.katadata.co.id/datapublish/2023/12/29/komnas-pa-ada-3547-kasus-kekerasan-anak-2023-terbanyak-kekerasan-seksual.","plainTextFormattedCitation":"Nabilah Muhammad, “Komnas PA: Ada 3.547 Kasus Kekerasan Anak 2023, Terbanyak Kekerasan Seksual,” Https://Databoks.Katadata.Co.Id, last modified 2023, accessed April 2, 2024, https://databoks.katadata.co.id/datapublish/2023/12/29/komnas-pa-ada-3547-kasus-kekerasan-anak-2023-terbanyak-kekerasan-seksual.","previouslyFormattedCitation":"Nabilah Muhammad, “Komnas PA: Ada 3.547 Kasus Kekerasan Anak 2023, Terbanyak Kekerasan Seksual,” &lt;i&gt;Https://Databoks.Katadata.Co.Id&lt;/i&gt;, last modified 2023, accessed April 2, 2024, https://databoks.katadata.co.id/datapublish/2023/12/29/komnas-pa-ada-3547-kasus-kekerasan-anak-2023-terbanyak-kekerasan-seksual."},"properties":{"noteIndex":5},"schema":"https://github.com/citation-style-language/schema/raw/master/csl-citation.json"}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Nabilah Muhammad, “Komnas PA: Ada 3.547 Kasus Kekerasan Anak 2023, Terbanyak Kekerasan Seksual,” </w:t>
      </w:r>
      <w:r w:rsidRPr="00BC0107">
        <w:rPr>
          <w:rFonts w:asciiTheme="majorBidi" w:hAnsiTheme="majorBidi" w:cstheme="majorBidi"/>
          <w:i/>
          <w:noProof/>
          <w:sz w:val="18"/>
          <w:szCs w:val="18"/>
        </w:rPr>
        <w:t>Https://Databoks.Katadata.Co.Id</w:t>
      </w:r>
      <w:r w:rsidRPr="00BC0107">
        <w:rPr>
          <w:rFonts w:asciiTheme="majorBidi" w:hAnsiTheme="majorBidi" w:cstheme="majorBidi"/>
          <w:noProof/>
          <w:sz w:val="18"/>
          <w:szCs w:val="18"/>
        </w:rPr>
        <w:t>, last modified 2023, accessed April 2, 2024,</w:t>
      </w:r>
    </w:p>
    <w:p w14:paraId="0956C7B0" w14:textId="01566D7D" w:rsidR="008D372B" w:rsidRPr="00C30C23" w:rsidRDefault="008D372B" w:rsidP="0083343C">
      <w:pPr>
        <w:pStyle w:val="FootnoteText"/>
        <w:jc w:val="both"/>
        <w:rPr>
          <w:rFonts w:asciiTheme="majorBidi" w:hAnsiTheme="majorBidi" w:cstheme="majorBidi"/>
          <w:noProof/>
          <w:sz w:val="18"/>
          <w:szCs w:val="18"/>
        </w:rPr>
      </w:pPr>
      <w:r w:rsidRPr="00BC0107">
        <w:rPr>
          <w:rFonts w:asciiTheme="majorBidi" w:hAnsiTheme="majorBidi" w:cstheme="majorBidi"/>
          <w:noProof/>
          <w:sz w:val="18"/>
          <w:szCs w:val="18"/>
        </w:rPr>
        <w:t>https://databoks.katadata.co.id/datapublish/2023/12/29/komnas-pa-ada-3547-kasus-kekerasan-anak-2023-terbanyak-kekerasan-seksual.</w:t>
      </w:r>
      <w:r w:rsidRPr="00BC0107">
        <w:rPr>
          <w:rFonts w:asciiTheme="majorBidi" w:hAnsiTheme="majorBidi" w:cstheme="majorBidi"/>
          <w:sz w:val="18"/>
          <w:szCs w:val="18"/>
        </w:rPr>
        <w:fldChar w:fldCharType="end"/>
      </w:r>
    </w:p>
  </w:footnote>
  <w:footnote w:id="6">
    <w:p w14:paraId="6137738B" w14:textId="2B076DBE" w:rsidR="008D372B" w:rsidRPr="00BC0107" w:rsidRDefault="008D372B" w:rsidP="00463691">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8C19B8">
        <w:rPr>
          <w:rFonts w:asciiTheme="majorBidi" w:hAnsiTheme="majorBidi" w:cstheme="majorBidi"/>
          <w:sz w:val="18"/>
          <w:szCs w:val="18"/>
        </w:rPr>
        <w:instrText>ADDIN CSL_CITATION {"citationItems":[{"id":"ITEM-1","itemData":{"author":[{"dropping-particle":"","family":"Asmuni","given":"","non-dropping-particle":"","parse-names":false,"suffix":""}],"container-title":"Jurnal hukum dan Peradilan","id":"ITEM-1","issued":{"date-parts":[["2014"]]},"title":"Testimonium De Auditu Telaah Perspektif Hukum Acara Perdata Dan Fiqh","type":"article-journal","volume":"Volume 3,N"},"uris":["http://www.mendeley.com/documents/?uuid=6ad60a39-618c-40bb-8297-6504bb96de72"]}],"mendeley":{"formattedCitation":"Asmuni, “Testimonium De Auditu Telaah Perspektif Hukum Acara Perdata Dan Fiqh,” &lt;i&gt;Jurnal hukum dan Peradilan&lt;/i&gt; Volume 3,N (2014).","manualFormatting":"Asmuni, “Testimonium De Auditu Telaah Perspektif Hukum Acara Perdata dan Fiqh,” Jurnal hukum dan Peradilan Volume 3,N (2014).","plainTextFormattedCitation":"Asmuni, “Testimonium De Auditu Telaah Perspektif Hukum Acara Perdata Dan Fiqh,” Jurnal hukum dan Peradilan Volume 3,N (2014).","previouslyFormattedCitation":"Asmuni, “Testimonium De Auditu Telaah Perspektif Hukum Acara Perdata Dan Fiqh,” &lt;i&gt;Jurnal hukum dan Peradilan&lt;/i&gt; Volume 3,N (2014)."},"properties":{"noteIndex":6},"schema":"https://github.com/citation-style-language/schema/raw/master/csl-citation.json"}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Asmuni, “Testimonium De Auditu Telaah Perspektif Hukum Acara Perdata </w:t>
      </w:r>
      <w:r w:rsidR="00C30C23">
        <w:rPr>
          <w:rFonts w:asciiTheme="majorBidi" w:hAnsiTheme="majorBidi" w:cstheme="majorBidi"/>
          <w:noProof/>
          <w:sz w:val="18"/>
          <w:szCs w:val="18"/>
        </w:rPr>
        <w:t>d</w:t>
      </w:r>
      <w:r w:rsidRPr="00BC0107">
        <w:rPr>
          <w:rFonts w:asciiTheme="majorBidi" w:hAnsiTheme="majorBidi" w:cstheme="majorBidi"/>
          <w:noProof/>
          <w:sz w:val="18"/>
          <w:szCs w:val="18"/>
        </w:rPr>
        <w:t xml:space="preserve">an Fiqh,” </w:t>
      </w:r>
      <w:r w:rsidRPr="00BC0107">
        <w:rPr>
          <w:rFonts w:asciiTheme="majorBidi" w:hAnsiTheme="majorBidi" w:cstheme="majorBidi"/>
          <w:i/>
          <w:noProof/>
          <w:sz w:val="18"/>
          <w:szCs w:val="18"/>
        </w:rPr>
        <w:t>Jurnal hukum dan Peradilan</w:t>
      </w:r>
      <w:r w:rsidRPr="00BC0107">
        <w:rPr>
          <w:rFonts w:asciiTheme="majorBidi" w:hAnsiTheme="majorBidi" w:cstheme="majorBidi"/>
          <w:noProof/>
          <w:sz w:val="18"/>
          <w:szCs w:val="18"/>
        </w:rPr>
        <w:t xml:space="preserve"> Volume 3,N (2014).</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 xml:space="preserve">, </w:t>
      </w:r>
      <w:r>
        <w:rPr>
          <w:rFonts w:asciiTheme="majorBidi" w:hAnsiTheme="majorBidi" w:cstheme="majorBidi"/>
          <w:sz w:val="18"/>
          <w:szCs w:val="18"/>
        </w:rPr>
        <w:t>h</w:t>
      </w:r>
      <w:r w:rsidRPr="00BC0107">
        <w:rPr>
          <w:rFonts w:asciiTheme="majorBidi" w:hAnsiTheme="majorBidi" w:cstheme="majorBidi"/>
          <w:sz w:val="18"/>
          <w:szCs w:val="18"/>
        </w:rPr>
        <w:t>lm 192</w:t>
      </w:r>
    </w:p>
  </w:footnote>
  <w:footnote w:id="7">
    <w:p w14:paraId="275875B6" w14:textId="164836F9" w:rsidR="008D372B" w:rsidRPr="00BC0107" w:rsidRDefault="008D372B" w:rsidP="00463691">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8C19B8">
        <w:rPr>
          <w:rFonts w:asciiTheme="majorBidi" w:hAnsiTheme="majorBidi" w:cstheme="majorBidi"/>
          <w:sz w:val="18"/>
          <w:szCs w:val="18"/>
        </w:rPr>
        <w:instrText>ADDIN CSL_CITATION {"citationItems":[{"id":"ITEM-1","itemData":{"author":[{"dropping-particle":"","family":"Teguh Syuhada Lubis","given":"","non-dropping-particle":"","parse-names":false,"suffix":""}],"edition":"cet.1","editor":[{"dropping-particle":"","family":"Fajaruddin","given":"","non-dropping-particle":"","parse-names":false,"suffix":""}],"id":"ITEM-1","issued":{"date-parts":[["2021"]]},"number-of-pages":"295","publisher":"CV. Pustaka Prima","publisher-place":"Medan","title":"Hukum Pembuktian Dalam Peradilan di Indonesia","type":"book"},"uris":["http://www.mendeley.com/documents/?uuid=aa9a9dae-974e-4dde-9020-524fd4f6dbef"]}],"mendeley":{"formattedCitation":"Teguh Syuhada Lubis, &lt;i&gt;Hukum Pembuktian Dalam Peradilan Di Indonesia&lt;/i&gt;, ed. Fajaruddin, cet. 1. (Medan: CV. Pustaka Prima, 2021).","manualFormatting":"Teguh Syuhada Lubis, Hukum Pembuktian dalam Peradilan di Indonesia, ed. Fajaruddin, cet. 1. (Medan: CV. Pustaka Prima, 2021).","plainTextFormattedCitation":"Teguh Syuhada Lubis, Hukum Pembuktian Dalam Peradilan Di Indonesia, ed. Fajaruddin, cet. 1. (Medan: CV. Pustaka Prima, 2021).","previouslyFormattedCitation":"Teguh Syuhada Lubis, &lt;i&gt;Hukum Pembuktian Dalam Peradilan Di Indonesia&lt;/i&gt;, ed. Fajaruddin, cet. 1. (Medan: CV. Pustaka Prima, 2021)."},"properties":{"noteIndex":7},"schema":"https://github.com/citation-style-language/schema/raw/master/csl-citation.json"}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Teguh Syuhada Lubis, </w:t>
      </w:r>
      <w:r w:rsidRPr="00BC0107">
        <w:rPr>
          <w:rFonts w:asciiTheme="majorBidi" w:hAnsiTheme="majorBidi" w:cstheme="majorBidi"/>
          <w:i/>
          <w:noProof/>
          <w:sz w:val="18"/>
          <w:szCs w:val="18"/>
        </w:rPr>
        <w:t xml:space="preserve">Hukum Pembuktian </w:t>
      </w:r>
      <w:r w:rsidR="00C30C23">
        <w:rPr>
          <w:rFonts w:asciiTheme="majorBidi" w:hAnsiTheme="majorBidi" w:cstheme="majorBidi"/>
          <w:i/>
          <w:noProof/>
          <w:sz w:val="18"/>
          <w:szCs w:val="18"/>
        </w:rPr>
        <w:t>d</w:t>
      </w:r>
      <w:r w:rsidRPr="00BC0107">
        <w:rPr>
          <w:rFonts w:asciiTheme="majorBidi" w:hAnsiTheme="majorBidi" w:cstheme="majorBidi"/>
          <w:i/>
          <w:noProof/>
          <w:sz w:val="18"/>
          <w:szCs w:val="18"/>
        </w:rPr>
        <w:t xml:space="preserve">alam Peradilan </w:t>
      </w:r>
      <w:r w:rsidR="00C30C23">
        <w:rPr>
          <w:rFonts w:asciiTheme="majorBidi" w:hAnsiTheme="majorBidi" w:cstheme="majorBidi"/>
          <w:i/>
          <w:noProof/>
          <w:sz w:val="18"/>
          <w:szCs w:val="18"/>
        </w:rPr>
        <w:t>d</w:t>
      </w:r>
      <w:r w:rsidRPr="00BC0107">
        <w:rPr>
          <w:rFonts w:asciiTheme="majorBidi" w:hAnsiTheme="majorBidi" w:cstheme="majorBidi"/>
          <w:i/>
          <w:noProof/>
          <w:sz w:val="18"/>
          <w:szCs w:val="18"/>
        </w:rPr>
        <w:t>i Indonesia</w:t>
      </w:r>
      <w:r w:rsidRPr="00BC0107">
        <w:rPr>
          <w:rFonts w:asciiTheme="majorBidi" w:hAnsiTheme="majorBidi" w:cstheme="majorBidi"/>
          <w:noProof/>
          <w:sz w:val="18"/>
          <w:szCs w:val="18"/>
        </w:rPr>
        <w:t>, ed. Fajaruddin, cet. 1. (Medan: CV. Pustaka Prima, 2021).</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 xml:space="preserve">, </w:t>
      </w:r>
      <w:r>
        <w:rPr>
          <w:rFonts w:asciiTheme="majorBidi" w:hAnsiTheme="majorBidi" w:cstheme="majorBidi"/>
          <w:sz w:val="18"/>
          <w:szCs w:val="18"/>
        </w:rPr>
        <w:t>h</w:t>
      </w:r>
      <w:r w:rsidRPr="00BC0107">
        <w:rPr>
          <w:rFonts w:asciiTheme="majorBidi" w:hAnsiTheme="majorBidi" w:cstheme="majorBidi"/>
          <w:sz w:val="18"/>
          <w:szCs w:val="18"/>
        </w:rPr>
        <w:t>lm 58</w:t>
      </w:r>
    </w:p>
  </w:footnote>
  <w:footnote w:id="8">
    <w:p w14:paraId="07A89545" w14:textId="7895534D" w:rsidR="008D372B" w:rsidRPr="00976C63" w:rsidRDefault="008D372B" w:rsidP="00463691">
      <w:pPr>
        <w:pStyle w:val="FootnoteText"/>
        <w:ind w:firstLine="720"/>
        <w:jc w:val="both"/>
        <w:rPr>
          <w:lang w:val="en-US"/>
        </w:rPr>
      </w:pPr>
      <w:r>
        <w:rPr>
          <w:rStyle w:val="FootnoteReference"/>
        </w:rPr>
        <w:footnoteRef/>
      </w:r>
      <w:r w:rsidRPr="00976C63">
        <w:rPr>
          <w:rFonts w:asciiTheme="majorBidi" w:hAnsiTheme="majorBidi" w:cstheme="majorBidi"/>
          <w:sz w:val="18"/>
          <w:szCs w:val="18"/>
        </w:rPr>
        <w:t xml:space="preserve"> Lihat Pasal 184 KUHAP </w:t>
      </w:r>
      <w:r w:rsidRPr="00976C63">
        <w:rPr>
          <w:rFonts w:asciiTheme="majorBidi" w:hAnsiTheme="majorBidi" w:cstheme="majorBidi"/>
          <w:sz w:val="18"/>
          <w:szCs w:val="18"/>
        </w:rPr>
        <w:fldChar w:fldCharType="begin" w:fldLock="1"/>
      </w:r>
      <w:r w:rsidR="00C30C23">
        <w:rPr>
          <w:rFonts w:asciiTheme="majorBidi" w:hAnsiTheme="majorBidi" w:cstheme="majorBidi"/>
          <w:sz w:val="18"/>
          <w:szCs w:val="18"/>
        </w:rPr>
        <w:instrText>ADDIN CSL_CITATION {"citationItems":[{"id":"ITEM-1","itemData":{"ISBN":"978-979-518-141-5","author":[{"dropping-particle":"","family":"Andi Hamzah","given":"","non-dropping-particle":"","parse-names":false,"suffix":""}],"edition":"cet 20","id":"ITEM-1","issued":{"date-parts":[["2016"]]},"number-of-pages":"432","publisher":"Rineka Cipta","publisher-place":"Jakarta, Indonesia","title":"KUHP dan KUHAP","type":"book"},"uris":["http://www.mendeley.com/documents/?uuid=6a7acdc1-456e-4a33-9142-8886727b093c"]}],"mendeley":{"formattedCitation":"Andi Hamzah, &lt;i&gt;KUHP Dan KUHAP&lt;/i&gt;, cet 20. (Jakarta, Indonesia: Rineka Cipta, 2016).","plainTextFormattedCitation":"Andi Hamzah, KUHP Dan KUHAP, cet 20. (Jakarta, Indonesia: Rineka Cipta, 2016).","previouslyFormattedCitation":"Andi Hamzah, &lt;i&gt;KUHP Dan KUHAP&lt;/i&gt;, cet 20. (Jakarta, Indonesia: Rineka Cipta, 2016)."},"properties":{"noteIndex":8},"schema":"https://github.com/citation-style-language/schema/raw/master/csl-citation.json"}</w:instrText>
      </w:r>
      <w:r w:rsidRPr="00976C63">
        <w:rPr>
          <w:rFonts w:asciiTheme="majorBidi" w:hAnsiTheme="majorBidi" w:cstheme="majorBidi"/>
          <w:sz w:val="18"/>
          <w:szCs w:val="18"/>
        </w:rPr>
        <w:fldChar w:fldCharType="separate"/>
      </w:r>
      <w:r w:rsidRPr="00976C63">
        <w:rPr>
          <w:rFonts w:asciiTheme="majorBidi" w:hAnsiTheme="majorBidi" w:cstheme="majorBidi"/>
          <w:noProof/>
          <w:sz w:val="18"/>
          <w:szCs w:val="18"/>
        </w:rPr>
        <w:t xml:space="preserve">Andi Hamzah, </w:t>
      </w:r>
      <w:r w:rsidRPr="00976C63">
        <w:rPr>
          <w:rFonts w:asciiTheme="majorBidi" w:hAnsiTheme="majorBidi" w:cstheme="majorBidi"/>
          <w:i/>
          <w:noProof/>
          <w:sz w:val="18"/>
          <w:szCs w:val="18"/>
        </w:rPr>
        <w:t xml:space="preserve">KUHP </w:t>
      </w:r>
      <w:r w:rsidR="0083343C">
        <w:rPr>
          <w:rFonts w:asciiTheme="majorBidi" w:hAnsiTheme="majorBidi" w:cstheme="majorBidi"/>
          <w:i/>
          <w:noProof/>
          <w:sz w:val="18"/>
          <w:szCs w:val="18"/>
        </w:rPr>
        <w:t>d</w:t>
      </w:r>
      <w:r w:rsidRPr="00976C63">
        <w:rPr>
          <w:rFonts w:asciiTheme="majorBidi" w:hAnsiTheme="majorBidi" w:cstheme="majorBidi"/>
          <w:i/>
          <w:noProof/>
          <w:sz w:val="18"/>
          <w:szCs w:val="18"/>
        </w:rPr>
        <w:t>an KUHAP</w:t>
      </w:r>
      <w:r w:rsidRPr="00976C63">
        <w:rPr>
          <w:rFonts w:asciiTheme="majorBidi" w:hAnsiTheme="majorBidi" w:cstheme="majorBidi"/>
          <w:noProof/>
          <w:sz w:val="18"/>
          <w:szCs w:val="18"/>
        </w:rPr>
        <w:t>, cet 20. (Jakarta, Indonesia: Rineka Cipta, 2016).</w:t>
      </w:r>
      <w:r w:rsidRPr="00976C63">
        <w:rPr>
          <w:rFonts w:asciiTheme="majorBidi" w:hAnsiTheme="majorBidi" w:cstheme="majorBidi"/>
          <w:sz w:val="18"/>
          <w:szCs w:val="18"/>
        </w:rPr>
        <w:fldChar w:fldCharType="end"/>
      </w:r>
    </w:p>
  </w:footnote>
  <w:footnote w:id="9">
    <w:p w14:paraId="69733CD9" w14:textId="24D776F3" w:rsidR="008D372B" w:rsidRDefault="008D372B" w:rsidP="00463691">
      <w:pPr>
        <w:pStyle w:val="FootnoteText"/>
        <w:ind w:firstLine="720"/>
        <w:jc w:val="both"/>
        <w:rPr>
          <w:rFonts w:asciiTheme="majorBidi" w:hAnsiTheme="majorBidi" w:cstheme="majorBidi"/>
          <w:noProof/>
          <w:sz w:val="18"/>
          <w:szCs w:val="18"/>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Pr>
          <w:rFonts w:asciiTheme="majorBidi" w:hAnsiTheme="majorBidi" w:cstheme="majorBidi"/>
          <w:sz w:val="18"/>
          <w:szCs w:val="18"/>
        </w:rPr>
        <w:t>Lihat</w:t>
      </w:r>
      <w:r w:rsidR="006E4E41">
        <w:rPr>
          <w:rFonts w:asciiTheme="majorBidi" w:hAnsiTheme="majorBidi" w:cstheme="majorBidi"/>
          <w:sz w:val="18"/>
          <w:szCs w:val="18"/>
        </w:rPr>
        <w:t xml:space="preserve"> </w:t>
      </w:r>
      <w:r>
        <w:rPr>
          <w:rFonts w:asciiTheme="majorBidi" w:hAnsiTheme="majorBidi" w:cstheme="majorBidi"/>
          <w:sz w:val="18"/>
          <w:szCs w:val="18"/>
        </w:rPr>
        <w:t xml:space="preserve">dalam Putusan </w:t>
      </w:r>
      <w:r w:rsidRPr="00BC0107">
        <w:rPr>
          <w:rFonts w:asciiTheme="majorBidi" w:hAnsiTheme="majorBidi" w:cstheme="majorBidi"/>
          <w:sz w:val="18"/>
          <w:szCs w:val="18"/>
        </w:rPr>
        <w:fldChar w:fldCharType="begin" w:fldLock="1"/>
      </w:r>
      <w:r w:rsidR="00C30C23">
        <w:rPr>
          <w:rFonts w:asciiTheme="majorBidi" w:hAnsiTheme="majorBidi" w:cstheme="majorBidi"/>
          <w:sz w:val="18"/>
          <w:szCs w:val="18"/>
        </w:rPr>
        <w:instrText>ADDIN CSL_CITATION {"citationItems":[{"id":"ITEM-1","itemData":{"author":[{"dropping-particle":"","family":"Mahkamah Konstitusi Republik Indonesia","given":"","non-dropping-particle":"","parse-names":false,"suffix":""}],"id":"ITEM-1","issued":{"date-parts":[["2010"]]},"number":"Nomor 65/PUU-VIII/2010","page":"94","publisher-place":"Indonesia","title":"Putusan Nomor 65/PUU-VIII/2010","type":"legislation"},"uris":["http://www.mendeley.com/documents/?uuid=d65a4eab-24ac-438a-8c19-c769d16ca9ca"]}],"mendeley":{"formattedCitation":"Mahkamah Konstitusi Republik Indonesia, &lt;i&gt;Putusan Nomor 65/PUU-VIII/2010&lt;/i&gt; (Indonesia, 2010), https://mkri.id/public/content/persidangan/putusan/putusan_sidang_65 PUU_TELAH_BACA.pdf.","manualFormatting":"Mahkamah Konstitusi Republik Indonesia, Putusan Nomor 65/PUU-VIII/2010 (Indonesia, 2010), \rhttps://mkri.id/public/content/persidangan/putusan/putusan_sidang_65 PUU_TELAH_BACA.pdf.","plainTextFormattedCitation":"Mahkamah Konstitusi Republik Indonesia, Putusan Nomor 65/PUU-VIII/2010 (Indonesia, 2010), https://mkri.id/public/content/persidangan/putusan/putusan_sidang_65 PUU_TELAH_BACA.pdf.","previouslyFormattedCitation":"Mahkamah Konstitusi Republik Indonesia, &lt;i&gt;Putusan Nomor 65/PUU-VIII/2010&lt;/i&gt; (Indonesia, 2010), https://mkri.id/public/content/persidangan/putusan/putusan_sidang_65 PUU_TELAH_BACA.pdf."},"properties":{"noteIndex":9},"schema":"https://github.com/citation-style-language/schema/raw/master/csl-citation.json"}</w:instrText>
      </w:r>
      <w:r w:rsidRPr="00BC0107">
        <w:rPr>
          <w:rFonts w:asciiTheme="majorBidi" w:hAnsiTheme="majorBidi" w:cstheme="majorBidi"/>
          <w:sz w:val="18"/>
          <w:szCs w:val="18"/>
        </w:rPr>
        <w:fldChar w:fldCharType="separate"/>
      </w:r>
      <w:r w:rsidRPr="00BC541D">
        <w:rPr>
          <w:rFonts w:asciiTheme="majorBidi" w:hAnsiTheme="majorBidi" w:cstheme="majorBidi"/>
          <w:noProof/>
          <w:sz w:val="18"/>
          <w:szCs w:val="18"/>
        </w:rPr>
        <w:t xml:space="preserve">Mahkamah Konstitusi Republik Indonesia, </w:t>
      </w:r>
      <w:r w:rsidRPr="00BC541D">
        <w:rPr>
          <w:rFonts w:asciiTheme="majorBidi" w:hAnsiTheme="majorBidi" w:cstheme="majorBidi"/>
          <w:i/>
          <w:noProof/>
          <w:sz w:val="18"/>
          <w:szCs w:val="18"/>
        </w:rPr>
        <w:t>Putusan Nomor 65/PUU-VIII/2010</w:t>
      </w:r>
      <w:r w:rsidRPr="00BC541D">
        <w:rPr>
          <w:rFonts w:asciiTheme="majorBidi" w:hAnsiTheme="majorBidi" w:cstheme="majorBidi"/>
          <w:noProof/>
          <w:sz w:val="18"/>
          <w:szCs w:val="18"/>
        </w:rPr>
        <w:t xml:space="preserve"> (Indonesia, 2010), </w:t>
      </w:r>
    </w:p>
    <w:p w14:paraId="04F2474C" w14:textId="77777777" w:rsidR="008D372B" w:rsidRPr="00BC0107" w:rsidRDefault="008D372B" w:rsidP="00463691">
      <w:pPr>
        <w:pStyle w:val="FootnoteText"/>
        <w:jc w:val="both"/>
        <w:rPr>
          <w:rFonts w:asciiTheme="majorBidi" w:hAnsiTheme="majorBidi" w:cstheme="majorBidi"/>
          <w:sz w:val="18"/>
          <w:szCs w:val="18"/>
          <w:lang w:val="en-US"/>
        </w:rPr>
      </w:pPr>
      <w:r w:rsidRPr="00BC541D">
        <w:rPr>
          <w:rFonts w:asciiTheme="majorBidi" w:hAnsiTheme="majorBidi" w:cstheme="majorBidi"/>
          <w:noProof/>
          <w:sz w:val="18"/>
          <w:szCs w:val="18"/>
        </w:rPr>
        <w:t>https://mkri.id/public/content/persidangan/putusan/putusan_sidang_65 PUU_TELAH_BACA.pdf.</w:t>
      </w:r>
      <w:r w:rsidRPr="00BC0107">
        <w:rPr>
          <w:rFonts w:asciiTheme="majorBidi" w:hAnsiTheme="majorBidi" w:cstheme="majorBidi"/>
          <w:sz w:val="18"/>
          <w:szCs w:val="18"/>
        </w:rPr>
        <w:fldChar w:fldCharType="end"/>
      </w:r>
    </w:p>
  </w:footnote>
  <w:footnote w:id="10">
    <w:p w14:paraId="6A80A32E" w14:textId="543C0E13" w:rsidR="006E4E41" w:rsidRPr="006E4E41" w:rsidRDefault="006E4E41" w:rsidP="00463691">
      <w:pPr>
        <w:pStyle w:val="FootnoteText"/>
        <w:ind w:firstLine="720"/>
        <w:jc w:val="both"/>
        <w:rPr>
          <w:rFonts w:asciiTheme="majorBidi" w:hAnsiTheme="majorBidi" w:cstheme="majorBidi"/>
          <w:sz w:val="18"/>
          <w:szCs w:val="18"/>
          <w:lang w:val="en-US"/>
        </w:rPr>
      </w:pPr>
      <w:r w:rsidRPr="006E4E41">
        <w:rPr>
          <w:rStyle w:val="FootnoteReference"/>
          <w:rFonts w:asciiTheme="majorBidi" w:hAnsiTheme="majorBidi" w:cstheme="majorBidi"/>
          <w:sz w:val="18"/>
          <w:szCs w:val="18"/>
        </w:rPr>
        <w:footnoteRef/>
      </w:r>
      <w:r w:rsidRPr="006E4E41">
        <w:rPr>
          <w:rFonts w:asciiTheme="majorBidi" w:hAnsiTheme="majorBidi" w:cstheme="majorBidi"/>
          <w:sz w:val="18"/>
          <w:szCs w:val="18"/>
        </w:rPr>
        <w:t xml:space="preserve"> </w:t>
      </w:r>
      <w:r>
        <w:rPr>
          <w:rFonts w:asciiTheme="majorBidi" w:hAnsiTheme="majorBidi" w:cstheme="majorBidi"/>
          <w:sz w:val="18"/>
          <w:szCs w:val="18"/>
        </w:rPr>
        <w:t>L</w:t>
      </w:r>
      <w:r w:rsidRPr="006E4E41">
        <w:rPr>
          <w:rFonts w:asciiTheme="majorBidi" w:hAnsiTheme="majorBidi" w:cstheme="majorBidi"/>
          <w:sz w:val="18"/>
          <w:szCs w:val="18"/>
        </w:rPr>
        <w:t xml:space="preserve">ihat </w:t>
      </w:r>
      <w:r>
        <w:rPr>
          <w:rFonts w:asciiTheme="majorBidi" w:hAnsiTheme="majorBidi" w:cstheme="majorBidi"/>
          <w:sz w:val="18"/>
          <w:szCs w:val="18"/>
        </w:rPr>
        <w:t>P</w:t>
      </w:r>
      <w:r w:rsidRPr="006E4E41">
        <w:rPr>
          <w:rFonts w:asciiTheme="majorBidi" w:hAnsiTheme="majorBidi" w:cstheme="majorBidi"/>
          <w:sz w:val="18"/>
          <w:szCs w:val="18"/>
        </w:rPr>
        <w:t xml:space="preserve">asal 31 </w:t>
      </w:r>
      <w:r>
        <w:rPr>
          <w:rFonts w:asciiTheme="majorBidi" w:hAnsiTheme="majorBidi" w:cstheme="majorBidi"/>
          <w:sz w:val="18"/>
          <w:szCs w:val="18"/>
        </w:rPr>
        <w:t xml:space="preserve">Tentang Pengertian Saksi dalam </w:t>
      </w:r>
      <w:r w:rsidRPr="006E4E41">
        <w:rPr>
          <w:rFonts w:asciiTheme="majorBidi" w:hAnsiTheme="majorBidi" w:cstheme="majorBidi"/>
          <w:sz w:val="18"/>
          <w:szCs w:val="18"/>
        </w:rPr>
        <w:fldChar w:fldCharType="begin" w:fldLock="1"/>
      </w:r>
      <w:r w:rsidR="00C30C23">
        <w:rPr>
          <w:rFonts w:asciiTheme="majorBidi" w:hAnsiTheme="majorBidi" w:cstheme="majorBidi"/>
          <w:sz w:val="18"/>
          <w:szCs w:val="18"/>
        </w:rPr>
        <w:instrText>ADDIN CSL_CITATION {"citationItems":[{"id":"ITEM-1","itemData":{"author":[{"dropping-particle":"","family":"Gubernur Provinsi Aceh","given":"","non-dropping-particle":"","parse-names":false,"suffix":""}],"id":"ITEM-1","issued":{"date-parts":[["2013"]]},"page":"112","publisher-place":"Indonesia","title":"Qanun Aceh Nomor 7 tahun 2013 Tentang Hukum Acara Jinayat","type":"legislation"},"uris":["http://www.mendeley.com/documents/?uuid=dcdd0077-68a6-4123-980f-f0586d8c5b75"]}],"mendeley":{"formattedCitation":"Gubernur Provinsi Aceh, &lt;i&gt;Qanun Aceh Nomor 7 Tahun 2013 Tentang Hukum Acara Jinayat&lt;/i&gt; (Indonesia, 2013).","plainTextFormattedCitation":"Gubernur Provinsi Aceh, Qanun Aceh Nomor 7 Tahun 2013 Tentang Hukum Acara Jinayat (Indonesia, 2013).","previouslyFormattedCitation":"Gubernur Provinsi Aceh, &lt;i&gt;Qanun Aceh Nomor 7 Tahun 2013 Tentang Hukum Acara Jinayat&lt;/i&gt; (Indonesia, 2013)."},"properties":{"noteIndex":10},"schema":"https://github.com/citation-style-language/schema/raw/master/csl-citation.json"}</w:instrText>
      </w:r>
      <w:r w:rsidRPr="006E4E41">
        <w:rPr>
          <w:rFonts w:asciiTheme="majorBidi" w:hAnsiTheme="majorBidi" w:cstheme="majorBidi"/>
          <w:sz w:val="18"/>
          <w:szCs w:val="18"/>
        </w:rPr>
        <w:fldChar w:fldCharType="separate"/>
      </w:r>
      <w:r w:rsidRPr="006E4E41">
        <w:rPr>
          <w:rFonts w:asciiTheme="majorBidi" w:hAnsiTheme="majorBidi" w:cstheme="majorBidi"/>
          <w:noProof/>
          <w:sz w:val="18"/>
          <w:szCs w:val="18"/>
        </w:rPr>
        <w:t xml:space="preserve">Gubernur Provinsi Aceh, </w:t>
      </w:r>
      <w:r w:rsidRPr="006E4E41">
        <w:rPr>
          <w:rFonts w:asciiTheme="majorBidi" w:hAnsiTheme="majorBidi" w:cstheme="majorBidi"/>
          <w:i/>
          <w:noProof/>
          <w:sz w:val="18"/>
          <w:szCs w:val="18"/>
        </w:rPr>
        <w:t>Qanun Aceh Nomor 7 Tahun 2013 Tentang Hukum Acara Jinayat</w:t>
      </w:r>
      <w:r w:rsidRPr="006E4E41">
        <w:rPr>
          <w:rFonts w:asciiTheme="majorBidi" w:hAnsiTheme="majorBidi" w:cstheme="majorBidi"/>
          <w:noProof/>
          <w:sz w:val="18"/>
          <w:szCs w:val="18"/>
        </w:rPr>
        <w:t xml:space="preserve"> (Indonesia, 2013).</w:t>
      </w:r>
      <w:r w:rsidRPr="006E4E41">
        <w:rPr>
          <w:rFonts w:asciiTheme="majorBidi" w:hAnsiTheme="majorBidi" w:cstheme="majorBidi"/>
          <w:sz w:val="18"/>
          <w:szCs w:val="18"/>
        </w:rPr>
        <w:fldChar w:fldCharType="end"/>
      </w:r>
    </w:p>
  </w:footnote>
  <w:footnote w:id="11">
    <w:p w14:paraId="5DA5E8C1" w14:textId="7867A966" w:rsidR="008D372B" w:rsidRPr="00BC0107" w:rsidRDefault="008D372B" w:rsidP="00463691">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463691">
        <w:rPr>
          <w:rFonts w:asciiTheme="majorBidi" w:hAnsiTheme="majorBidi" w:cstheme="majorBidi"/>
          <w:sz w:val="18"/>
          <w:szCs w:val="18"/>
        </w:rPr>
        <w:instrText>ADDIN CSL_CITATION {"citationItems":[{"id":"ITEM-1","itemData":{"author":[{"dropping-particle":"","family":"Dr. Rohmadi","given":"","non-dropping-particle":"","parse-names":false,"suffix":""}],"edition":"cet 1","editor":[{"dropping-particle":"","family":"Nazar Nurdin","given":"","non-dropping-particle":"","parse-names":false,"suffix":""}],"id":"ITEM-1","issued":{"date-parts":[["2021"]]},"number-of-pages":"196","publisher":"CV. Lawwana","publisher-place":"Semarang","title":"Hukum acara Pidana Islam","type":"book"},"uris":["http://www.mendeley.com/documents/?uuid=da804e95-c012-4b54-8638-32341dd4e0cf"]}],"mendeley":{"formattedCitation":"Dr. Rohmadi, &lt;i&gt;Hukum Acara Pidana Islam&lt;/i&gt;, ed. Nazar Nurdin, cet 1. (Semarang: CV. Lawwana, 2021).","plainTextFormattedCitation":"Dr. Rohmadi, Hukum Acara Pidana Islam, ed. Nazar Nurdin, cet 1. (Semarang: CV. Lawwana, 2021).","previouslyFormattedCitation":"Dr. Rohmadi, &lt;i&gt;Hukum Acara Pidana Islam&lt;/i&gt;, ed. Nazar Nurdin, cet 1. (Semarang: CV. Lawwana, 2021)."},"properties":{"noteIndex":11},"schema":"https://github.com/citation-style-language/schema/raw/master/csl-citation.json"}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Dr. Rohmadi, </w:t>
      </w:r>
      <w:r w:rsidRPr="00BC0107">
        <w:rPr>
          <w:rFonts w:asciiTheme="majorBidi" w:hAnsiTheme="majorBidi" w:cstheme="majorBidi"/>
          <w:i/>
          <w:noProof/>
          <w:sz w:val="18"/>
          <w:szCs w:val="18"/>
        </w:rPr>
        <w:t>Hukum Acara Pidana Islam</w:t>
      </w:r>
      <w:r w:rsidRPr="00BC0107">
        <w:rPr>
          <w:rFonts w:asciiTheme="majorBidi" w:hAnsiTheme="majorBidi" w:cstheme="majorBidi"/>
          <w:noProof/>
          <w:sz w:val="18"/>
          <w:szCs w:val="18"/>
        </w:rPr>
        <w:t>, ed. Nazar Nurdin, cet 1. (Semarang: CV. Lawwana, 2021).</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,105</w:t>
      </w:r>
    </w:p>
  </w:footnote>
  <w:footnote w:id="12">
    <w:p w14:paraId="40DF0C28" w14:textId="71800BC3" w:rsidR="008D372B" w:rsidRPr="00CF79FD" w:rsidRDefault="008D372B" w:rsidP="00463691">
      <w:pPr>
        <w:pStyle w:val="FootnoteText"/>
        <w:ind w:firstLine="720"/>
        <w:jc w:val="both"/>
        <w:rPr>
          <w:rFonts w:asciiTheme="majorBidi" w:hAnsiTheme="majorBidi" w:cstheme="majorBidi"/>
          <w:sz w:val="18"/>
          <w:szCs w:val="18"/>
          <w:lang w:val="en-US"/>
        </w:rPr>
      </w:pPr>
      <w:r w:rsidRPr="00CF79FD">
        <w:rPr>
          <w:rStyle w:val="FootnoteReference"/>
          <w:rFonts w:asciiTheme="majorBidi" w:hAnsiTheme="majorBidi" w:cstheme="majorBidi"/>
          <w:sz w:val="18"/>
          <w:szCs w:val="18"/>
        </w:rPr>
        <w:footnoteRef/>
      </w:r>
      <w:r w:rsidRPr="00CF79FD">
        <w:rPr>
          <w:rFonts w:asciiTheme="majorBidi" w:hAnsiTheme="majorBidi" w:cstheme="majorBidi"/>
          <w:sz w:val="18"/>
          <w:szCs w:val="18"/>
        </w:rPr>
        <w:t xml:space="preserve"> </w:t>
      </w:r>
      <w:r w:rsidRPr="00CF79FD">
        <w:rPr>
          <w:rFonts w:asciiTheme="majorBidi" w:hAnsiTheme="majorBidi" w:cstheme="majorBidi"/>
          <w:sz w:val="18"/>
          <w:szCs w:val="18"/>
        </w:rPr>
        <w:fldChar w:fldCharType="begin" w:fldLock="1"/>
      </w:r>
      <w:r w:rsidR="00463691">
        <w:rPr>
          <w:rFonts w:asciiTheme="majorBidi" w:hAnsiTheme="majorBidi" w:cstheme="majorBidi"/>
          <w:sz w:val="18"/>
          <w:szCs w:val="18"/>
        </w:rPr>
        <w:instrText>ADDIN CSL_CITATION {"citationItems":[{"id":"ITEM-1","itemData":{"author":[{"dropping-particle":"","family":"Syafruddin Syam, Rizki Muhammad Haris","given":"Fachruddin Zakarya","non-dropping-particle":"","parse-names":false,"suffix":""}],"container-title":"Al-Qadha: Jurnal Hukum Islam dan Perundang-Undangan","id":"ITEM-1","issued":{"date-parts":[["2022"]]},"page":"14","title":"Studi Legalitas Saksi Syahadah Al-Istifadah Dalam Pembuktian Perkara Itsbat Nikah: Pendekatan Maqashid Syari’ah (Analisis Kasus di Mahkamah Syar'iyah Meulaboh)","type":"article-journal","volume":"Vol 9 No 2"},"uris":["http://www.mendeley.com/documents/?uuid=ac4bba64-cc91-488f-86c5-8fc970a8dc3e"]}],"mendeley":{"formattedCitation":"Fachruddin Zakarya Syafruddin Syam, Rizki Muhammad Haris, “Studi Legalitas Saksi Syahadah Al-Istifadah Dalam Pembuktian Perkara Itsbat Nikah: Pendekatan Maqashid Syari’ah (Analisis Kasus Di Mahkamah Syar’iyah Meulaboh),” &lt;i&gt;Al-Qadha: Jurnal Hukum Islam dan Perundang-Undangan&lt;/i&gt; Vol 9 No 2 (2022): 14.","plainTextFormattedCitation":"Fachruddin Zakarya Syafruddin Syam, Rizki Muhammad Haris, “Studi Legalitas Saksi Syahadah Al-Istifadah Dalam Pembuktian Perkara Itsbat Nikah: Pendekatan Maqashid Syari’ah (Analisis Kasus Di Mahkamah Syar’iyah Meulaboh),” Al-Qadha: Jurnal Hukum Islam dan Perundang-Undangan Vol 9 No 2 (2022): 14.","previouslyFormattedCitation":"Fachruddin Zakarya Syafruddin Syam, Rizki Muhammad Haris, “Studi Legalitas Saksi Syahadah Al-Istifadah Dalam Pembuktian Perkara Itsbat Nikah: Pendekatan Maqashid Syari’ah (Analisis Kasus Di Mahkamah Syar’iyah Meulaboh),” &lt;i&gt;Al-Qadha: Jurnal Hukum Islam dan Perundang-Undangan&lt;/i&gt; Vol 9 No 2 (2022): 14."},"properties":{"noteIndex":13},"schema":"https://github.com/citation-style-language/schema/raw/master/csl-citation.json"}</w:instrText>
      </w:r>
      <w:r w:rsidRPr="00CF79FD">
        <w:rPr>
          <w:rFonts w:asciiTheme="majorBidi" w:hAnsiTheme="majorBidi" w:cstheme="majorBidi"/>
          <w:sz w:val="18"/>
          <w:szCs w:val="18"/>
        </w:rPr>
        <w:fldChar w:fldCharType="separate"/>
      </w:r>
      <w:r w:rsidRPr="00CF79FD">
        <w:rPr>
          <w:rFonts w:asciiTheme="majorBidi" w:hAnsiTheme="majorBidi" w:cstheme="majorBidi"/>
          <w:noProof/>
          <w:sz w:val="18"/>
          <w:szCs w:val="18"/>
        </w:rPr>
        <w:t xml:space="preserve">Fachruddin Zakarya Syafruddin Syam, Rizki Muhammad Haris, “Studi Legalitas Saksi Syahadah Al-Istifadah </w:t>
      </w:r>
      <w:r w:rsidR="0083343C">
        <w:rPr>
          <w:rFonts w:asciiTheme="majorBidi" w:hAnsiTheme="majorBidi" w:cstheme="majorBidi"/>
          <w:noProof/>
          <w:sz w:val="18"/>
          <w:szCs w:val="18"/>
        </w:rPr>
        <w:t>d</w:t>
      </w:r>
      <w:r w:rsidRPr="00CF79FD">
        <w:rPr>
          <w:rFonts w:asciiTheme="majorBidi" w:hAnsiTheme="majorBidi" w:cstheme="majorBidi"/>
          <w:noProof/>
          <w:sz w:val="18"/>
          <w:szCs w:val="18"/>
        </w:rPr>
        <w:t xml:space="preserve">alam Pembuktian Perkara Itsbat Nikah: Pendekatan Maqashid Syari’ah (Analisis Kasus Di Mahkamah Syar’iyah Meulaboh),” </w:t>
      </w:r>
      <w:r w:rsidRPr="00CF79FD">
        <w:rPr>
          <w:rFonts w:asciiTheme="majorBidi" w:hAnsiTheme="majorBidi" w:cstheme="majorBidi"/>
          <w:i/>
          <w:noProof/>
          <w:sz w:val="18"/>
          <w:szCs w:val="18"/>
        </w:rPr>
        <w:t>Al-Qadha: Jurnal Hukum Islam dan Perundang-Undangan</w:t>
      </w:r>
      <w:r w:rsidRPr="00CF79FD">
        <w:rPr>
          <w:rFonts w:asciiTheme="majorBidi" w:hAnsiTheme="majorBidi" w:cstheme="majorBidi"/>
          <w:noProof/>
          <w:sz w:val="18"/>
          <w:szCs w:val="18"/>
        </w:rPr>
        <w:t xml:space="preserve"> Vol 9 No 2 (2022): 14.</w:t>
      </w:r>
      <w:r w:rsidRPr="00CF79FD">
        <w:rPr>
          <w:rFonts w:asciiTheme="majorBidi" w:hAnsiTheme="majorBidi" w:cstheme="majorBidi"/>
          <w:sz w:val="18"/>
          <w:szCs w:val="18"/>
        </w:rPr>
        <w:fldChar w:fldCharType="end"/>
      </w:r>
      <w:r>
        <w:rPr>
          <w:rFonts w:asciiTheme="majorBidi" w:hAnsiTheme="majorBidi" w:cstheme="majorBidi"/>
          <w:sz w:val="18"/>
          <w:szCs w:val="18"/>
        </w:rPr>
        <w:t>, hlm 398</w:t>
      </w:r>
    </w:p>
  </w:footnote>
  <w:footnote w:id="13">
    <w:p w14:paraId="47E21E6B" w14:textId="4622A436" w:rsidR="008D372B" w:rsidRPr="00BC0107" w:rsidRDefault="008D372B" w:rsidP="00463691">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Pr>
          <w:rFonts w:asciiTheme="majorBidi" w:hAnsiTheme="majorBidi" w:cstheme="majorBidi"/>
          <w:sz w:val="18"/>
          <w:szCs w:val="18"/>
        </w:rPr>
        <w:t xml:space="preserve">Lihat di website, </w:t>
      </w:r>
      <w:r w:rsidRPr="00BC0107">
        <w:rPr>
          <w:rFonts w:asciiTheme="majorBidi" w:hAnsiTheme="majorBidi" w:cstheme="majorBidi"/>
          <w:sz w:val="18"/>
          <w:szCs w:val="18"/>
        </w:rPr>
        <w:fldChar w:fldCharType="begin" w:fldLock="1"/>
      </w:r>
      <w:r w:rsidR="00463691">
        <w:rPr>
          <w:rFonts w:asciiTheme="majorBidi" w:hAnsiTheme="majorBidi" w:cstheme="majorBidi"/>
          <w:sz w:val="18"/>
          <w:szCs w:val="18"/>
        </w:rPr>
        <w:instrText>ADDIN CSL_CITATION {"citationItems":[{"id":"ITEM-1","itemData":{"URL":"https://quran.nu.or.id","accessed":{"date-parts":[["2024","2","10"]]},"author":[{"dropping-particle":"","family":"Quran.nu.or.i","given":"","non-dropping-particle":"","parse-names":false,"suffix":""}],"container-title":"https://quran.nu.or.id","id":"ITEM-1","issued":{"date-parts":[["0"]]},"title":"Al Quran","type":"webpage"},"uris":["http://www.mendeley.com/documents/?uuid=0d70ed8d-7f51-438b-b545-36b39f4bc4a9"]}],"mendeley":{"formattedCitation":"Quran.nu.or.i, “Al Quran.”","plainTextFormattedCitation":"Quran.nu.or.i, “Al Quran.”","previouslyFormattedCitation":"Quran.nu.or.i, “Al Quran.”"},"properties":{"noteIndex":14},"schema":"https://github.com/citation-style-language/schema/raw/master/csl-citation.json"}</w:instrText>
      </w:r>
      <w:r w:rsidRPr="00BC0107">
        <w:rPr>
          <w:rFonts w:asciiTheme="majorBidi" w:hAnsiTheme="majorBidi" w:cstheme="majorBidi"/>
          <w:sz w:val="18"/>
          <w:szCs w:val="18"/>
        </w:rPr>
        <w:fldChar w:fldCharType="separate"/>
      </w:r>
      <w:r w:rsidRPr="008C58DD">
        <w:rPr>
          <w:rFonts w:asciiTheme="majorBidi" w:hAnsiTheme="majorBidi" w:cstheme="majorBidi"/>
          <w:noProof/>
          <w:sz w:val="18"/>
          <w:szCs w:val="18"/>
        </w:rPr>
        <w:t>Quran.nu.or.i, “Al Quran.”</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 xml:space="preserve"> (Q.S Al isra’:36)</w:t>
      </w:r>
    </w:p>
  </w:footnote>
  <w:footnote w:id="14">
    <w:p w14:paraId="101FDB1C" w14:textId="2FF36768" w:rsidR="00463691" w:rsidRPr="00463691" w:rsidRDefault="00463691" w:rsidP="00463691">
      <w:pPr>
        <w:pStyle w:val="FootnoteText"/>
        <w:ind w:firstLine="720"/>
        <w:rPr>
          <w:rFonts w:asciiTheme="majorBidi" w:hAnsiTheme="majorBidi" w:cstheme="majorBidi"/>
          <w:sz w:val="18"/>
          <w:szCs w:val="18"/>
          <w:lang w:val="en-US"/>
        </w:rPr>
      </w:pPr>
      <w:r w:rsidRPr="00463691">
        <w:rPr>
          <w:rStyle w:val="FootnoteReference"/>
          <w:rFonts w:asciiTheme="majorBidi" w:hAnsiTheme="majorBidi" w:cstheme="majorBidi"/>
          <w:sz w:val="18"/>
          <w:szCs w:val="18"/>
        </w:rPr>
        <w:footnoteRef/>
      </w:r>
      <w:r w:rsidRPr="00463691">
        <w:rPr>
          <w:rFonts w:asciiTheme="majorBidi" w:hAnsiTheme="majorBidi" w:cstheme="majorBidi"/>
          <w:sz w:val="18"/>
          <w:szCs w:val="18"/>
        </w:rPr>
        <w:t xml:space="preserve"> </w:t>
      </w:r>
      <w:r w:rsidRPr="00463691">
        <w:rPr>
          <w:rFonts w:asciiTheme="majorBidi" w:hAnsiTheme="majorBidi" w:cstheme="majorBidi"/>
          <w:sz w:val="18"/>
          <w:szCs w:val="18"/>
        </w:rPr>
        <w:fldChar w:fldCharType="begin" w:fldLock="1"/>
      </w:r>
      <w:r w:rsidR="0082570F">
        <w:rPr>
          <w:rFonts w:asciiTheme="majorBidi" w:hAnsiTheme="majorBidi" w:cstheme="majorBidi"/>
          <w:sz w:val="18"/>
          <w:szCs w:val="18"/>
        </w:rPr>
        <w:instrText>ADDIN CSL_CITATION {"citationItems":[{"id":"ITEM-1","itemData":{"URL":"https://quran.nu.or.id","accessed":{"date-parts":[["2024","2","10"]]},"author":[{"dropping-particle":"","family":"Quran.nu.or.i","given":"","non-dropping-particle":"","parse-names":false,"suffix":""}],"container-title":"https://quran.nu.or.id","id":"ITEM-1","issued":{"date-parts":[["0"]]},"title":"Al Quran","type":"webpage"},"uris":["http://www.mendeley.com/documents/?uuid=0d70ed8d-7f51-438b-b545-36b39f4bc4a9"]}],"mendeley":{"formattedCitation":"Ibid.","plainTextFormattedCitation":"Ibid.","previouslyFormattedCitation":"Ibid."},"properties":{"noteIndex":15},"schema":"https://github.com/citation-style-language/schema/raw/master/csl-citation.json"}</w:instrText>
      </w:r>
      <w:r w:rsidRPr="00463691">
        <w:rPr>
          <w:rFonts w:asciiTheme="majorBidi" w:hAnsiTheme="majorBidi" w:cstheme="majorBidi"/>
          <w:sz w:val="18"/>
          <w:szCs w:val="18"/>
        </w:rPr>
        <w:fldChar w:fldCharType="separate"/>
      </w:r>
      <w:r w:rsidRPr="00463691">
        <w:rPr>
          <w:rFonts w:asciiTheme="majorBidi" w:hAnsiTheme="majorBidi" w:cstheme="majorBidi"/>
          <w:noProof/>
          <w:sz w:val="18"/>
          <w:szCs w:val="18"/>
        </w:rPr>
        <w:t>Ibid.</w:t>
      </w:r>
      <w:r w:rsidRPr="00463691">
        <w:rPr>
          <w:rFonts w:asciiTheme="majorBidi" w:hAnsiTheme="majorBidi" w:cstheme="majorBidi"/>
          <w:sz w:val="18"/>
          <w:szCs w:val="18"/>
        </w:rPr>
        <w:fldChar w:fldCharType="end"/>
      </w:r>
      <w:r>
        <w:rPr>
          <w:rFonts w:asciiTheme="majorBidi" w:hAnsiTheme="majorBidi" w:cstheme="majorBidi"/>
          <w:sz w:val="18"/>
          <w:szCs w:val="18"/>
        </w:rPr>
        <w:t xml:space="preserve"> Terjemahan (</w:t>
      </w:r>
      <w:r w:rsidRPr="00463691">
        <w:rPr>
          <w:rFonts w:asciiTheme="majorBidi" w:hAnsiTheme="majorBidi" w:cstheme="majorBidi"/>
          <w:sz w:val="18"/>
          <w:szCs w:val="18"/>
        </w:rPr>
        <w:t>Q.S Al Isra’:36)</w:t>
      </w:r>
    </w:p>
  </w:footnote>
  <w:footnote w:id="15">
    <w:p w14:paraId="48B5B813" w14:textId="5474D3C3" w:rsidR="008D372B" w:rsidRPr="00BC0107" w:rsidRDefault="008D372B" w:rsidP="00463691">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CA04C8">
        <w:rPr>
          <w:rFonts w:asciiTheme="majorBidi" w:hAnsiTheme="majorBidi" w:cstheme="majorBidi"/>
          <w:sz w:val="18"/>
          <w:szCs w:val="18"/>
        </w:rPr>
        <w:instrText>ADDIN CSL_CITATION {"citationItems":[{"id":"ITEM-1","itemData":{"author":[{"dropping-particle":"","family":"Wahbah Az-Zuhaili","given":"","non-dropping-particle":"","parse-names":false,"suffix":""}],"id":"ITEM-1","issued":{"date-parts":[["2011"]]},"number-of-pages":"540","publisher":"Gema Insani Press","publisher-place":"Jakarta","title":"Fiqih Islam Wa Adillatuhu Jilid 8","type":"book"},"uris":["http://www.mendeley.com/documents/?uuid=5904bb3d-6276-4c5b-a218-86871b0c479d"]}],"mendeley":{"formattedCitation":"Wahbah Az-Zuhaili, &lt;i&gt;Fiqih Islam Wa Adillatuhu Jilid 8&lt;/i&gt; (Jakarta: Gema Insani Press, 2011).","plainTextFormattedCitation":"Wahbah Az-Zuhaili, Fiqih Islam Wa Adillatuhu Jilid 8 (Jakarta: Gema Insani Press, 2011).","previouslyFormattedCitation":"Wahbah Az-Zuhaili, &lt;i&gt;Fiqih Islam Wa Adillatuhu Jilid 8&lt;/i&gt; (Jakarta: Gema Insani Press, 2011)."},"properties":{"noteIndex":16},"schema":"https://github.com/citation-style-language/schema/raw/master/csl-citation.json"}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Wahbah Az-Zuhaili, </w:t>
      </w:r>
      <w:r w:rsidRPr="00BC0107">
        <w:rPr>
          <w:rFonts w:asciiTheme="majorBidi" w:hAnsiTheme="majorBidi" w:cstheme="majorBidi"/>
          <w:i/>
          <w:noProof/>
          <w:sz w:val="18"/>
          <w:szCs w:val="18"/>
        </w:rPr>
        <w:t>Fiqih Islam Wa Adillatuhu Jilid 8</w:t>
      </w:r>
      <w:r w:rsidRPr="00BC0107">
        <w:rPr>
          <w:rFonts w:asciiTheme="majorBidi" w:hAnsiTheme="majorBidi" w:cstheme="majorBidi"/>
          <w:noProof/>
          <w:sz w:val="18"/>
          <w:szCs w:val="18"/>
        </w:rPr>
        <w:t xml:space="preserve"> (Jakarta: Gema Insani Press, 2011).</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 xml:space="preserve">, </w:t>
      </w:r>
      <w:r w:rsidR="002C6793">
        <w:rPr>
          <w:rFonts w:asciiTheme="majorBidi" w:hAnsiTheme="majorBidi" w:cstheme="majorBidi"/>
          <w:sz w:val="18"/>
          <w:szCs w:val="18"/>
        </w:rPr>
        <w:t xml:space="preserve">hlm </w:t>
      </w:r>
      <w:r w:rsidRPr="00BC0107">
        <w:rPr>
          <w:rFonts w:asciiTheme="majorBidi" w:hAnsiTheme="majorBidi" w:cstheme="majorBidi"/>
          <w:sz w:val="18"/>
          <w:szCs w:val="18"/>
        </w:rPr>
        <w:t>181-183</w:t>
      </w:r>
    </w:p>
  </w:footnote>
  <w:footnote w:id="16">
    <w:p w14:paraId="7E639C7F" w14:textId="6551DCF2" w:rsidR="008D372B" w:rsidRPr="00E637CE" w:rsidRDefault="008D372B" w:rsidP="00463691">
      <w:pPr>
        <w:pStyle w:val="FootnoteText"/>
        <w:ind w:firstLine="720"/>
        <w:jc w:val="both"/>
        <w:rPr>
          <w:rFonts w:asciiTheme="majorBidi" w:hAnsiTheme="majorBidi" w:cstheme="majorBidi"/>
          <w:sz w:val="18"/>
          <w:szCs w:val="18"/>
          <w:lang w:val="en-US"/>
        </w:rPr>
      </w:pPr>
      <w:r w:rsidRPr="00E637CE">
        <w:rPr>
          <w:rStyle w:val="FootnoteReference"/>
          <w:rFonts w:asciiTheme="majorBidi" w:hAnsiTheme="majorBidi" w:cstheme="majorBidi"/>
          <w:sz w:val="18"/>
          <w:szCs w:val="18"/>
        </w:rPr>
        <w:footnoteRef/>
      </w:r>
      <w:r w:rsidRPr="00E637CE">
        <w:rPr>
          <w:rFonts w:asciiTheme="majorBidi" w:hAnsiTheme="majorBidi" w:cstheme="majorBidi"/>
          <w:sz w:val="18"/>
          <w:szCs w:val="18"/>
        </w:rPr>
        <w:t xml:space="preserve"> </w:t>
      </w:r>
      <w:r w:rsidRPr="00E637CE">
        <w:rPr>
          <w:rFonts w:asciiTheme="majorBidi" w:hAnsiTheme="majorBidi" w:cstheme="majorBidi"/>
          <w:sz w:val="18"/>
          <w:szCs w:val="18"/>
        </w:rPr>
        <w:fldChar w:fldCharType="begin" w:fldLock="1"/>
      </w:r>
      <w:r w:rsidR="00CA04C8">
        <w:rPr>
          <w:rFonts w:asciiTheme="majorBidi" w:hAnsiTheme="majorBidi" w:cstheme="majorBidi"/>
          <w:sz w:val="18"/>
          <w:szCs w:val="18"/>
        </w:rPr>
        <w:instrText>ADDIN CSL_CITATION {"citationItems":[{"id":"ITEM-1","itemData":{"author":[{"dropping-particle":"","family":"Achmad Irwan Hamzani","given":"","non-dropping-particle":"","parse-names":false,"suffix":""}],"editor":[{"dropping-particle":"","family":"Havis Aravik","given":"","non-dropping-particle":"","parse-names":false,"suffix":""}],"id":"ITEM-1","issued":{"date-parts":[["2018"]]},"number-of-pages":"182","publisher":"Penerbit Thafa Media","publisher-place":"Yogyakarta","title":"Asas Asas Hukum Islam Teori dan Implementasinya dalam Pengembangan Hukum di Indonesia","type":"book"},"uris":["http://www.mendeley.com/documents/?uuid=040e1ba7-b6b4-4b4d-9cd7-9dae9df83598"]}],"mendeley":{"formattedCitation":"Achmad Irwan Hamzani, &lt;i&gt;Asas Asas Hukum Islam Teori Dan Implementasinya Dalam Pengembangan Hukum Di Indonesia&lt;/i&gt;, ed. Havis Aravik (Yogyakarta: Penerbit Thafa Media, 2018).","plainTextFormattedCitation":"Achmad Irwan Hamzani, Asas Asas Hukum Islam Teori Dan Implementasinya Dalam Pengembangan Hukum Di Indonesia, ed. Havis Aravik (Yogyakarta: Penerbit Thafa Media, 2018).","previouslyFormattedCitation":"Achmad Irwan Hamzani, &lt;i&gt;Asas Asas Hukum Islam Teori Dan Implementasinya Dalam Pengembangan Hukum Di Indonesia&lt;/i&gt;, ed. Havis Aravik (Yogyakarta: Penerbit Thafa Media, 2018)."},"properties":{"noteIndex":17},"schema":"https://github.com/citation-style-language/schema/raw/master/csl-citation.json"}</w:instrText>
      </w:r>
      <w:r w:rsidRPr="00E637CE">
        <w:rPr>
          <w:rFonts w:asciiTheme="majorBidi" w:hAnsiTheme="majorBidi" w:cstheme="majorBidi"/>
          <w:sz w:val="18"/>
          <w:szCs w:val="18"/>
        </w:rPr>
        <w:fldChar w:fldCharType="separate"/>
      </w:r>
      <w:r w:rsidRPr="00E637CE">
        <w:rPr>
          <w:rFonts w:asciiTheme="majorBidi" w:hAnsiTheme="majorBidi" w:cstheme="majorBidi"/>
          <w:noProof/>
          <w:sz w:val="18"/>
          <w:szCs w:val="18"/>
        </w:rPr>
        <w:t xml:space="preserve">Achmad Irwan Hamzani, </w:t>
      </w:r>
      <w:r w:rsidRPr="00E637CE">
        <w:rPr>
          <w:rFonts w:asciiTheme="majorBidi" w:hAnsiTheme="majorBidi" w:cstheme="majorBidi"/>
          <w:i/>
          <w:noProof/>
          <w:sz w:val="18"/>
          <w:szCs w:val="18"/>
        </w:rPr>
        <w:t xml:space="preserve">Asas Asas Hukum Islam Teori </w:t>
      </w:r>
      <w:r w:rsidR="0083343C">
        <w:rPr>
          <w:rFonts w:asciiTheme="majorBidi" w:hAnsiTheme="majorBidi" w:cstheme="majorBidi"/>
          <w:i/>
          <w:noProof/>
          <w:sz w:val="18"/>
          <w:szCs w:val="18"/>
        </w:rPr>
        <w:t>d</w:t>
      </w:r>
      <w:r w:rsidRPr="00E637CE">
        <w:rPr>
          <w:rFonts w:asciiTheme="majorBidi" w:hAnsiTheme="majorBidi" w:cstheme="majorBidi"/>
          <w:i/>
          <w:noProof/>
          <w:sz w:val="18"/>
          <w:szCs w:val="18"/>
        </w:rPr>
        <w:t xml:space="preserve">an Implementasinya </w:t>
      </w:r>
      <w:r w:rsidR="0083343C">
        <w:rPr>
          <w:rFonts w:asciiTheme="majorBidi" w:hAnsiTheme="majorBidi" w:cstheme="majorBidi"/>
          <w:i/>
          <w:noProof/>
          <w:sz w:val="18"/>
          <w:szCs w:val="18"/>
        </w:rPr>
        <w:t>d</w:t>
      </w:r>
      <w:r w:rsidRPr="00E637CE">
        <w:rPr>
          <w:rFonts w:asciiTheme="majorBidi" w:hAnsiTheme="majorBidi" w:cstheme="majorBidi"/>
          <w:i/>
          <w:noProof/>
          <w:sz w:val="18"/>
          <w:szCs w:val="18"/>
        </w:rPr>
        <w:t xml:space="preserve">alam Pengembangan Hukum </w:t>
      </w:r>
      <w:r w:rsidR="0083343C">
        <w:rPr>
          <w:rFonts w:asciiTheme="majorBidi" w:hAnsiTheme="majorBidi" w:cstheme="majorBidi"/>
          <w:i/>
          <w:noProof/>
          <w:sz w:val="18"/>
          <w:szCs w:val="18"/>
        </w:rPr>
        <w:t>d</w:t>
      </w:r>
      <w:r w:rsidRPr="00E637CE">
        <w:rPr>
          <w:rFonts w:asciiTheme="majorBidi" w:hAnsiTheme="majorBidi" w:cstheme="majorBidi"/>
          <w:i/>
          <w:noProof/>
          <w:sz w:val="18"/>
          <w:szCs w:val="18"/>
        </w:rPr>
        <w:t>i Indonesia</w:t>
      </w:r>
      <w:r w:rsidRPr="00E637CE">
        <w:rPr>
          <w:rFonts w:asciiTheme="majorBidi" w:hAnsiTheme="majorBidi" w:cstheme="majorBidi"/>
          <w:noProof/>
          <w:sz w:val="18"/>
          <w:szCs w:val="18"/>
        </w:rPr>
        <w:t>, ed. Havis Aravik (Yogyakarta: Penerbit Thafa Media, 2018).</w:t>
      </w:r>
      <w:r w:rsidRPr="00E637CE">
        <w:rPr>
          <w:rFonts w:asciiTheme="majorBidi" w:hAnsiTheme="majorBidi" w:cstheme="majorBidi"/>
          <w:sz w:val="18"/>
          <w:szCs w:val="18"/>
        </w:rPr>
        <w:fldChar w:fldCharType="end"/>
      </w:r>
      <w:r>
        <w:rPr>
          <w:rFonts w:asciiTheme="majorBidi" w:hAnsiTheme="majorBidi" w:cstheme="majorBidi"/>
          <w:sz w:val="18"/>
          <w:szCs w:val="18"/>
        </w:rPr>
        <w:t>, hlm 77</w:t>
      </w:r>
    </w:p>
  </w:footnote>
  <w:footnote w:id="17">
    <w:p w14:paraId="4E77AE0B" w14:textId="3CDB2D66" w:rsidR="008D372B" w:rsidRPr="00BC0107" w:rsidRDefault="008D372B" w:rsidP="0083343C">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CA04C8">
        <w:rPr>
          <w:rFonts w:asciiTheme="majorBidi" w:hAnsiTheme="majorBidi" w:cstheme="majorBidi"/>
          <w:sz w:val="18"/>
          <w:szCs w:val="18"/>
        </w:rPr>
        <w:instrText>ADDIN CSL_CITATION {"citationItems":[{"id":"ITEM-1","itemData":{"URL":"https://quran.nu.or.id","accessed":{"date-parts":[["2024","2","10"]]},"author":[{"dropping-particle":"","family":"Quran.nu.or.i","given":"","non-dropping-particle":"","parse-names":false,"suffix":""}],"container-title":"https://quran.nu.or.id","id":"ITEM-1","issued":{"date-parts":[["0"]]},"title":"Al Quran","type":"webpage"},"uris":["http://www.mendeley.com/documents/?uuid=0d70ed8d-7f51-438b-b545-36b39f4bc4a9"]}],"mendeley":{"formattedCitation":"Quran.nu.or.i, “Al Quran.”","plainTextFormattedCitation":"Quran.nu.or.i, “Al Quran.”","previouslyFormattedCitation":"Quran.nu.or.i, “Al Quran.”"},"properties":{"noteIndex":18},"schema":"https://github.com/citation-style-language/schema/raw/master/csl-citation.json"}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Quran.nu.or.i, “Al Quran.”</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 xml:space="preserve"> (Q.S Al Baqarah:282)</w:t>
      </w:r>
    </w:p>
  </w:footnote>
  <w:footnote w:id="18">
    <w:p w14:paraId="605CCA37" w14:textId="16BE401B" w:rsidR="008D372B" w:rsidRPr="00BC0107" w:rsidRDefault="008D372B" w:rsidP="00463691">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CA04C8">
        <w:rPr>
          <w:rFonts w:asciiTheme="majorBidi" w:hAnsiTheme="majorBidi" w:cstheme="majorBidi"/>
          <w:sz w:val="18"/>
          <w:szCs w:val="18"/>
        </w:rPr>
        <w:instrText>ADDIN CSL_CITATION {"citationItems":[{"id":"ITEM-1","itemData":{"author":[{"dropping-particle":"","family":"Syamsuri, Abdul Basit Junaidy, Nur Lailatul Musyafa'ah","given":"Moh. Mufid","non-dropping-particle":"","parse-names":false,"suffix":""}],"edition":"cet 1","editor":[{"dropping-particle":"","family":"Wahyono Abdul Ghofur","given":"Iklilah Muzayyanah Dini Fajriyah","non-dropping-particle":"","parse-names":false,"suffix":""}],"id":"ITEM-1","issued":{"date-parts":[["2020"]]},"number-of-pages":"426","publisher":"PT Rajawali Buana Pustaka","publisher-place":"Depok","title":"Hukum Pidana Islam","type":"book"},"uris":["http://www.mendeley.com/documents/?uuid=3974180b-66a1-4556-9eb0-87dc8d8afc15"]}],"mendeley":{"formattedCitation":"Moh. Mufid Syamsuri, Abdul Basit Junaidy, Nur Lailatul Musyafa’ah, &lt;i&gt;Hukum Pidana Islam&lt;/i&gt;, ed. Iklilah Muzayyanah Dini Fajriyah Wahyono Abdul Ghofur, cet 1. (Depok: PT Rajawali Buana Pustaka, 2020).","plainTextFormattedCitation":"Moh. Mufid Syamsuri, Abdul Basit Junaidy, Nur Lailatul Musyafa’ah, Hukum Pidana Islam, ed. Iklilah Muzayyanah Dini Fajriyah Wahyono Abdul Ghofur, cet 1. (Depok: PT Rajawali Buana Pustaka, 2020).","previouslyFormattedCitation":"Moh. Mufid Syamsuri, Abdul Basit Junaidy, Nur Lailatul Musyafa’ah, &lt;i&gt;Hukum Pidana Islam&lt;/i&gt;, ed. Iklilah Muzayyanah Dini Fajriyah Wahyono Abdul Ghofur, cet 1. (Depok: PT Rajawali Buana Pustaka, 2020)."},"properties":{"noteIndex":19},"schema":"https://github.com/citation-style-language/schema/raw/master/csl-citation.json"}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Moh. Mufid Syamsuri, Abdul Basit Junaidy, Nur Lailatul Musyafa’ah, </w:t>
      </w:r>
      <w:r w:rsidRPr="00BC0107">
        <w:rPr>
          <w:rFonts w:asciiTheme="majorBidi" w:hAnsiTheme="majorBidi" w:cstheme="majorBidi"/>
          <w:i/>
          <w:noProof/>
          <w:sz w:val="18"/>
          <w:szCs w:val="18"/>
        </w:rPr>
        <w:t>Hukum Pidana Islam</w:t>
      </w:r>
      <w:r w:rsidRPr="00BC0107">
        <w:rPr>
          <w:rFonts w:asciiTheme="majorBidi" w:hAnsiTheme="majorBidi" w:cstheme="majorBidi"/>
          <w:noProof/>
          <w:sz w:val="18"/>
          <w:szCs w:val="18"/>
        </w:rPr>
        <w:t>, ed. Iklilah Muzayyanah Dini Fajriyah Wahyono Abdul Ghofur, cet 1. (Depok: PT Rajawali Buana Pustaka, 2020).</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 xml:space="preserve">, </w:t>
      </w:r>
      <w:r>
        <w:rPr>
          <w:rFonts w:asciiTheme="majorBidi" w:hAnsiTheme="majorBidi" w:cstheme="majorBidi"/>
          <w:sz w:val="18"/>
          <w:szCs w:val="18"/>
        </w:rPr>
        <w:t xml:space="preserve">hlm </w:t>
      </w:r>
      <w:r w:rsidRPr="00BC0107">
        <w:rPr>
          <w:rFonts w:asciiTheme="majorBidi" w:hAnsiTheme="majorBidi" w:cstheme="majorBidi"/>
          <w:sz w:val="18"/>
          <w:szCs w:val="18"/>
        </w:rPr>
        <w:t>163</w:t>
      </w:r>
    </w:p>
  </w:footnote>
  <w:footnote w:id="19">
    <w:p w14:paraId="61EED446" w14:textId="77777777" w:rsidR="00614835" w:rsidRPr="00152413" w:rsidRDefault="00614835" w:rsidP="00614835">
      <w:pPr>
        <w:pStyle w:val="FootnoteText"/>
        <w:ind w:firstLine="720"/>
        <w:rPr>
          <w:rFonts w:asciiTheme="majorBidi" w:hAnsiTheme="majorBidi" w:cstheme="majorBidi"/>
          <w:sz w:val="18"/>
          <w:szCs w:val="18"/>
          <w:lang w:val="en-US"/>
        </w:rPr>
      </w:pPr>
      <w:r w:rsidRPr="00152413">
        <w:rPr>
          <w:rStyle w:val="FootnoteReference"/>
          <w:rFonts w:asciiTheme="majorBidi" w:hAnsiTheme="majorBidi" w:cstheme="majorBidi"/>
          <w:sz w:val="18"/>
          <w:szCs w:val="18"/>
        </w:rPr>
        <w:footnoteRef/>
      </w:r>
      <w:r w:rsidRPr="00152413">
        <w:rPr>
          <w:rFonts w:asciiTheme="majorBidi" w:hAnsiTheme="majorBidi" w:cstheme="majorBidi"/>
          <w:sz w:val="18"/>
          <w:szCs w:val="18"/>
        </w:rPr>
        <w:t xml:space="preserve"> </w:t>
      </w:r>
      <w:r w:rsidRPr="00152413">
        <w:rPr>
          <w:rFonts w:asciiTheme="majorBidi" w:hAnsiTheme="majorBidi" w:cstheme="majorBidi"/>
          <w:sz w:val="18"/>
          <w:szCs w:val="18"/>
        </w:rPr>
        <w:fldChar w:fldCharType="begin" w:fldLock="1"/>
      </w:r>
      <w:r>
        <w:rPr>
          <w:rFonts w:asciiTheme="majorBidi" w:hAnsiTheme="majorBidi" w:cstheme="majorBidi"/>
          <w:sz w:val="18"/>
          <w:szCs w:val="18"/>
        </w:rPr>
        <w:instrText>ADDIN CSL_CITATION {"citationItems":[{"id":"ITEM-1","itemData":{"author":[{"dropping-particle":"","family":"Direktori Putusan Mahkamah Agung Republik Indonesia","given":"","non-dropping-particle":"","parse-names":false,"suffix":""}],"id":"ITEM-1","issued":{"date-parts":[["2023"]]},"page":"42","publisher-place":"Indonesia","title":"Putusan Perkara Nomor 9/JN/2023/MS.Tkn","type":"legislation"},"uris":["http://www.mendeley.com/documents/?uuid=6c2eac34-1cee-46f1-a82c-34befe649e8a"]}],"mendeley":{"formattedCitation":"Direktori Putusan Mahkamah Agung Republik Indonesia, &lt;i&gt;Putusan Perkara Nomor 9/JN/2023/MS.Tkn&lt;/i&gt; (Indonesia, 2023).","plainTextFormattedCitation":"Direktori Putusan Mahkamah Agung Republik Indonesia, Putusan Perkara Nomor 9/JN/2023/MS.Tkn (Indonesia, 2023).","previouslyFormattedCitation":"Direktori Putusan Mahkamah Agung Republik Indonesia, &lt;i&gt;Putusan Perkara Nomor 9/JN/2023/MS.Tkn&lt;/i&gt; (Indonesia, 2023)."},"properties":{"noteIndex":12},"schema":"https://github.com/citation-style-language/schema/raw/master/csl-citation.json"}</w:instrText>
      </w:r>
      <w:r w:rsidRPr="00152413">
        <w:rPr>
          <w:rFonts w:asciiTheme="majorBidi" w:hAnsiTheme="majorBidi" w:cstheme="majorBidi"/>
          <w:sz w:val="18"/>
          <w:szCs w:val="18"/>
        </w:rPr>
        <w:fldChar w:fldCharType="separate"/>
      </w:r>
      <w:r w:rsidRPr="00152413">
        <w:rPr>
          <w:rFonts w:asciiTheme="majorBidi" w:hAnsiTheme="majorBidi" w:cstheme="majorBidi"/>
          <w:noProof/>
          <w:sz w:val="18"/>
          <w:szCs w:val="18"/>
        </w:rPr>
        <w:t xml:space="preserve">Direktori Putusan Mahkamah Agung Republik Indonesia, </w:t>
      </w:r>
      <w:r w:rsidRPr="00152413">
        <w:rPr>
          <w:rFonts w:asciiTheme="majorBidi" w:hAnsiTheme="majorBidi" w:cstheme="majorBidi"/>
          <w:i/>
          <w:noProof/>
          <w:sz w:val="18"/>
          <w:szCs w:val="18"/>
        </w:rPr>
        <w:t>Putusan Perkara Nomor 9/JN/2023/MS.Tkn</w:t>
      </w:r>
      <w:r w:rsidRPr="00152413">
        <w:rPr>
          <w:rFonts w:asciiTheme="majorBidi" w:hAnsiTheme="majorBidi" w:cstheme="majorBidi"/>
          <w:noProof/>
          <w:sz w:val="18"/>
          <w:szCs w:val="18"/>
        </w:rPr>
        <w:t xml:space="preserve"> (Indonesia, 2023).</w:t>
      </w:r>
      <w:r w:rsidRPr="00152413">
        <w:rPr>
          <w:rFonts w:asciiTheme="majorBidi" w:hAnsiTheme="majorBidi" w:cstheme="majorBidi"/>
          <w:sz w:val="18"/>
          <w:szCs w:val="18"/>
        </w:rPr>
        <w:fldChar w:fldCharType="end"/>
      </w:r>
      <w:r>
        <w:rPr>
          <w:rFonts w:asciiTheme="majorBidi" w:hAnsiTheme="majorBidi" w:cstheme="majorBidi"/>
          <w:sz w:val="18"/>
          <w:szCs w:val="18"/>
        </w:rPr>
        <w:t>, hlm 19-29</w:t>
      </w:r>
    </w:p>
  </w:footnote>
  <w:footnote w:id="20">
    <w:p w14:paraId="7458D228" w14:textId="37443270" w:rsidR="008D372B" w:rsidRPr="00C60B04" w:rsidRDefault="008D372B" w:rsidP="00463691">
      <w:pPr>
        <w:pStyle w:val="FootnoteText"/>
        <w:ind w:firstLine="720"/>
        <w:jc w:val="both"/>
        <w:rPr>
          <w:rFonts w:asciiTheme="majorBidi" w:hAnsiTheme="majorBidi" w:cstheme="majorBidi"/>
          <w:sz w:val="18"/>
          <w:szCs w:val="18"/>
          <w:lang w:val="en-US"/>
        </w:rPr>
      </w:pPr>
      <w:r w:rsidRPr="00C60B04">
        <w:rPr>
          <w:rStyle w:val="FootnoteReference"/>
          <w:rFonts w:asciiTheme="majorBidi" w:hAnsiTheme="majorBidi" w:cstheme="majorBidi"/>
          <w:sz w:val="18"/>
          <w:szCs w:val="18"/>
        </w:rPr>
        <w:footnoteRef/>
      </w:r>
      <w:r w:rsidRPr="00C60B04">
        <w:rPr>
          <w:rFonts w:asciiTheme="majorBidi" w:hAnsiTheme="majorBidi" w:cstheme="majorBidi"/>
          <w:sz w:val="18"/>
          <w:szCs w:val="18"/>
        </w:rPr>
        <w:t xml:space="preserve"> </w:t>
      </w:r>
      <w:r w:rsidRPr="00C60B04">
        <w:rPr>
          <w:rFonts w:asciiTheme="majorBidi" w:hAnsiTheme="majorBidi" w:cstheme="majorBidi"/>
          <w:sz w:val="18"/>
          <w:szCs w:val="18"/>
        </w:rPr>
        <w:fldChar w:fldCharType="begin" w:fldLock="1"/>
      </w:r>
      <w:r w:rsidR="00CA04C8">
        <w:rPr>
          <w:rFonts w:asciiTheme="majorBidi" w:hAnsiTheme="majorBidi" w:cstheme="majorBidi"/>
          <w:sz w:val="18"/>
          <w:szCs w:val="18"/>
        </w:rPr>
        <w:instrText>ADDIN CSL_CITATION {"citationItems":[{"id":"ITEM-1","itemData":{"author":[{"dropping-particle":"","family":"Ajie","given":"Okky Praseto","non-dropping-particle":"","parse-names":false,"suffix":""}],"id":"ITEM-1","issued":{"date-parts":[["2023"]]},"number-of-pages":"137","publisher":"Universitas Islam Sultan Agung Semarang","title":"Keabsahan Keterangan Saksi Testimonium De Auditu dalam Pembuktian Perkara Pidana","type":"thesis"},"uris":["http://www.mendeley.com/documents/?uuid=774d8d8a-ba75-4e48-959e-8e62e0547619"]}],"mendeley":{"formattedCitation":"Okky Praseto Ajie, “Keabsahan Keterangan Saksi Testimonium De Auditu Dalam Pembuktian Perkara Pidana” (Universitas Islam Sultan Agung Semarang, 2023).","plainTextFormattedCitation":"Okky Praseto Ajie, “Keabsahan Keterangan Saksi Testimonium De Auditu Dalam Pembuktian Perkara Pidana” (Universitas Islam Sultan Agung Semarang, 2023).","previouslyFormattedCitation":"Okky Praseto Ajie, “Keabsahan Keterangan Saksi Testimonium De Auditu Dalam Pembuktian Perkara Pidana” (Universitas Islam Sultan Agung Semarang, 2023)."},"properties":{"noteIndex":21},"schema":"https://github.com/citation-style-language/schema/raw/master/csl-citation.json"}</w:instrText>
      </w:r>
      <w:r w:rsidRPr="00C60B04">
        <w:rPr>
          <w:rFonts w:asciiTheme="majorBidi" w:hAnsiTheme="majorBidi" w:cstheme="majorBidi"/>
          <w:sz w:val="18"/>
          <w:szCs w:val="18"/>
        </w:rPr>
        <w:fldChar w:fldCharType="separate"/>
      </w:r>
      <w:r w:rsidRPr="00C60B04">
        <w:rPr>
          <w:rFonts w:asciiTheme="majorBidi" w:hAnsiTheme="majorBidi" w:cstheme="majorBidi"/>
          <w:noProof/>
          <w:sz w:val="18"/>
          <w:szCs w:val="18"/>
        </w:rPr>
        <w:t>Okky Praset</w:t>
      </w:r>
      <w:r w:rsidR="00CB2ADD">
        <w:rPr>
          <w:rFonts w:asciiTheme="majorBidi" w:hAnsiTheme="majorBidi" w:cstheme="majorBidi"/>
          <w:noProof/>
          <w:sz w:val="18"/>
          <w:szCs w:val="18"/>
        </w:rPr>
        <w:t>y</w:t>
      </w:r>
      <w:r w:rsidRPr="00C60B04">
        <w:rPr>
          <w:rFonts w:asciiTheme="majorBidi" w:hAnsiTheme="majorBidi" w:cstheme="majorBidi"/>
          <w:noProof/>
          <w:sz w:val="18"/>
          <w:szCs w:val="18"/>
        </w:rPr>
        <w:t xml:space="preserve">o Ajie, “Keabsahan Keterangan Saksi Testimonium De Auditu </w:t>
      </w:r>
      <w:r w:rsidR="0083343C">
        <w:rPr>
          <w:rFonts w:asciiTheme="majorBidi" w:hAnsiTheme="majorBidi" w:cstheme="majorBidi"/>
          <w:noProof/>
          <w:sz w:val="18"/>
          <w:szCs w:val="18"/>
        </w:rPr>
        <w:t>d</w:t>
      </w:r>
      <w:r w:rsidRPr="00C60B04">
        <w:rPr>
          <w:rFonts w:asciiTheme="majorBidi" w:hAnsiTheme="majorBidi" w:cstheme="majorBidi"/>
          <w:noProof/>
          <w:sz w:val="18"/>
          <w:szCs w:val="18"/>
        </w:rPr>
        <w:t>alam Pembuktian Perkara Pidana” (Universitas Islam Sultan Agung Semarang, 2023).</w:t>
      </w:r>
      <w:r w:rsidRPr="00C60B04">
        <w:rPr>
          <w:rFonts w:asciiTheme="majorBidi" w:hAnsiTheme="majorBidi" w:cstheme="majorBidi"/>
          <w:sz w:val="18"/>
          <w:szCs w:val="18"/>
        </w:rPr>
        <w:fldChar w:fldCharType="end"/>
      </w:r>
    </w:p>
  </w:footnote>
  <w:footnote w:id="21">
    <w:p w14:paraId="0E832FF0" w14:textId="55D8C674" w:rsidR="008D372B" w:rsidRPr="00B70BD3" w:rsidRDefault="008D372B" w:rsidP="00463691">
      <w:pPr>
        <w:pStyle w:val="FootnoteText"/>
        <w:ind w:firstLine="720"/>
        <w:jc w:val="both"/>
        <w:rPr>
          <w:rFonts w:asciiTheme="majorBidi" w:hAnsiTheme="majorBidi" w:cstheme="majorBidi"/>
          <w:sz w:val="18"/>
          <w:szCs w:val="18"/>
          <w:lang w:val="en-US"/>
        </w:rPr>
      </w:pPr>
      <w:r w:rsidRPr="00B70BD3">
        <w:rPr>
          <w:rStyle w:val="FootnoteReference"/>
          <w:rFonts w:asciiTheme="majorBidi" w:hAnsiTheme="majorBidi" w:cstheme="majorBidi"/>
          <w:sz w:val="18"/>
          <w:szCs w:val="18"/>
        </w:rPr>
        <w:footnoteRef/>
      </w:r>
      <w:r w:rsidRPr="00B70BD3">
        <w:rPr>
          <w:rFonts w:asciiTheme="majorBidi" w:hAnsiTheme="majorBidi" w:cstheme="majorBidi"/>
          <w:sz w:val="18"/>
          <w:szCs w:val="18"/>
        </w:rPr>
        <w:t xml:space="preserve"> </w:t>
      </w:r>
      <w:r w:rsidRPr="00B70BD3">
        <w:rPr>
          <w:rFonts w:asciiTheme="majorBidi" w:hAnsiTheme="majorBidi" w:cstheme="majorBidi"/>
          <w:sz w:val="18"/>
          <w:szCs w:val="18"/>
        </w:rPr>
        <w:fldChar w:fldCharType="begin" w:fldLock="1"/>
      </w:r>
      <w:r w:rsidR="00CA04C8">
        <w:rPr>
          <w:rFonts w:asciiTheme="majorBidi" w:hAnsiTheme="majorBidi" w:cstheme="majorBidi"/>
          <w:sz w:val="18"/>
          <w:szCs w:val="18"/>
        </w:rPr>
        <w:instrText>ADDIN CSL_CITATION {"citationItems":[{"id":"ITEM-1","itemData":{"author":[{"dropping-particle":"","family":"Muhammad Alif Daffa Putranto","given":"","non-dropping-particle":"","parse-names":false,"suffix":""}],"id":"ITEM-1","issued":{"date-parts":[["2020"]]},"publisher":"Universitas Sebelas Maret Surakarta","title":"Telaah Pendayagunaan Kesaksian Testimonium De Auditu Dan Unus Testis Nullus Testis dalam Pengungkapan Tindak Pidana Pencabulan Terhadap Anak (Studi Putusan Nomor 260/Pid.Sus/2017/Gns)","type":"thesis"},"uris":["http://www.mendeley.com/documents/?uuid=18940850-a4fb-4227-9c81-1253f81b87da"]}],"mendeley":{"formattedCitation":"Muhammad Alif Daffa Putranto, “Telaah Pendayagunaan Kesaksian Testimonium De Auditu Dan Unus Testis Nullus Testis Dalam Pengungkapan Tindak Pidana Pencabulan Terhadap Anak (Studi Putusan Nomor 260/Pid.Sus/2017/Gns)” (Universitas Sebelas Maret Surakarta, 2020).","plainTextFormattedCitation":"Muhammad Alif Daffa Putranto, “Telaah Pendayagunaan Kesaksian Testimonium De Auditu Dan Unus Testis Nullus Testis Dalam Pengungkapan Tindak Pidana Pencabulan Terhadap Anak (Studi Putusan Nomor 260/Pid.Sus/2017/Gns)” (Universitas Sebelas Maret Surakarta, 2020).","previouslyFormattedCitation":"Muhammad Alif Daffa Putranto, “Telaah Pendayagunaan Kesaksian Testimonium De Auditu Dan Unus Testis Nullus Testis Dalam Pengungkapan Tindak Pidana Pencabulan Terhadap Anak (Studi Putusan Nomor 260/Pid.Sus/2017/Gns)” (Universitas Sebelas Maret Surakarta, 2020)."},"properties":{"noteIndex":22},"schema":"https://github.com/citation-style-language/schema/raw/master/csl-citation.json"}</w:instrText>
      </w:r>
      <w:r w:rsidRPr="00B70BD3">
        <w:rPr>
          <w:rFonts w:asciiTheme="majorBidi" w:hAnsiTheme="majorBidi" w:cstheme="majorBidi"/>
          <w:sz w:val="18"/>
          <w:szCs w:val="18"/>
        </w:rPr>
        <w:fldChar w:fldCharType="separate"/>
      </w:r>
      <w:r w:rsidRPr="00C60B04">
        <w:rPr>
          <w:rFonts w:asciiTheme="majorBidi" w:hAnsiTheme="majorBidi" w:cstheme="majorBidi"/>
          <w:noProof/>
          <w:sz w:val="18"/>
          <w:szCs w:val="18"/>
        </w:rPr>
        <w:t xml:space="preserve">Muhammad Alif Daffa Putranto, “Telaah Pendayagunaan Kesaksian Testimonium De Auditu Dan Unus Testis Nullus Testis </w:t>
      </w:r>
      <w:r w:rsidR="0083343C">
        <w:rPr>
          <w:rFonts w:asciiTheme="majorBidi" w:hAnsiTheme="majorBidi" w:cstheme="majorBidi"/>
          <w:noProof/>
          <w:sz w:val="18"/>
          <w:szCs w:val="18"/>
        </w:rPr>
        <w:t>d</w:t>
      </w:r>
      <w:r w:rsidRPr="00C60B04">
        <w:rPr>
          <w:rFonts w:asciiTheme="majorBidi" w:hAnsiTheme="majorBidi" w:cstheme="majorBidi"/>
          <w:noProof/>
          <w:sz w:val="18"/>
          <w:szCs w:val="18"/>
        </w:rPr>
        <w:t>alam Pengungkapan Tindak Pidana Pencabulan Terhadap Anak (Studi Putusan Nomor 260/Pid.Sus/2017/Gns)” (Universitas Sebelas Maret Surakarta, 2020).</w:t>
      </w:r>
      <w:r w:rsidRPr="00B70BD3">
        <w:rPr>
          <w:rFonts w:asciiTheme="majorBidi" w:hAnsiTheme="majorBidi" w:cstheme="majorBidi"/>
          <w:sz w:val="18"/>
          <w:szCs w:val="18"/>
        </w:rPr>
        <w:fldChar w:fldCharType="end"/>
      </w:r>
    </w:p>
  </w:footnote>
  <w:footnote w:id="22">
    <w:p w14:paraId="59D2B0C6" w14:textId="1F9319DD" w:rsidR="008D372B" w:rsidRPr="0068385B" w:rsidRDefault="008D372B" w:rsidP="00463691">
      <w:pPr>
        <w:pStyle w:val="FootnoteText"/>
        <w:ind w:firstLine="720"/>
        <w:jc w:val="both"/>
        <w:rPr>
          <w:rFonts w:asciiTheme="majorBidi" w:hAnsiTheme="majorBidi" w:cstheme="majorBidi"/>
          <w:sz w:val="18"/>
          <w:szCs w:val="18"/>
          <w:lang w:val="en-US"/>
        </w:rPr>
      </w:pPr>
      <w:r w:rsidRPr="0068385B">
        <w:rPr>
          <w:rStyle w:val="FootnoteReference"/>
          <w:rFonts w:asciiTheme="majorBidi" w:hAnsiTheme="majorBidi" w:cstheme="majorBidi"/>
          <w:sz w:val="18"/>
          <w:szCs w:val="18"/>
        </w:rPr>
        <w:footnoteRef/>
      </w:r>
      <w:r w:rsidRPr="0068385B">
        <w:rPr>
          <w:rFonts w:asciiTheme="majorBidi" w:hAnsiTheme="majorBidi" w:cstheme="majorBidi"/>
          <w:sz w:val="18"/>
          <w:szCs w:val="18"/>
        </w:rPr>
        <w:t xml:space="preserve"> </w:t>
      </w:r>
      <w:r w:rsidRPr="0068385B">
        <w:rPr>
          <w:rFonts w:asciiTheme="majorBidi" w:hAnsiTheme="majorBidi" w:cstheme="majorBidi"/>
          <w:sz w:val="18"/>
          <w:szCs w:val="18"/>
        </w:rPr>
        <w:fldChar w:fldCharType="begin" w:fldLock="1"/>
      </w:r>
      <w:r w:rsidR="00CA04C8">
        <w:rPr>
          <w:rFonts w:asciiTheme="majorBidi" w:hAnsiTheme="majorBidi" w:cstheme="majorBidi"/>
          <w:sz w:val="18"/>
          <w:szCs w:val="18"/>
        </w:rPr>
        <w:instrText>ADDIN CSL_CITATION {"citationItems":[{"id":"ITEM-1","itemData":{"author":[{"dropping-particle":"","family":"Syafruddin Syam, Rizki Muhammad Haris","given":"Fachruddin Zakarya","non-dropping-particle":"","parse-names":false,"suffix":""}],"container-title":"Al-Qadha: Jurnal Hukum Islam dan Perundang-Undangan","id":"ITEM-1","issued":{"date-parts":[["2022"]]},"page":"14","title":"Studi Legalitas Saksi Syahadah Al-Istifadah Dalam Pembuktian Perkara Itsbat Nikah: Pendekatan Maqashid Syari’ah (Analisis Kasus di Mahkamah Syar'iyah Meulaboh)","type":"article-journal","volume":"Vol 9 No 2"},"uris":["http://www.mendeley.com/documents/?uuid=ac4bba64-cc91-488f-86c5-8fc970a8dc3e"]}],"mendeley":{"formattedCitation":"Syafruddin Syam, Rizki Muhammad Haris, “Studi Legalitas Saksi Syahadah Al-Istifadah Dalam Pembuktian Perkara Itsbat Nikah: Pendekatan Maqashid Syari’ah (Analisis Kasus Di Mahkamah Syar’iyah Meulaboh).”","plainTextFormattedCitation":"Syafruddin Syam, Rizki Muhammad Haris, “Studi Legalitas Saksi Syahadah Al-Istifadah Dalam Pembuktian Perkara Itsbat Nikah: Pendekatan Maqashid Syari’ah (Analisis Kasus Di Mahkamah Syar’iyah Meulaboh).”","previouslyFormattedCitation":"Syafruddin Syam, Rizki Muhammad Haris, “Studi Legalitas Saksi Syahadah Al-Istifadah Dalam Pembuktian Perkara Itsbat Nikah: Pendekatan Maqashid Syari’ah (Analisis Kasus Di Mahkamah Syar’iyah Meulaboh).”"},"properties":{"noteIndex":23},"schema":"https://github.com/citation-style-language/schema/raw/master/csl-citation.json"}</w:instrText>
      </w:r>
      <w:r w:rsidRPr="0068385B">
        <w:rPr>
          <w:rFonts w:asciiTheme="majorBidi" w:hAnsiTheme="majorBidi" w:cstheme="majorBidi"/>
          <w:sz w:val="18"/>
          <w:szCs w:val="18"/>
        </w:rPr>
        <w:fldChar w:fldCharType="separate"/>
      </w:r>
      <w:r w:rsidRPr="0068385B">
        <w:rPr>
          <w:rFonts w:asciiTheme="majorBidi" w:hAnsiTheme="majorBidi" w:cstheme="majorBidi"/>
          <w:noProof/>
          <w:sz w:val="18"/>
          <w:szCs w:val="18"/>
        </w:rPr>
        <w:t xml:space="preserve">Syafruddin Syam, Rizki Muhammad Haris, “Studi Legalitas Saksi Syahadah Al-Istifadah </w:t>
      </w:r>
      <w:r w:rsidR="0083343C">
        <w:rPr>
          <w:rFonts w:asciiTheme="majorBidi" w:hAnsiTheme="majorBidi" w:cstheme="majorBidi"/>
          <w:noProof/>
          <w:sz w:val="18"/>
          <w:szCs w:val="18"/>
        </w:rPr>
        <w:t>d</w:t>
      </w:r>
      <w:r w:rsidRPr="0068385B">
        <w:rPr>
          <w:rFonts w:asciiTheme="majorBidi" w:hAnsiTheme="majorBidi" w:cstheme="majorBidi"/>
          <w:noProof/>
          <w:sz w:val="18"/>
          <w:szCs w:val="18"/>
        </w:rPr>
        <w:t>alam Pembuktian Perkara Itsbat Nikah: Pendekatan Maqashid Syari’ah (Analisis Kasus Di Mahkamah Syar’iyah Meulaboh).”</w:t>
      </w:r>
      <w:r w:rsidRPr="0068385B">
        <w:rPr>
          <w:rFonts w:asciiTheme="majorBidi" w:hAnsiTheme="majorBidi" w:cstheme="majorBidi"/>
          <w:sz w:val="18"/>
          <w:szCs w:val="18"/>
        </w:rPr>
        <w:fldChar w:fldCharType="end"/>
      </w:r>
      <w:r w:rsidRPr="0068385B">
        <w:rPr>
          <w:rFonts w:asciiTheme="majorBidi" w:hAnsiTheme="majorBidi" w:cstheme="majorBidi"/>
          <w:sz w:val="18"/>
          <w:szCs w:val="18"/>
        </w:rPr>
        <w:t xml:space="preserve"> </w:t>
      </w:r>
      <w:r w:rsidRPr="0068385B">
        <w:rPr>
          <w:rFonts w:asciiTheme="majorBidi" w:hAnsiTheme="majorBidi" w:cstheme="majorBidi"/>
          <w:i/>
          <w:iCs/>
          <w:sz w:val="18"/>
          <w:szCs w:val="18"/>
        </w:rPr>
        <w:t>Al-Qadha: Jurnal Hukum Islam dan Perundang-Undangan</w:t>
      </w:r>
      <w:r>
        <w:rPr>
          <w:rFonts w:asciiTheme="majorBidi" w:hAnsiTheme="majorBidi" w:cstheme="majorBidi"/>
          <w:i/>
          <w:iCs/>
          <w:sz w:val="18"/>
          <w:szCs w:val="18"/>
        </w:rPr>
        <w:t xml:space="preserve"> </w:t>
      </w:r>
      <w:r w:rsidRPr="0068385B">
        <w:rPr>
          <w:rFonts w:asciiTheme="majorBidi" w:hAnsiTheme="majorBidi" w:cstheme="majorBidi"/>
          <w:sz w:val="18"/>
          <w:szCs w:val="18"/>
        </w:rPr>
        <w:t>Vol 9.No 2.(2022)</w:t>
      </w:r>
      <w:r>
        <w:rPr>
          <w:rFonts w:asciiTheme="majorBidi" w:hAnsiTheme="majorBidi" w:cstheme="majorBidi"/>
          <w:sz w:val="18"/>
          <w:szCs w:val="18"/>
        </w:rPr>
        <w:t>:</w:t>
      </w:r>
      <w:r w:rsidRPr="0068385B">
        <w:rPr>
          <w:rFonts w:asciiTheme="majorBidi" w:hAnsiTheme="majorBidi" w:cstheme="majorBidi"/>
          <w:sz w:val="18"/>
          <w:szCs w:val="18"/>
        </w:rPr>
        <w:t>14</w:t>
      </w:r>
      <w:r>
        <w:rPr>
          <w:rFonts w:asciiTheme="majorBidi" w:hAnsiTheme="majorBidi" w:cstheme="majorBidi"/>
          <w:sz w:val="18"/>
          <w:szCs w:val="18"/>
        </w:rPr>
        <w:t>.</w:t>
      </w:r>
    </w:p>
  </w:footnote>
  <w:footnote w:id="23">
    <w:p w14:paraId="02D48AAE" w14:textId="5512FE21" w:rsidR="008D372B" w:rsidRPr="00922C65" w:rsidRDefault="008D372B" w:rsidP="00463691">
      <w:pPr>
        <w:pStyle w:val="FootnoteText"/>
        <w:ind w:firstLine="720"/>
        <w:jc w:val="both"/>
        <w:rPr>
          <w:rFonts w:asciiTheme="majorBidi" w:hAnsiTheme="majorBidi" w:cstheme="majorBidi"/>
          <w:sz w:val="18"/>
          <w:szCs w:val="18"/>
          <w:lang w:val="en-US"/>
        </w:rPr>
      </w:pPr>
      <w:r w:rsidRPr="00922C65">
        <w:rPr>
          <w:rStyle w:val="FootnoteReference"/>
          <w:rFonts w:asciiTheme="majorBidi" w:hAnsiTheme="majorBidi" w:cstheme="majorBidi"/>
          <w:sz w:val="18"/>
          <w:szCs w:val="18"/>
        </w:rPr>
        <w:footnoteRef/>
      </w:r>
      <w:r w:rsidRPr="00922C65">
        <w:rPr>
          <w:rFonts w:asciiTheme="majorBidi" w:hAnsiTheme="majorBidi" w:cstheme="majorBidi"/>
          <w:sz w:val="18"/>
          <w:szCs w:val="18"/>
        </w:rPr>
        <w:t xml:space="preserve"> </w:t>
      </w:r>
      <w:r w:rsidRPr="00922C65">
        <w:rPr>
          <w:rFonts w:asciiTheme="majorBidi" w:hAnsiTheme="majorBidi" w:cstheme="majorBidi"/>
          <w:sz w:val="18"/>
          <w:szCs w:val="18"/>
        </w:rPr>
        <w:fldChar w:fldCharType="begin" w:fldLock="1"/>
      </w:r>
      <w:r w:rsidR="00CA04C8">
        <w:rPr>
          <w:rFonts w:asciiTheme="majorBidi" w:hAnsiTheme="majorBidi" w:cstheme="majorBidi"/>
          <w:sz w:val="18"/>
          <w:szCs w:val="18"/>
        </w:rPr>
        <w:instrText>ADDIN CSL_CITATION {"citationItems":[{"id":"ITEM-1","itemData":{"author":[{"dropping-particle":"","family":"Makinara","given":"Ihdi Karim","non-dropping-particle":"","parse-names":false,"suffix":""},{"dropping-particle":"","family":"Jamhir","given":"","non-dropping-particle":"","parse-names":false,"suffix":""},{"dropping-particle":"","family":"Fadhilah Sarah","given":"","non-dropping-particle":"","parse-names":false,"suffix":""}],"container-title":"El-Usrah: Jurnal Hukum Keluarga","id":"ITEM-1","issued":{"date-parts":[["2020"]]},"page":"16","title":"Saksi Testimonium De Auditu dalam Perkara Perceraian menurut Hukum Islam","type":"article-journal","volume":"Vol. 3 No."},"uris":["http://www.mendeley.com/documents/?uuid=7662fabf-89d1-4455-8659-6a6e6e08cc24"]}],"mendeley":{"formattedCitation":"Ihdi Karim Makinara, Jamhir, and Fadhilah Sarah, “Saksi Testimonium De Auditu Dalam Perkara Perceraian Menurut Hukum Islam,” &lt;i&gt;El-Usrah: Jurnal Hukum Keluarga&lt;/i&gt; Vol. 3 No. (2020): 16.","plainTextFormattedCitation":"Ihdi Karim Makinara, Jamhir, and Fadhilah Sarah, “Saksi Testimonium De Auditu Dalam Perkara Perceraian Menurut Hukum Islam,” El-Usrah: Jurnal Hukum Keluarga Vol. 3 No. (2020): 16.","previouslyFormattedCitation":"Ihdi Karim Makinara, Jamhir, and Fadhilah Sarah, “Saksi Testimonium De Auditu Dalam Perkara Perceraian Menurut Hukum Islam,” &lt;i&gt;El-Usrah: Jurnal Hukum Keluarga&lt;/i&gt; Vol. 3 No. (2020): 16."},"properties":{"noteIndex":24},"schema":"https://github.com/citation-style-language/schema/raw/master/csl-citation.json"}</w:instrText>
      </w:r>
      <w:r w:rsidRPr="00922C65">
        <w:rPr>
          <w:rFonts w:asciiTheme="majorBidi" w:hAnsiTheme="majorBidi" w:cstheme="majorBidi"/>
          <w:sz w:val="18"/>
          <w:szCs w:val="18"/>
        </w:rPr>
        <w:fldChar w:fldCharType="separate"/>
      </w:r>
      <w:r w:rsidRPr="00922C65">
        <w:rPr>
          <w:rFonts w:asciiTheme="majorBidi" w:hAnsiTheme="majorBidi" w:cstheme="majorBidi"/>
          <w:noProof/>
          <w:sz w:val="18"/>
          <w:szCs w:val="18"/>
        </w:rPr>
        <w:t xml:space="preserve">Ihdi Karim Makinara, Jamhir, and Fadhilah Sarah, “Saksi Testimonium De Auditu </w:t>
      </w:r>
      <w:r w:rsidR="0083343C">
        <w:rPr>
          <w:rFonts w:asciiTheme="majorBidi" w:hAnsiTheme="majorBidi" w:cstheme="majorBidi"/>
          <w:noProof/>
          <w:sz w:val="18"/>
          <w:szCs w:val="18"/>
        </w:rPr>
        <w:t>d</w:t>
      </w:r>
      <w:r w:rsidRPr="00922C65">
        <w:rPr>
          <w:rFonts w:asciiTheme="majorBidi" w:hAnsiTheme="majorBidi" w:cstheme="majorBidi"/>
          <w:noProof/>
          <w:sz w:val="18"/>
          <w:szCs w:val="18"/>
        </w:rPr>
        <w:t xml:space="preserve">alam Perkara Perceraian Menurut Hukum Islam,” </w:t>
      </w:r>
      <w:r w:rsidRPr="00922C65">
        <w:rPr>
          <w:rFonts w:asciiTheme="majorBidi" w:hAnsiTheme="majorBidi" w:cstheme="majorBidi"/>
          <w:i/>
          <w:noProof/>
          <w:sz w:val="18"/>
          <w:szCs w:val="18"/>
        </w:rPr>
        <w:t>El-Usrah: Jurnal Hukum Keluarga</w:t>
      </w:r>
      <w:r w:rsidRPr="00922C65">
        <w:rPr>
          <w:rFonts w:asciiTheme="majorBidi" w:hAnsiTheme="majorBidi" w:cstheme="majorBidi"/>
          <w:noProof/>
          <w:sz w:val="18"/>
          <w:szCs w:val="18"/>
        </w:rPr>
        <w:t xml:space="preserve"> Vol. 3 No. (2020): 16.</w:t>
      </w:r>
      <w:r w:rsidRPr="00922C65">
        <w:rPr>
          <w:rFonts w:asciiTheme="majorBidi" w:hAnsiTheme="majorBidi" w:cstheme="majorBidi"/>
          <w:sz w:val="18"/>
          <w:szCs w:val="18"/>
        </w:rPr>
        <w:fldChar w:fldCharType="end"/>
      </w:r>
    </w:p>
  </w:footnote>
  <w:footnote w:id="24">
    <w:p w14:paraId="2ED8D428" w14:textId="2728D344" w:rsidR="008D372B" w:rsidRPr="00A46149" w:rsidRDefault="008D372B" w:rsidP="00463691">
      <w:pPr>
        <w:pStyle w:val="FootnoteText"/>
        <w:ind w:firstLine="720"/>
        <w:jc w:val="both"/>
        <w:rPr>
          <w:rFonts w:asciiTheme="majorBidi" w:hAnsiTheme="majorBidi" w:cstheme="majorBidi"/>
          <w:sz w:val="18"/>
          <w:szCs w:val="18"/>
          <w:lang w:val="en-US"/>
        </w:rPr>
      </w:pPr>
      <w:r w:rsidRPr="00A46149">
        <w:rPr>
          <w:rStyle w:val="FootnoteReference"/>
          <w:rFonts w:asciiTheme="majorBidi" w:hAnsiTheme="majorBidi" w:cstheme="majorBidi"/>
          <w:sz w:val="18"/>
          <w:szCs w:val="18"/>
        </w:rPr>
        <w:footnoteRef/>
      </w:r>
      <w:r w:rsidRPr="00A46149">
        <w:rPr>
          <w:rFonts w:asciiTheme="majorBidi" w:hAnsiTheme="majorBidi" w:cstheme="majorBidi"/>
          <w:sz w:val="18"/>
          <w:szCs w:val="18"/>
        </w:rPr>
        <w:t xml:space="preserve"> </w:t>
      </w:r>
      <w:r w:rsidRPr="00A46149">
        <w:rPr>
          <w:rFonts w:asciiTheme="majorBidi" w:hAnsiTheme="majorBidi" w:cstheme="majorBidi"/>
          <w:sz w:val="18"/>
          <w:szCs w:val="18"/>
        </w:rPr>
        <w:fldChar w:fldCharType="begin" w:fldLock="1"/>
      </w:r>
      <w:r w:rsidR="00CA04C8">
        <w:rPr>
          <w:rFonts w:asciiTheme="majorBidi" w:hAnsiTheme="majorBidi" w:cstheme="majorBidi"/>
          <w:sz w:val="18"/>
          <w:szCs w:val="18"/>
        </w:rPr>
        <w:instrText>ADDIN CSL_CITATION {"citationItems":[{"id":"ITEM-1","itemData":{"author":[{"dropping-particle":"","family":"Rani Nur Isnaini","given":"","non-dropping-particle":"","parse-names":false,"suffix":""}],"container-title":"Seminar Nasional Hukum dan Pancasila","id":"ITEM-1","issued":{"date-parts":[["2024"]]},"page":"8","title":"Kekuatatan Pembuktian Testimonium De Auditu dalam Tindak Pidanan Kekerasan Seksual pada Anak","type":"article-journal","volume":"Vol. 3, 12"},"uris":["http://www.mendeley.com/documents/?uuid=012bc100-4061-4633-8617-5e059656a2bf"]}],"mendeley":{"formattedCitation":"Rani Nur Isnaini, “Kekuatatan Pembuktian Testimonium De Auditu Dalam Tindak Pidanan Kekerasan Seksual Pada Anak,” &lt;i&gt;Seminar Nasional Hukum dan Pancasila&lt;/i&gt; Vol. 3, 12 (2024): 8.","plainTextFormattedCitation":"Rani Nur Isnaini, “Kekuatatan Pembuktian Testimonium De Auditu Dalam Tindak Pidanan Kekerasan Seksual Pada Anak,” Seminar Nasional Hukum dan Pancasila Vol. 3, 12 (2024): 8.","previouslyFormattedCitation":"Rani Nur Isnaini, “Kekuatatan Pembuktian Testimonium De Auditu Dalam Tindak Pidanan Kekerasan Seksual Pada Anak,” &lt;i&gt;Seminar Nasional Hukum dan Pancasila&lt;/i&gt; Vol. 3, 12 (2024): 8."},"properties":{"noteIndex":25},"schema":"https://github.com/citation-style-language/schema/raw/master/csl-citation.json"}</w:instrText>
      </w:r>
      <w:r w:rsidRPr="00A46149">
        <w:rPr>
          <w:rFonts w:asciiTheme="majorBidi" w:hAnsiTheme="majorBidi" w:cstheme="majorBidi"/>
          <w:sz w:val="18"/>
          <w:szCs w:val="18"/>
        </w:rPr>
        <w:fldChar w:fldCharType="separate"/>
      </w:r>
      <w:r w:rsidRPr="00A46149">
        <w:rPr>
          <w:rFonts w:asciiTheme="majorBidi" w:hAnsiTheme="majorBidi" w:cstheme="majorBidi"/>
          <w:noProof/>
          <w:sz w:val="18"/>
          <w:szCs w:val="18"/>
        </w:rPr>
        <w:t>Rani Nur Isnaini, “Kekuata</w:t>
      </w:r>
      <w:r w:rsidR="00CB2ADD">
        <w:rPr>
          <w:rFonts w:asciiTheme="majorBidi" w:hAnsiTheme="majorBidi" w:cstheme="majorBidi"/>
          <w:noProof/>
          <w:sz w:val="18"/>
          <w:szCs w:val="18"/>
        </w:rPr>
        <w:t>n</w:t>
      </w:r>
      <w:r w:rsidRPr="00A46149">
        <w:rPr>
          <w:rFonts w:asciiTheme="majorBidi" w:hAnsiTheme="majorBidi" w:cstheme="majorBidi"/>
          <w:noProof/>
          <w:sz w:val="18"/>
          <w:szCs w:val="18"/>
        </w:rPr>
        <w:t xml:space="preserve"> Pembuktian Testimonium De Auditu </w:t>
      </w:r>
      <w:r w:rsidR="0083343C">
        <w:rPr>
          <w:rFonts w:asciiTheme="majorBidi" w:hAnsiTheme="majorBidi" w:cstheme="majorBidi"/>
          <w:noProof/>
          <w:sz w:val="18"/>
          <w:szCs w:val="18"/>
        </w:rPr>
        <w:t>d</w:t>
      </w:r>
      <w:r w:rsidRPr="00A46149">
        <w:rPr>
          <w:rFonts w:asciiTheme="majorBidi" w:hAnsiTheme="majorBidi" w:cstheme="majorBidi"/>
          <w:noProof/>
          <w:sz w:val="18"/>
          <w:szCs w:val="18"/>
        </w:rPr>
        <w:t>alam Tindak Pidan</w:t>
      </w:r>
      <w:r w:rsidR="00F6343B">
        <w:rPr>
          <w:rFonts w:asciiTheme="majorBidi" w:hAnsiTheme="majorBidi" w:cstheme="majorBidi"/>
          <w:noProof/>
          <w:sz w:val="18"/>
          <w:szCs w:val="18"/>
        </w:rPr>
        <w:t>a</w:t>
      </w:r>
      <w:r w:rsidRPr="00A46149">
        <w:rPr>
          <w:rFonts w:asciiTheme="majorBidi" w:hAnsiTheme="majorBidi" w:cstheme="majorBidi"/>
          <w:noProof/>
          <w:sz w:val="18"/>
          <w:szCs w:val="18"/>
        </w:rPr>
        <w:t xml:space="preserve"> Kekerasan Seksual Pada Anak,” </w:t>
      </w:r>
      <w:r w:rsidRPr="00A46149">
        <w:rPr>
          <w:rFonts w:asciiTheme="majorBidi" w:hAnsiTheme="majorBidi" w:cstheme="majorBidi"/>
          <w:i/>
          <w:noProof/>
          <w:sz w:val="18"/>
          <w:szCs w:val="18"/>
        </w:rPr>
        <w:t>Seminar Nasional Hukum dan Pancasila</w:t>
      </w:r>
      <w:r w:rsidRPr="00A46149">
        <w:rPr>
          <w:rFonts w:asciiTheme="majorBidi" w:hAnsiTheme="majorBidi" w:cstheme="majorBidi"/>
          <w:noProof/>
          <w:sz w:val="18"/>
          <w:szCs w:val="18"/>
        </w:rPr>
        <w:t xml:space="preserve"> Vol. 3, 12 (2024): 8.</w:t>
      </w:r>
      <w:r w:rsidRPr="00A46149">
        <w:rPr>
          <w:rFonts w:asciiTheme="majorBidi" w:hAnsiTheme="majorBidi" w:cstheme="majorBidi"/>
          <w:sz w:val="18"/>
          <w:szCs w:val="18"/>
        </w:rPr>
        <w:fldChar w:fldCharType="end"/>
      </w:r>
    </w:p>
  </w:footnote>
  <w:footnote w:id="25">
    <w:p w14:paraId="4F4FDD0C" w14:textId="5E1B4C31" w:rsidR="008D372B" w:rsidRPr="000264AC" w:rsidRDefault="008D372B" w:rsidP="00463691">
      <w:pPr>
        <w:pStyle w:val="FootnoteText"/>
        <w:ind w:firstLine="720"/>
        <w:jc w:val="both"/>
        <w:rPr>
          <w:rFonts w:asciiTheme="majorBidi" w:hAnsiTheme="majorBidi" w:cstheme="majorBidi"/>
          <w:sz w:val="18"/>
          <w:szCs w:val="18"/>
          <w:lang w:val="en-US"/>
        </w:rPr>
      </w:pPr>
      <w:r w:rsidRPr="000264AC">
        <w:rPr>
          <w:rStyle w:val="FootnoteReference"/>
          <w:rFonts w:asciiTheme="majorBidi" w:hAnsiTheme="majorBidi" w:cstheme="majorBidi"/>
          <w:sz w:val="18"/>
          <w:szCs w:val="18"/>
        </w:rPr>
        <w:footnoteRef/>
      </w:r>
      <w:r w:rsidRPr="000264AC">
        <w:rPr>
          <w:rFonts w:asciiTheme="majorBidi" w:hAnsiTheme="majorBidi" w:cstheme="majorBidi"/>
          <w:sz w:val="18"/>
          <w:szCs w:val="18"/>
        </w:rPr>
        <w:t xml:space="preserve"> </w:t>
      </w:r>
      <w:r w:rsidRPr="000264AC">
        <w:rPr>
          <w:rFonts w:asciiTheme="majorBidi" w:hAnsiTheme="majorBidi" w:cstheme="majorBidi"/>
          <w:sz w:val="18"/>
          <w:szCs w:val="18"/>
        </w:rPr>
        <w:fldChar w:fldCharType="begin" w:fldLock="1"/>
      </w:r>
      <w:r w:rsidR="00CA04C8">
        <w:rPr>
          <w:rFonts w:asciiTheme="majorBidi" w:hAnsiTheme="majorBidi" w:cstheme="majorBidi"/>
          <w:sz w:val="18"/>
          <w:szCs w:val="18"/>
        </w:rPr>
        <w:instrText>ADDIN CSL_CITATION {"citationItems":[{"id":"ITEM-1","itemData":{"ISBN":"978-623-97534-3-6","author":[{"dropping-particle":"","family":"Zuchri Abdussamad","given":"","non-dropping-particle":"","parse-names":false,"suffix":""}],"edition":"Cet 1","id":"ITEM-1","issued":{"date-parts":[["2021"]]},"number-of-pages":"224","publisher":"CV. Syakir Media Press","publisher-place":"Makassar","title":"Metode Penelitian Kualitatif","type":"book"},"uris":["http://www.mendeley.com/documents/?uuid=448ceccb-b18e-4cc0-80c4-05f0a3dd5d71"]}],"mendeley":{"formattedCitation":"Zuchri Abdussamad, &lt;i&gt;Metode Penelitian Kualitatif&lt;/i&gt;, Cet 1. (Makassar: CV. Syakir Media Press, 2021).","plainTextFormattedCitation":"Zuchri Abdussamad, Metode Penelitian Kualitatif, Cet 1. (Makassar: CV. Syakir Media Press, 2021).","previouslyFormattedCitation":"Zuchri Abdussamad, &lt;i&gt;Metode Penelitian Kualitatif&lt;/i&gt;, Cet 1. (Makassar: CV. Syakir Media Press, 2021)."},"properties":{"noteIndex":26},"schema":"https://github.com/citation-style-language/schema/raw/master/csl-citation.json"}</w:instrText>
      </w:r>
      <w:r w:rsidRPr="000264AC">
        <w:rPr>
          <w:rFonts w:asciiTheme="majorBidi" w:hAnsiTheme="majorBidi" w:cstheme="majorBidi"/>
          <w:sz w:val="18"/>
          <w:szCs w:val="18"/>
        </w:rPr>
        <w:fldChar w:fldCharType="separate"/>
      </w:r>
      <w:r w:rsidRPr="000264AC">
        <w:rPr>
          <w:rFonts w:asciiTheme="majorBidi" w:hAnsiTheme="majorBidi" w:cstheme="majorBidi"/>
          <w:noProof/>
          <w:sz w:val="18"/>
          <w:szCs w:val="18"/>
        </w:rPr>
        <w:t xml:space="preserve">Zuchri Abdussamad, </w:t>
      </w:r>
      <w:r w:rsidRPr="000264AC">
        <w:rPr>
          <w:rFonts w:asciiTheme="majorBidi" w:hAnsiTheme="majorBidi" w:cstheme="majorBidi"/>
          <w:i/>
          <w:noProof/>
          <w:sz w:val="18"/>
          <w:szCs w:val="18"/>
        </w:rPr>
        <w:t>Metode Penelitian Kualitatif</w:t>
      </w:r>
      <w:r w:rsidRPr="000264AC">
        <w:rPr>
          <w:rFonts w:asciiTheme="majorBidi" w:hAnsiTheme="majorBidi" w:cstheme="majorBidi"/>
          <w:noProof/>
          <w:sz w:val="18"/>
          <w:szCs w:val="18"/>
        </w:rPr>
        <w:t>, Cet 1. (Makassar: CV. Syakir Media Press, 2021).</w:t>
      </w:r>
      <w:r w:rsidRPr="000264AC">
        <w:rPr>
          <w:rFonts w:asciiTheme="majorBidi" w:hAnsiTheme="majorBidi" w:cstheme="majorBidi"/>
          <w:sz w:val="18"/>
          <w:szCs w:val="18"/>
        </w:rPr>
        <w:fldChar w:fldCharType="end"/>
      </w:r>
      <w:r w:rsidRPr="000264AC">
        <w:rPr>
          <w:rFonts w:asciiTheme="majorBidi" w:hAnsiTheme="majorBidi" w:cstheme="majorBidi"/>
          <w:sz w:val="18"/>
          <w:szCs w:val="18"/>
        </w:rPr>
        <w:t>,</w:t>
      </w:r>
      <w:r>
        <w:rPr>
          <w:rFonts w:asciiTheme="majorBidi" w:hAnsiTheme="majorBidi" w:cstheme="majorBidi"/>
          <w:sz w:val="18"/>
          <w:szCs w:val="18"/>
        </w:rPr>
        <w:t xml:space="preserve"> </w:t>
      </w:r>
      <w:r w:rsidRPr="000264AC">
        <w:rPr>
          <w:rFonts w:asciiTheme="majorBidi" w:hAnsiTheme="majorBidi" w:cstheme="majorBidi"/>
          <w:sz w:val="18"/>
          <w:szCs w:val="18"/>
        </w:rPr>
        <w:t>hlm</w:t>
      </w:r>
      <w:r>
        <w:rPr>
          <w:rFonts w:asciiTheme="majorBidi" w:hAnsiTheme="majorBidi" w:cstheme="majorBidi"/>
          <w:sz w:val="18"/>
          <w:szCs w:val="18"/>
        </w:rPr>
        <w:t xml:space="preserve"> </w:t>
      </w:r>
      <w:r w:rsidRPr="000264AC">
        <w:rPr>
          <w:rFonts w:asciiTheme="majorBidi" w:hAnsiTheme="majorBidi" w:cstheme="majorBidi"/>
          <w:sz w:val="18"/>
          <w:szCs w:val="18"/>
        </w:rPr>
        <w:t>93</w:t>
      </w:r>
    </w:p>
  </w:footnote>
  <w:footnote w:id="26">
    <w:p w14:paraId="45DFF006" w14:textId="07C1B3DC" w:rsidR="008D372B" w:rsidRPr="00A43E62" w:rsidRDefault="008D372B" w:rsidP="00463691">
      <w:pPr>
        <w:pStyle w:val="FootnoteText"/>
        <w:ind w:firstLine="720"/>
        <w:jc w:val="both"/>
        <w:rPr>
          <w:lang w:val="en-US"/>
        </w:rPr>
      </w:pPr>
      <w:r>
        <w:rPr>
          <w:rStyle w:val="FootnoteReference"/>
        </w:rPr>
        <w:footnoteRef/>
      </w:r>
      <w:r>
        <w:t xml:space="preserve"> </w:t>
      </w:r>
      <w:r w:rsidRPr="00AF2221">
        <w:rPr>
          <w:rFonts w:asciiTheme="majorBidi" w:hAnsiTheme="majorBidi" w:cstheme="majorBidi"/>
          <w:sz w:val="18"/>
          <w:szCs w:val="18"/>
        </w:rPr>
        <w:fldChar w:fldCharType="begin" w:fldLock="1"/>
      </w:r>
      <w:r w:rsidR="00CA04C8">
        <w:rPr>
          <w:rFonts w:asciiTheme="majorBidi" w:hAnsiTheme="majorBidi" w:cstheme="majorBidi"/>
          <w:sz w:val="18"/>
          <w:szCs w:val="18"/>
        </w:rPr>
        <w:instrText>ADDIN CSL_CITATION {"citationItems":[{"id":"ITEM-1","itemData":{"author":[{"dropping-particle":"","family":"Jonaedi Efendi","given":"Johnny Ibrahim","non-dropping-particle":"","parse-names":false,"suffix":""}],"id":"ITEM-1","issued":{"date-parts":[["2018"]]},"number-of-pages":"304","publisher":"Prenadamedia Group","publisher-place":"Depok","title":"Metode Penelitian Hukum: Normatif dan Empiris","type":"book"},"uris":["http://www.mendeley.com/documents/?uuid=f5a3954e-d6ce-4171-b39b-28a61819c18b"]}],"mendeley":{"formattedCitation":"Johnny Ibrahim Jonaedi Efendi, &lt;i&gt;Metode Penelitian Hukum: Normatif Dan Empiris&lt;/i&gt; (Depok: Prenadamedia Group, 2018).","plainTextFormattedCitation":"Johnny Ibrahim Jonaedi Efendi, Metode Penelitian Hukum: Normatif Dan Empiris (Depok: Prenadamedia Group, 2018).","previouslyFormattedCitation":"Johnny Ibrahim Jonaedi Efendi, &lt;i&gt;Metode Penelitian Hukum: Normatif Dan Empiris&lt;/i&gt; (Depok: Prenadamedia Group, 2018)."},"properties":{"noteIndex":27},"schema":"https://github.com/citation-style-language/schema/raw/master/csl-citation.json"}</w:instrText>
      </w:r>
      <w:r w:rsidRPr="00AF2221">
        <w:rPr>
          <w:rFonts w:asciiTheme="majorBidi" w:hAnsiTheme="majorBidi" w:cstheme="majorBidi"/>
          <w:sz w:val="18"/>
          <w:szCs w:val="18"/>
        </w:rPr>
        <w:fldChar w:fldCharType="separate"/>
      </w:r>
      <w:r w:rsidRPr="00AF2221">
        <w:rPr>
          <w:rFonts w:asciiTheme="majorBidi" w:hAnsiTheme="majorBidi" w:cstheme="majorBidi"/>
          <w:noProof/>
          <w:sz w:val="18"/>
          <w:szCs w:val="18"/>
        </w:rPr>
        <w:t xml:space="preserve">Johnny Ibrahim Jonaedi Efendi, </w:t>
      </w:r>
      <w:r w:rsidRPr="00AF2221">
        <w:rPr>
          <w:rFonts w:asciiTheme="majorBidi" w:hAnsiTheme="majorBidi" w:cstheme="majorBidi"/>
          <w:i/>
          <w:noProof/>
          <w:sz w:val="18"/>
          <w:szCs w:val="18"/>
        </w:rPr>
        <w:t xml:space="preserve">Metode Penelitian Hukum: Normatif </w:t>
      </w:r>
      <w:r w:rsidR="0083343C">
        <w:rPr>
          <w:rFonts w:asciiTheme="majorBidi" w:hAnsiTheme="majorBidi" w:cstheme="majorBidi"/>
          <w:i/>
          <w:noProof/>
          <w:sz w:val="18"/>
          <w:szCs w:val="18"/>
        </w:rPr>
        <w:t>d</w:t>
      </w:r>
      <w:r w:rsidRPr="00AF2221">
        <w:rPr>
          <w:rFonts w:asciiTheme="majorBidi" w:hAnsiTheme="majorBidi" w:cstheme="majorBidi"/>
          <w:i/>
          <w:noProof/>
          <w:sz w:val="18"/>
          <w:szCs w:val="18"/>
        </w:rPr>
        <w:t>an Empiris</w:t>
      </w:r>
      <w:r w:rsidRPr="00AF2221">
        <w:rPr>
          <w:rFonts w:asciiTheme="majorBidi" w:hAnsiTheme="majorBidi" w:cstheme="majorBidi"/>
          <w:noProof/>
          <w:sz w:val="18"/>
          <w:szCs w:val="18"/>
        </w:rPr>
        <w:t xml:space="preserve"> (Depok: Prenada</w:t>
      </w:r>
      <w:r w:rsidR="00F6343B">
        <w:rPr>
          <w:rFonts w:asciiTheme="majorBidi" w:hAnsiTheme="majorBidi" w:cstheme="majorBidi"/>
          <w:noProof/>
          <w:sz w:val="18"/>
          <w:szCs w:val="18"/>
        </w:rPr>
        <w:t xml:space="preserve"> M</w:t>
      </w:r>
      <w:r w:rsidRPr="00AF2221">
        <w:rPr>
          <w:rFonts w:asciiTheme="majorBidi" w:hAnsiTheme="majorBidi" w:cstheme="majorBidi"/>
          <w:noProof/>
          <w:sz w:val="18"/>
          <w:szCs w:val="18"/>
        </w:rPr>
        <w:t>edia Group, 2018).</w:t>
      </w:r>
      <w:r w:rsidRPr="00AF2221">
        <w:rPr>
          <w:rFonts w:asciiTheme="majorBidi" w:hAnsiTheme="majorBidi" w:cstheme="majorBidi"/>
          <w:sz w:val="18"/>
          <w:szCs w:val="18"/>
        </w:rPr>
        <w:fldChar w:fldCharType="end"/>
      </w:r>
      <w:r w:rsidRPr="00AF2221">
        <w:rPr>
          <w:rFonts w:asciiTheme="majorBidi" w:hAnsiTheme="majorBidi" w:cstheme="majorBidi"/>
          <w:sz w:val="18"/>
          <w:szCs w:val="18"/>
        </w:rPr>
        <w:t>, hlm 124</w:t>
      </w:r>
    </w:p>
  </w:footnote>
  <w:footnote w:id="27">
    <w:p w14:paraId="3B07E7C7" w14:textId="51AB38ED" w:rsidR="008D372B" w:rsidRPr="00170B58" w:rsidRDefault="008D372B" w:rsidP="00463691">
      <w:pPr>
        <w:pStyle w:val="FootnoteText"/>
        <w:ind w:firstLine="720"/>
        <w:jc w:val="both"/>
        <w:rPr>
          <w:rFonts w:asciiTheme="majorBidi" w:hAnsiTheme="majorBidi" w:cstheme="majorBidi"/>
          <w:sz w:val="18"/>
          <w:szCs w:val="18"/>
          <w:lang w:val="en-US"/>
        </w:rPr>
      </w:pPr>
      <w:r w:rsidRPr="00170B58">
        <w:rPr>
          <w:rStyle w:val="FootnoteReference"/>
          <w:rFonts w:asciiTheme="majorBidi" w:hAnsiTheme="majorBidi" w:cstheme="majorBidi"/>
          <w:sz w:val="18"/>
          <w:szCs w:val="18"/>
        </w:rPr>
        <w:footnoteRef/>
      </w:r>
      <w:r w:rsidRPr="00170B58">
        <w:rPr>
          <w:rFonts w:asciiTheme="majorBidi" w:hAnsiTheme="majorBidi" w:cstheme="majorBidi"/>
          <w:sz w:val="18"/>
          <w:szCs w:val="18"/>
        </w:rPr>
        <w:t xml:space="preserve"> </w:t>
      </w:r>
      <w:r w:rsidRPr="00170B58">
        <w:rPr>
          <w:rFonts w:asciiTheme="majorBidi" w:hAnsiTheme="majorBidi" w:cstheme="majorBidi"/>
          <w:sz w:val="18"/>
          <w:szCs w:val="18"/>
        </w:rPr>
        <w:fldChar w:fldCharType="begin" w:fldLock="1"/>
      </w:r>
      <w:r w:rsidR="00CA04C8">
        <w:rPr>
          <w:rFonts w:asciiTheme="majorBidi" w:hAnsiTheme="majorBidi" w:cstheme="majorBidi"/>
          <w:sz w:val="18"/>
          <w:szCs w:val="18"/>
        </w:rPr>
        <w:instrText>ADDIN CSL_CITATION {"citationItems":[{"id":"ITEM-1","itemData":{"author":[{"dropping-particle":"","family":"Abdul Fattah Nasution","given":"","non-dropping-particle":"","parse-names":false,"suffix":""}],"edition":"Cet 1","editor":[{"dropping-particle":"","family":"Meyniar Albina","given":"","non-dropping-particle":"","parse-names":false,"suffix":""}],"id":"ITEM-1","issued":{"date-parts":[["2023"]]},"number-of-pages":"183","publisher":"CV. Harfa Creative","publisher-place":"Bandung","title":"Metode Penelitian Kualitatif","type":"book"},"uris":["http://www.mendeley.com/documents/?uuid=a8c36d99-16b7-4a04-a39f-7adb2a859d34"]}],"mendeley":{"formattedCitation":"Abdul Fattah Nasution, &lt;i&gt;Metode Penelitian Kualitatif&lt;/i&gt;, ed. Meyniar Albina, Cet 1. (Bandung: CV. Harfa Creative, 2023).","plainTextFormattedCitation":"Abdul Fattah Nasution, Metode Penelitian Kualitatif, ed. Meyniar Albina, Cet 1. (Bandung: CV. Harfa Creative, 2023).","previouslyFormattedCitation":"Abdul Fattah Nasution, &lt;i&gt;Metode Penelitian Kualitatif&lt;/i&gt;, ed. Meyniar Albina, Cet 1. (Bandung: CV. Harfa Creative, 2023)."},"properties":{"noteIndex":28},"schema":"https://github.com/citation-style-language/schema/raw/master/csl-citation.json"}</w:instrText>
      </w:r>
      <w:r w:rsidRPr="00170B58">
        <w:rPr>
          <w:rFonts w:asciiTheme="majorBidi" w:hAnsiTheme="majorBidi" w:cstheme="majorBidi"/>
          <w:sz w:val="18"/>
          <w:szCs w:val="18"/>
        </w:rPr>
        <w:fldChar w:fldCharType="separate"/>
      </w:r>
      <w:r w:rsidRPr="00170B58">
        <w:rPr>
          <w:rFonts w:asciiTheme="majorBidi" w:hAnsiTheme="majorBidi" w:cstheme="majorBidi"/>
          <w:noProof/>
          <w:sz w:val="18"/>
          <w:szCs w:val="18"/>
        </w:rPr>
        <w:t xml:space="preserve">Abdul Fattah Nasution, </w:t>
      </w:r>
      <w:r w:rsidRPr="00170B58">
        <w:rPr>
          <w:rFonts w:asciiTheme="majorBidi" w:hAnsiTheme="majorBidi" w:cstheme="majorBidi"/>
          <w:i/>
          <w:noProof/>
          <w:sz w:val="18"/>
          <w:szCs w:val="18"/>
        </w:rPr>
        <w:t>Metode Penelitian Kualitatif</w:t>
      </w:r>
      <w:r w:rsidRPr="00170B58">
        <w:rPr>
          <w:rFonts w:asciiTheme="majorBidi" w:hAnsiTheme="majorBidi" w:cstheme="majorBidi"/>
          <w:noProof/>
          <w:sz w:val="18"/>
          <w:szCs w:val="18"/>
        </w:rPr>
        <w:t>, ed. Meyniar Albina, Cet 1. (Bandung: CV. Harfa Creative, 2023).</w:t>
      </w:r>
      <w:r w:rsidRPr="00170B58">
        <w:rPr>
          <w:rFonts w:asciiTheme="majorBidi" w:hAnsiTheme="majorBidi" w:cstheme="majorBidi"/>
          <w:sz w:val="18"/>
          <w:szCs w:val="18"/>
        </w:rPr>
        <w:fldChar w:fldCharType="end"/>
      </w:r>
      <w:r w:rsidRPr="00170B58">
        <w:rPr>
          <w:rFonts w:asciiTheme="majorBidi" w:hAnsiTheme="majorBidi" w:cstheme="majorBidi"/>
          <w:sz w:val="18"/>
          <w:szCs w:val="18"/>
        </w:rPr>
        <w:t>, hlm 63</w:t>
      </w:r>
    </w:p>
  </w:footnote>
  <w:footnote w:id="28">
    <w:p w14:paraId="39538FB7" w14:textId="2D1DAA02" w:rsidR="008D372B" w:rsidRPr="00C044A2" w:rsidRDefault="008D372B" w:rsidP="00463691">
      <w:pPr>
        <w:pStyle w:val="FootnoteText"/>
        <w:ind w:firstLine="720"/>
        <w:jc w:val="both"/>
        <w:rPr>
          <w:rFonts w:asciiTheme="majorBidi" w:hAnsiTheme="majorBidi" w:cstheme="majorBidi"/>
          <w:sz w:val="18"/>
          <w:szCs w:val="18"/>
          <w:lang w:val="en-US"/>
        </w:rPr>
      </w:pPr>
      <w:r w:rsidRPr="00C044A2">
        <w:rPr>
          <w:rStyle w:val="FootnoteReference"/>
          <w:rFonts w:asciiTheme="majorBidi" w:hAnsiTheme="majorBidi" w:cstheme="majorBidi"/>
          <w:sz w:val="18"/>
          <w:szCs w:val="18"/>
        </w:rPr>
        <w:footnoteRef/>
      </w:r>
      <w:r w:rsidRPr="00C044A2">
        <w:rPr>
          <w:rFonts w:asciiTheme="majorBidi" w:hAnsiTheme="majorBidi" w:cstheme="majorBidi"/>
          <w:sz w:val="18"/>
          <w:szCs w:val="18"/>
        </w:rPr>
        <w:t xml:space="preserve"> </w:t>
      </w:r>
      <w:r w:rsidRPr="00C044A2">
        <w:rPr>
          <w:rFonts w:asciiTheme="majorBidi" w:hAnsiTheme="majorBidi" w:cstheme="majorBidi"/>
          <w:sz w:val="18"/>
          <w:szCs w:val="18"/>
        </w:rPr>
        <w:fldChar w:fldCharType="begin" w:fldLock="1"/>
      </w:r>
      <w:r w:rsidR="00CA04C8">
        <w:rPr>
          <w:rFonts w:asciiTheme="majorBidi" w:hAnsiTheme="majorBidi" w:cstheme="majorBidi"/>
          <w:sz w:val="18"/>
          <w:szCs w:val="18"/>
        </w:rPr>
        <w:instrText>ADDIN CSL_CITATION {"citationItems":[{"id":"ITEM-1","itemData":{"author":[{"dropping-particle":"","family":"Siregar","given":"Ameilia Zuliyanti","non-dropping-particle":"","parse-names":false,"suffix":""},{"dropping-particle":"","family":"Harahap","given":"Nurliana","non-dropping-particle":"","parse-names":false,"suffix":""}],"edition":"Cet 1","id":"ITEM-1","issued":{"date-parts":[["2019"]]},"number-of-pages":"130","publisher":"CV. Budi Utama","publisher-place":"Sleman","title":"Strategi dan Teknik Penulisan Karya Tulis Ilmiah dan Publikasi","type":"book"},"uris":["http://www.mendeley.com/documents/?uuid=8c697308-8068-4bf3-ae17-2bee3f3349c8"]}],"mendeley":{"formattedCitation":"Ameilia Zuliyanti Siregar and Nurliana Harahap, &lt;i&gt;Strategi Dan Teknik Penulisan Karya Tulis Ilmiah Dan Publikasi&lt;/i&gt;, Cet 1. (Sleman: CV. Budi Utama, 2019).","plainTextFormattedCitation":"Ameilia Zuliyanti Siregar and Nurliana Harahap, Strategi Dan Teknik Penulisan Karya Tulis Ilmiah Dan Publikasi, Cet 1. (Sleman: CV. Budi Utama, 2019).","previouslyFormattedCitation":"Ameilia Zuliyanti Siregar and Nurliana Harahap, &lt;i&gt;Strategi Dan Teknik Penulisan Karya Tulis Ilmiah Dan Publikasi&lt;/i&gt;, Cet 1. (Sleman: CV. Budi Utama, 2019)."},"properties":{"noteIndex":29},"schema":"https://github.com/citation-style-language/schema/raw/master/csl-citation.json"}</w:instrText>
      </w:r>
      <w:r w:rsidRPr="00C044A2">
        <w:rPr>
          <w:rFonts w:asciiTheme="majorBidi" w:hAnsiTheme="majorBidi" w:cstheme="majorBidi"/>
          <w:sz w:val="18"/>
          <w:szCs w:val="18"/>
        </w:rPr>
        <w:fldChar w:fldCharType="separate"/>
      </w:r>
      <w:r w:rsidRPr="00C044A2">
        <w:rPr>
          <w:rFonts w:asciiTheme="majorBidi" w:hAnsiTheme="majorBidi" w:cstheme="majorBidi"/>
          <w:noProof/>
          <w:sz w:val="18"/>
          <w:szCs w:val="18"/>
        </w:rPr>
        <w:t xml:space="preserve">Amelia Zuliyanti Siregar and Nurliana Harahap, </w:t>
      </w:r>
      <w:r w:rsidRPr="00C044A2">
        <w:rPr>
          <w:rFonts w:asciiTheme="majorBidi" w:hAnsiTheme="majorBidi" w:cstheme="majorBidi"/>
          <w:i/>
          <w:noProof/>
          <w:sz w:val="18"/>
          <w:szCs w:val="18"/>
        </w:rPr>
        <w:t xml:space="preserve">Strategi </w:t>
      </w:r>
      <w:r w:rsidR="0083343C">
        <w:rPr>
          <w:rFonts w:asciiTheme="majorBidi" w:hAnsiTheme="majorBidi" w:cstheme="majorBidi"/>
          <w:i/>
          <w:noProof/>
          <w:sz w:val="18"/>
          <w:szCs w:val="18"/>
        </w:rPr>
        <w:t>d</w:t>
      </w:r>
      <w:r w:rsidRPr="00C044A2">
        <w:rPr>
          <w:rFonts w:asciiTheme="majorBidi" w:hAnsiTheme="majorBidi" w:cstheme="majorBidi"/>
          <w:i/>
          <w:noProof/>
          <w:sz w:val="18"/>
          <w:szCs w:val="18"/>
        </w:rPr>
        <w:t xml:space="preserve">an Teknik Penulisan Karya Tulis Ilmiah </w:t>
      </w:r>
      <w:r w:rsidR="0083343C">
        <w:rPr>
          <w:rFonts w:asciiTheme="majorBidi" w:hAnsiTheme="majorBidi" w:cstheme="majorBidi"/>
          <w:i/>
          <w:noProof/>
          <w:sz w:val="18"/>
          <w:szCs w:val="18"/>
        </w:rPr>
        <w:t>d</w:t>
      </w:r>
      <w:r w:rsidRPr="00C044A2">
        <w:rPr>
          <w:rFonts w:asciiTheme="majorBidi" w:hAnsiTheme="majorBidi" w:cstheme="majorBidi"/>
          <w:i/>
          <w:noProof/>
          <w:sz w:val="18"/>
          <w:szCs w:val="18"/>
        </w:rPr>
        <w:t>an Publikasi</w:t>
      </w:r>
      <w:r w:rsidRPr="00C044A2">
        <w:rPr>
          <w:rFonts w:asciiTheme="majorBidi" w:hAnsiTheme="majorBidi" w:cstheme="majorBidi"/>
          <w:noProof/>
          <w:sz w:val="18"/>
          <w:szCs w:val="18"/>
        </w:rPr>
        <w:t>, Cet 1. (Sleman: CV. Budi Utama, 2019).</w:t>
      </w:r>
      <w:r w:rsidRPr="00C044A2">
        <w:rPr>
          <w:rFonts w:asciiTheme="majorBidi" w:hAnsiTheme="majorBidi" w:cstheme="majorBidi"/>
          <w:sz w:val="18"/>
          <w:szCs w:val="18"/>
        </w:rPr>
        <w:fldChar w:fldCharType="end"/>
      </w:r>
      <w:r>
        <w:rPr>
          <w:rFonts w:asciiTheme="majorBidi" w:hAnsiTheme="majorBidi" w:cstheme="majorBidi"/>
          <w:sz w:val="18"/>
          <w:szCs w:val="18"/>
        </w:rPr>
        <w:t>, hlm 6</w:t>
      </w:r>
    </w:p>
  </w:footnote>
  <w:footnote w:id="29">
    <w:p w14:paraId="55BD31D3" w14:textId="414A7D3E" w:rsidR="008D372B" w:rsidRPr="00C044A2" w:rsidRDefault="008D372B" w:rsidP="00463691">
      <w:pPr>
        <w:pStyle w:val="FootnoteText"/>
        <w:ind w:firstLine="720"/>
        <w:jc w:val="both"/>
        <w:rPr>
          <w:rFonts w:asciiTheme="majorBidi" w:hAnsiTheme="majorBidi" w:cstheme="majorBidi"/>
          <w:sz w:val="18"/>
          <w:szCs w:val="18"/>
          <w:lang w:val="en-US"/>
        </w:rPr>
      </w:pPr>
      <w:r w:rsidRPr="00C044A2">
        <w:rPr>
          <w:rStyle w:val="FootnoteReference"/>
          <w:rFonts w:asciiTheme="majorBidi" w:hAnsiTheme="majorBidi" w:cstheme="majorBidi"/>
          <w:sz w:val="18"/>
          <w:szCs w:val="18"/>
        </w:rPr>
        <w:footnoteRef/>
      </w:r>
      <w:r w:rsidRPr="00C044A2">
        <w:rPr>
          <w:rFonts w:asciiTheme="majorBidi" w:hAnsiTheme="majorBidi" w:cstheme="majorBidi"/>
          <w:sz w:val="18"/>
          <w:szCs w:val="18"/>
        </w:rPr>
        <w:t xml:space="preserve"> </w:t>
      </w:r>
      <w:r w:rsidRPr="00C044A2">
        <w:rPr>
          <w:rFonts w:asciiTheme="majorBidi" w:hAnsiTheme="majorBidi" w:cstheme="majorBidi"/>
          <w:sz w:val="18"/>
          <w:szCs w:val="18"/>
        </w:rPr>
        <w:fldChar w:fldCharType="begin" w:fldLock="1"/>
      </w:r>
      <w:r w:rsidR="00CA04C8">
        <w:rPr>
          <w:rFonts w:asciiTheme="majorBidi" w:hAnsiTheme="majorBidi" w:cstheme="majorBidi"/>
          <w:sz w:val="18"/>
          <w:szCs w:val="18"/>
        </w:rPr>
        <w:instrText>ADDIN CSL_CITATION {"citationItems":[{"id":"ITEM-1","itemData":{"author":[{"dropping-particle":"","family":"Siregar","given":"Ameilia Zuliyanti","non-dropping-particle":"","parse-names":false,"suffix":""},{"dropping-particle":"","family":"Harahap","given":"Nurliana","non-dropping-particle":"","parse-names":false,"suffix":""}],"edition":"Cet 1","id":"ITEM-1","issued":{"date-parts":[["2019"]]},"number-of-pages":"130","publisher":"CV. Budi Utama","publisher-place":"Sleman","title":"Strategi dan Teknik Penulisan Karya Tulis Ilmiah dan Publikasi","type":"book"},"uris":["http://www.mendeley.com/documents/?uuid=8c697308-8068-4bf3-ae17-2bee3f3349c8"]}],"mendeley":{"formattedCitation":"Ibid.","plainTextFormattedCitation":"Ibid.","previouslyFormattedCitation":"Ibid."},"properties":{"noteIndex":30},"schema":"https://github.com/citation-style-language/schema/raw/master/csl-citation.json"}</w:instrText>
      </w:r>
      <w:r w:rsidRPr="00C044A2">
        <w:rPr>
          <w:rFonts w:asciiTheme="majorBidi" w:hAnsiTheme="majorBidi" w:cstheme="majorBidi"/>
          <w:sz w:val="18"/>
          <w:szCs w:val="18"/>
        </w:rPr>
        <w:fldChar w:fldCharType="separate"/>
      </w:r>
      <w:r w:rsidRPr="00C044A2">
        <w:rPr>
          <w:rFonts w:asciiTheme="majorBidi" w:hAnsiTheme="majorBidi" w:cstheme="majorBidi"/>
          <w:noProof/>
          <w:sz w:val="18"/>
          <w:szCs w:val="18"/>
        </w:rPr>
        <w:t>Ibid.</w:t>
      </w:r>
      <w:r w:rsidRPr="00C044A2">
        <w:rPr>
          <w:rFonts w:asciiTheme="majorBidi" w:hAnsiTheme="majorBidi" w:cstheme="majorBidi"/>
          <w:sz w:val="18"/>
          <w:szCs w:val="18"/>
        </w:rPr>
        <w:fldChar w:fldCharType="end"/>
      </w:r>
      <w:r>
        <w:rPr>
          <w:rFonts w:asciiTheme="majorBidi" w:hAnsiTheme="majorBidi" w:cstheme="majorBidi"/>
          <w:sz w:val="18"/>
          <w:szCs w:val="18"/>
        </w:rPr>
        <w:t>, hlm 7</w:t>
      </w:r>
    </w:p>
  </w:footnote>
  <w:footnote w:id="30">
    <w:p w14:paraId="562D5D64" w14:textId="660FD336" w:rsidR="008D372B" w:rsidRPr="00024F80" w:rsidRDefault="008D372B" w:rsidP="00463691">
      <w:pPr>
        <w:pStyle w:val="FootnoteText"/>
        <w:ind w:firstLine="720"/>
        <w:jc w:val="both"/>
        <w:rPr>
          <w:rFonts w:asciiTheme="majorBidi" w:hAnsiTheme="majorBidi" w:cstheme="majorBidi"/>
          <w:sz w:val="18"/>
          <w:szCs w:val="18"/>
          <w:lang w:val="en-US"/>
        </w:rPr>
      </w:pPr>
      <w:r w:rsidRPr="00024F80">
        <w:rPr>
          <w:rStyle w:val="FootnoteReference"/>
          <w:rFonts w:asciiTheme="majorBidi" w:hAnsiTheme="majorBidi" w:cstheme="majorBidi"/>
          <w:sz w:val="18"/>
          <w:szCs w:val="18"/>
        </w:rPr>
        <w:footnoteRef/>
      </w:r>
      <w:r w:rsidRPr="00024F80">
        <w:rPr>
          <w:rFonts w:asciiTheme="majorBidi" w:hAnsiTheme="majorBidi" w:cstheme="majorBidi"/>
          <w:sz w:val="18"/>
          <w:szCs w:val="18"/>
        </w:rPr>
        <w:t xml:space="preserve"> </w:t>
      </w:r>
      <w:r w:rsidRPr="00024F80">
        <w:rPr>
          <w:rFonts w:asciiTheme="majorBidi" w:hAnsiTheme="majorBidi" w:cstheme="majorBidi"/>
          <w:sz w:val="18"/>
          <w:szCs w:val="18"/>
        </w:rPr>
        <w:fldChar w:fldCharType="begin" w:fldLock="1"/>
      </w:r>
      <w:r w:rsidR="00CA04C8">
        <w:rPr>
          <w:rFonts w:asciiTheme="majorBidi" w:hAnsiTheme="majorBidi" w:cstheme="majorBidi"/>
          <w:sz w:val="18"/>
          <w:szCs w:val="18"/>
        </w:rPr>
        <w:instrText>ADDIN CSL_CITATION {"citationItems":[{"id":"ITEM-1","itemData":{"author":[{"dropping-particle":"","family":"Andi Sofyan","given":"Nur Azizah","non-dropping-particle":"","parse-names":false,"suffix":""}],"edition":"Cet 1","editor":[{"dropping-particle":"","family":"Kadarudin","given":"","non-dropping-particle":"","parse-names":false,"suffix":""}],"id":"ITEM-1","issued":{"date-parts":[["2016"]]},"number-of-pages":"259","publisher":"Pustaka Pena Press","publisher-place":"Makassar","title":"Buku Ahar Hukum Pidana","type":"book"},"uris":["http://www.mendeley.com/documents/?uuid=b885c3d9-ef6d-47d9-8b41-c341856af03d"]}],"mendeley":{"formattedCitation":"Nur Azizah Andi Sofyan, &lt;i&gt;Buku Ahar Hukum Pidana&lt;/i&gt;, ed. Kadarudin, Cet 1. (Makassar: Pustaka Pena Press, 2016).","plainTextFormattedCitation":"Nur Azizah Andi Sofyan, Buku Ahar Hukum Pidana, ed. Kadarudin, Cet 1. (Makassar: Pustaka Pena Press, 2016).","previouslyFormattedCitation":"Nur Azizah Andi Sofyan, &lt;i&gt;Buku Ahar Hukum Pidana&lt;/i&gt;, ed. Kadarudin, Cet 1. (Makassar: Pustaka Pena Press, 2016)."},"properties":{"noteIndex":31},"schema":"https://github.com/citation-style-language/schema/raw/master/csl-citation.json"}</w:instrText>
      </w:r>
      <w:r w:rsidRPr="00024F80">
        <w:rPr>
          <w:rFonts w:asciiTheme="majorBidi" w:hAnsiTheme="majorBidi" w:cstheme="majorBidi"/>
          <w:sz w:val="18"/>
          <w:szCs w:val="18"/>
        </w:rPr>
        <w:fldChar w:fldCharType="separate"/>
      </w:r>
      <w:r w:rsidRPr="00024F80">
        <w:rPr>
          <w:rFonts w:asciiTheme="majorBidi" w:hAnsiTheme="majorBidi" w:cstheme="majorBidi"/>
          <w:noProof/>
          <w:sz w:val="18"/>
          <w:szCs w:val="18"/>
        </w:rPr>
        <w:t xml:space="preserve">Nur Azizah Andi Sofyan, </w:t>
      </w:r>
      <w:r w:rsidRPr="00024F80">
        <w:rPr>
          <w:rFonts w:asciiTheme="majorBidi" w:hAnsiTheme="majorBidi" w:cstheme="majorBidi"/>
          <w:i/>
          <w:noProof/>
          <w:sz w:val="18"/>
          <w:szCs w:val="18"/>
        </w:rPr>
        <w:t>Buku A</w:t>
      </w:r>
      <w:r w:rsidR="00350FBA">
        <w:rPr>
          <w:rFonts w:asciiTheme="majorBidi" w:hAnsiTheme="majorBidi" w:cstheme="majorBidi"/>
          <w:i/>
          <w:noProof/>
          <w:sz w:val="18"/>
          <w:szCs w:val="18"/>
        </w:rPr>
        <w:t>j</w:t>
      </w:r>
      <w:r w:rsidRPr="00024F80">
        <w:rPr>
          <w:rFonts w:asciiTheme="majorBidi" w:hAnsiTheme="majorBidi" w:cstheme="majorBidi"/>
          <w:i/>
          <w:noProof/>
          <w:sz w:val="18"/>
          <w:szCs w:val="18"/>
        </w:rPr>
        <w:t>ar Hukum Pidana</w:t>
      </w:r>
      <w:r w:rsidRPr="00024F80">
        <w:rPr>
          <w:rFonts w:asciiTheme="majorBidi" w:hAnsiTheme="majorBidi" w:cstheme="majorBidi"/>
          <w:noProof/>
          <w:sz w:val="18"/>
          <w:szCs w:val="18"/>
        </w:rPr>
        <w:t>, ed. Kadaru</w:t>
      </w:r>
      <w:r w:rsidR="00F6343B">
        <w:rPr>
          <w:rFonts w:asciiTheme="majorBidi" w:hAnsiTheme="majorBidi" w:cstheme="majorBidi"/>
          <w:noProof/>
          <w:sz w:val="18"/>
          <w:szCs w:val="18"/>
        </w:rPr>
        <w:t>d</w:t>
      </w:r>
      <w:r w:rsidRPr="00024F80">
        <w:rPr>
          <w:rFonts w:asciiTheme="majorBidi" w:hAnsiTheme="majorBidi" w:cstheme="majorBidi"/>
          <w:noProof/>
          <w:sz w:val="18"/>
          <w:szCs w:val="18"/>
        </w:rPr>
        <w:t>din, Cet 1. (Makassar: Pustaka Pena Press, 2016).</w:t>
      </w:r>
      <w:r w:rsidRPr="00024F80">
        <w:rPr>
          <w:rFonts w:asciiTheme="majorBidi" w:hAnsiTheme="majorBidi" w:cstheme="majorBidi"/>
          <w:sz w:val="18"/>
          <w:szCs w:val="18"/>
        </w:rPr>
        <w:fldChar w:fldCharType="end"/>
      </w:r>
      <w:r>
        <w:rPr>
          <w:rFonts w:asciiTheme="majorBidi" w:hAnsiTheme="majorBidi" w:cstheme="majorBidi"/>
          <w:sz w:val="18"/>
          <w:szCs w:val="18"/>
        </w:rPr>
        <w:t>, hlm 93</w:t>
      </w:r>
    </w:p>
  </w:footnote>
  <w:footnote w:id="31">
    <w:p w14:paraId="2564BB31" w14:textId="08269936" w:rsidR="008D372B" w:rsidRPr="00BC0107" w:rsidRDefault="008D372B" w:rsidP="00463691">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CA04C8">
        <w:rPr>
          <w:rFonts w:asciiTheme="majorBidi" w:hAnsiTheme="majorBidi" w:cstheme="majorBidi"/>
          <w:sz w:val="18"/>
          <w:szCs w:val="18"/>
        </w:rPr>
        <w:instrText>ADDIN CSL_CITATION {"citationItems":[{"id":"ITEM-1","itemData":{"author":[{"dropping-particle":"","family":"Fitri Wahyuni","given":"","non-dropping-particle":"","parse-names":false,"suffix":""}],"edition":"Cet 1","editor":[{"dropping-particle":"","family":"M Rizqi Azmi","given":"","non-dropping-particle":"","parse-names":false,"suffix":""}],"id":"ITEM-1","issued":{"date-parts":[["2017"]]},"number-of-pages":"222","publisher":"PT Nusantara Persada Utama","publisher-place":"Tanggerang Selatan","title":"Dasar Dasar Hukum Pidana di Indonesia","type":"book"},"uris":["http://www.mendeley.com/documents/?uuid=e2df6dea-3155-4d47-8cff-00dbcb81ae36"]}],"mendeley":{"formattedCitation":"Fitri Wahyuni, &lt;i&gt;Dasar Dasar Hukum Pidana Di Indonesia&lt;/i&gt;, ed. M Rizqi Azmi, Cet 1. (Tanggerang Selatan: PT Nusantara Persada Utama, 2017).","plainTextFormattedCitation":"Fitri Wahyuni, Dasar Dasar Hukum Pidana Di Indonesia, ed. M Rizqi Azmi, Cet 1. (Tanggerang Selatan: PT Nusantara Persada Utama, 2017).","previouslyFormattedCitation":"Fitri Wahyuni, &lt;i&gt;Dasar Dasar Hukum Pidana Di Indonesia&lt;/i&gt;, ed. M Rizqi Azmi, Cet 1. (Tanggerang Selatan: PT Nusantara Persada Utama, 2017)."},"properties":{"noteIndex":32},"schema":"https://github.com/citation-style-language/schema/raw/master/csl-citation.json"}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Fitri Wahyuni, </w:t>
      </w:r>
      <w:r w:rsidRPr="00BC0107">
        <w:rPr>
          <w:rFonts w:asciiTheme="majorBidi" w:hAnsiTheme="majorBidi" w:cstheme="majorBidi"/>
          <w:i/>
          <w:noProof/>
          <w:sz w:val="18"/>
          <w:szCs w:val="18"/>
        </w:rPr>
        <w:t xml:space="preserve">Dasar Dasar Hukum Pidana </w:t>
      </w:r>
      <w:r w:rsidR="0083343C">
        <w:rPr>
          <w:rFonts w:asciiTheme="majorBidi" w:hAnsiTheme="majorBidi" w:cstheme="majorBidi"/>
          <w:i/>
          <w:noProof/>
          <w:sz w:val="18"/>
          <w:szCs w:val="18"/>
        </w:rPr>
        <w:t>d</w:t>
      </w:r>
      <w:r w:rsidRPr="00BC0107">
        <w:rPr>
          <w:rFonts w:asciiTheme="majorBidi" w:hAnsiTheme="majorBidi" w:cstheme="majorBidi"/>
          <w:i/>
          <w:noProof/>
          <w:sz w:val="18"/>
          <w:szCs w:val="18"/>
        </w:rPr>
        <w:t>i Indonesia</w:t>
      </w:r>
      <w:r w:rsidRPr="00BC0107">
        <w:rPr>
          <w:rFonts w:asciiTheme="majorBidi" w:hAnsiTheme="majorBidi" w:cstheme="majorBidi"/>
          <w:noProof/>
          <w:sz w:val="18"/>
          <w:szCs w:val="18"/>
        </w:rPr>
        <w:t>, ed. M Rizqi Azmi, Cet 1. (Tangerang Selatan: PT Nusantara Persada Utama, 2017).</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 xml:space="preserve">, </w:t>
      </w:r>
      <w:r>
        <w:rPr>
          <w:rFonts w:asciiTheme="majorBidi" w:hAnsiTheme="majorBidi" w:cstheme="majorBidi"/>
          <w:sz w:val="18"/>
          <w:szCs w:val="18"/>
        </w:rPr>
        <w:t xml:space="preserve">hlm </w:t>
      </w:r>
      <w:r w:rsidRPr="00BC0107">
        <w:rPr>
          <w:rFonts w:asciiTheme="majorBidi" w:hAnsiTheme="majorBidi" w:cstheme="majorBidi"/>
          <w:sz w:val="18"/>
          <w:szCs w:val="18"/>
        </w:rPr>
        <w:t>35</w:t>
      </w:r>
    </w:p>
  </w:footnote>
  <w:footnote w:id="32">
    <w:p w14:paraId="246E15ED" w14:textId="6991A275" w:rsidR="008D372B" w:rsidRPr="00BC0107" w:rsidRDefault="008D372B" w:rsidP="00463691">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M</w:t>
      </w:r>
      <w:r w:rsidR="00F6343B">
        <w:rPr>
          <w:rFonts w:asciiTheme="majorBidi" w:hAnsiTheme="majorBidi" w:cstheme="majorBidi"/>
          <w:sz w:val="18"/>
          <w:szCs w:val="18"/>
        </w:rPr>
        <w:t>oe</w:t>
      </w:r>
      <w:r w:rsidRPr="00BC0107">
        <w:rPr>
          <w:rFonts w:asciiTheme="majorBidi" w:hAnsiTheme="majorBidi" w:cstheme="majorBidi"/>
          <w:sz w:val="18"/>
          <w:szCs w:val="18"/>
        </w:rPr>
        <w:t xml:space="preserve">ljatno dalam </w:t>
      </w:r>
      <w:r w:rsidRPr="00BC0107">
        <w:rPr>
          <w:rFonts w:asciiTheme="majorBidi" w:hAnsiTheme="majorBidi" w:cstheme="majorBidi"/>
          <w:sz w:val="18"/>
          <w:szCs w:val="18"/>
        </w:rPr>
        <w:fldChar w:fldCharType="begin" w:fldLock="1"/>
      </w:r>
      <w:r w:rsidR="00CA04C8">
        <w:rPr>
          <w:rFonts w:asciiTheme="majorBidi" w:hAnsiTheme="majorBidi" w:cstheme="majorBidi"/>
          <w:sz w:val="18"/>
          <w:szCs w:val="18"/>
        </w:rPr>
        <w:instrText>ADDIN CSL_CITATION {"citationItems":[{"id":"ITEM-1","itemData":{"author":[{"dropping-particle":"","family":"Suyatno","given":"","non-dropping-particle":"","parse-names":false,"suffix":""}],"edition":"Cet 1","editor":[{"dropping-particle":"","family":"Putri Kusuma Anggraini","given":"","non-dropping-particle":"","parse-names":false,"suffix":""}],"id":"ITEM-1","issued":{"date-parts":[["2018"]]},"number-of-pages":"224","publisher":"CV. Budi Utama","publisher-place":"Yogyakarta","title":"Pengantar Hukum Pidana","type":"book"},"uris":["http://www.mendeley.com/documents/?uuid=7da3ccd7-db6a-4269-aea0-35945604ae59"]}],"mendeley":{"formattedCitation":"Suyatno, &lt;i&gt;Pengantar Hukum Pidana&lt;/i&gt;, ed. Putri Kusuma Anggraini, Cet 1. (Yogyakarta: CV. Budi Utama, 2018).","plainTextFormattedCitation":"Suyatno, Pengantar Hukum Pidana, ed. Putri Kusuma Anggraini, Cet 1. (Yogyakarta: CV. Budi Utama, 2018).","previouslyFormattedCitation":"Suyatno, &lt;i&gt;Pengantar Hukum Pidana&lt;/i&gt;, ed. Putri Kusuma Anggraini, Cet 1. (Yogyakarta: CV. Budi Utama, 2018)."},"properties":{"noteIndex":33},"schema":"https://github.com/citation-style-language/schema/raw/master/csl-citation.json"}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Suyatno, </w:t>
      </w:r>
      <w:r w:rsidRPr="00BC0107">
        <w:rPr>
          <w:rFonts w:asciiTheme="majorBidi" w:hAnsiTheme="majorBidi" w:cstheme="majorBidi"/>
          <w:i/>
          <w:noProof/>
          <w:sz w:val="18"/>
          <w:szCs w:val="18"/>
        </w:rPr>
        <w:t>Pengantar Hukum Pidana</w:t>
      </w:r>
      <w:r w:rsidRPr="00BC0107">
        <w:rPr>
          <w:rFonts w:asciiTheme="majorBidi" w:hAnsiTheme="majorBidi" w:cstheme="majorBidi"/>
          <w:noProof/>
          <w:sz w:val="18"/>
          <w:szCs w:val="18"/>
        </w:rPr>
        <w:t>, ed. Putri Kusuma Anggraini, Cet 1. (Yogyakarta: CV. Budi Utama, 2018).</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w:t>
      </w:r>
      <w:r>
        <w:rPr>
          <w:rFonts w:asciiTheme="majorBidi" w:hAnsiTheme="majorBidi" w:cstheme="majorBidi"/>
          <w:sz w:val="18"/>
          <w:szCs w:val="18"/>
        </w:rPr>
        <w:t>hlm</w:t>
      </w:r>
      <w:r w:rsidRPr="00BC0107">
        <w:rPr>
          <w:rFonts w:asciiTheme="majorBidi" w:hAnsiTheme="majorBidi" w:cstheme="majorBidi"/>
          <w:sz w:val="18"/>
          <w:szCs w:val="18"/>
        </w:rPr>
        <w:t xml:space="preserve"> 69</w:t>
      </w:r>
    </w:p>
  </w:footnote>
  <w:footnote w:id="33">
    <w:p w14:paraId="2E4BF7BF" w14:textId="0E8251E8" w:rsidR="008D372B" w:rsidRPr="00BC0107" w:rsidRDefault="008D372B" w:rsidP="00463691">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Van Hamel dalam </w:t>
      </w:r>
      <w:r w:rsidRPr="00BC0107">
        <w:rPr>
          <w:rFonts w:asciiTheme="majorBidi" w:hAnsiTheme="majorBidi" w:cstheme="majorBidi"/>
          <w:sz w:val="18"/>
          <w:szCs w:val="18"/>
        </w:rPr>
        <w:fldChar w:fldCharType="begin" w:fldLock="1"/>
      </w:r>
      <w:r w:rsidR="00CA04C8">
        <w:rPr>
          <w:rFonts w:asciiTheme="majorBidi" w:hAnsiTheme="majorBidi" w:cstheme="majorBidi"/>
          <w:sz w:val="18"/>
          <w:szCs w:val="18"/>
        </w:rPr>
        <w:instrText>ADDIN CSL_CITATION {"citationItems":[{"id":"ITEM-1","itemData":{"author":[{"dropping-particle":"","family":"Sudaryono","given":"Natangsa Surbakti","non-dropping-particle":"","parse-names":false,"suffix":""}],"edition":"Cet 1","editor":[{"dropping-particle":"","family":"Kuswandani","given":"","non-dropping-particle":"","parse-names":false,"suffix":""}],"id":"ITEM-1","issued":{"date-parts":[["2017"]]},"number-of-pages":"290","publisher":"Muhammadiyah University Press","publisher-place":"Surakarta","title":"Hukum Pidana Dasar-Dasar Hukum Pidana Berdasarkan KUHP dan RUU KUHP","type":"book"},"uris":["http://www.mendeley.com/documents/?uuid=9cc34d20-e940-4bd6-9811-adac886a4686"]}],"mendeley":{"formattedCitation":"Natangsa Surbakti Sudaryono, &lt;i&gt;Hukum Pidana Dasar-Dasar Hukum Pidana Berdasarkan KUHP Dan RUU KUHP&lt;/i&gt;, ed. Kuswandani, Cet 1. (Surakarta: Muhammadiyah University Press, 2017).","plainTextFormattedCitation":"Natangsa Surbakti Sudaryono, Hukum Pidana Dasar-Dasar Hukum Pidana Berdasarkan KUHP Dan RUU KUHP, ed. Kuswandani, Cet 1. (Surakarta: Muhammadiyah University Press, 2017).","previouslyFormattedCitation":"Natangsa Surbakti Sudaryono, &lt;i&gt;Hukum Pidana Dasar-Dasar Hukum Pidana Berdasarkan KUHP Dan RUU KUHP&lt;/i&gt;, ed. Kuswandani, Cet 1. (Surakarta: Muhammadiyah University Press, 2017)."},"properties":{"noteIndex":34},"schema":"https://github.com/citation-style-language/schema/raw/master/csl-citation.json"}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Natangsa Surbakti Sudaryono, </w:t>
      </w:r>
      <w:r w:rsidRPr="00BC0107">
        <w:rPr>
          <w:rFonts w:asciiTheme="majorBidi" w:hAnsiTheme="majorBidi" w:cstheme="majorBidi"/>
          <w:i/>
          <w:noProof/>
          <w:sz w:val="18"/>
          <w:szCs w:val="18"/>
        </w:rPr>
        <w:t xml:space="preserve">Hukum Pidana Dasar-Dasar Hukum Pidana Berdasarkan KUHP </w:t>
      </w:r>
      <w:r w:rsidR="00350FBA">
        <w:rPr>
          <w:rFonts w:asciiTheme="majorBidi" w:hAnsiTheme="majorBidi" w:cstheme="majorBidi"/>
          <w:i/>
          <w:noProof/>
          <w:sz w:val="18"/>
          <w:szCs w:val="18"/>
        </w:rPr>
        <w:t>d</w:t>
      </w:r>
      <w:r w:rsidRPr="00BC0107">
        <w:rPr>
          <w:rFonts w:asciiTheme="majorBidi" w:hAnsiTheme="majorBidi" w:cstheme="majorBidi"/>
          <w:i/>
          <w:noProof/>
          <w:sz w:val="18"/>
          <w:szCs w:val="18"/>
        </w:rPr>
        <w:t>an RUU KUHP</w:t>
      </w:r>
      <w:r w:rsidRPr="00BC0107">
        <w:rPr>
          <w:rFonts w:asciiTheme="majorBidi" w:hAnsiTheme="majorBidi" w:cstheme="majorBidi"/>
          <w:noProof/>
          <w:sz w:val="18"/>
          <w:szCs w:val="18"/>
        </w:rPr>
        <w:t>, ed. Kuswandani, Cet 1. (Surakarta: Muhammadiyah University Press, 2017).</w:t>
      </w:r>
      <w:r w:rsidRPr="00BC0107">
        <w:rPr>
          <w:rFonts w:asciiTheme="majorBidi" w:hAnsiTheme="majorBidi" w:cstheme="majorBidi"/>
          <w:sz w:val="18"/>
          <w:szCs w:val="18"/>
        </w:rPr>
        <w:fldChar w:fldCharType="end"/>
      </w:r>
      <w:r>
        <w:rPr>
          <w:rFonts w:asciiTheme="majorBidi" w:hAnsiTheme="majorBidi" w:cstheme="majorBidi"/>
          <w:sz w:val="18"/>
          <w:szCs w:val="18"/>
        </w:rPr>
        <w:t>, hlm 91</w:t>
      </w:r>
    </w:p>
  </w:footnote>
  <w:footnote w:id="34">
    <w:p w14:paraId="336C1B47" w14:textId="0F6A6113" w:rsidR="008D372B" w:rsidRPr="00386C06" w:rsidRDefault="008D372B" w:rsidP="00463691">
      <w:pPr>
        <w:pStyle w:val="FootnoteText"/>
        <w:ind w:firstLine="720"/>
        <w:jc w:val="both"/>
        <w:rPr>
          <w:rFonts w:asciiTheme="majorBidi" w:hAnsiTheme="majorBidi" w:cstheme="majorBidi"/>
          <w:sz w:val="18"/>
          <w:szCs w:val="18"/>
          <w:lang w:val="en-US"/>
        </w:rPr>
      </w:pPr>
      <w:r w:rsidRPr="00386C06">
        <w:rPr>
          <w:rStyle w:val="FootnoteReference"/>
          <w:rFonts w:asciiTheme="majorBidi" w:hAnsiTheme="majorBidi" w:cstheme="majorBidi"/>
          <w:sz w:val="18"/>
          <w:szCs w:val="18"/>
        </w:rPr>
        <w:footnoteRef/>
      </w:r>
      <w:r w:rsidRPr="00386C06">
        <w:rPr>
          <w:rFonts w:asciiTheme="majorBidi" w:hAnsiTheme="majorBidi" w:cstheme="majorBidi"/>
          <w:sz w:val="18"/>
          <w:szCs w:val="18"/>
        </w:rPr>
        <w:t xml:space="preserve"> </w:t>
      </w:r>
      <w:r>
        <w:rPr>
          <w:rFonts w:asciiTheme="majorBidi" w:hAnsiTheme="majorBidi" w:cstheme="majorBidi"/>
          <w:sz w:val="18"/>
          <w:szCs w:val="18"/>
        </w:rPr>
        <w:t xml:space="preserve">Lihat di Pasal 289 sampai 296 KUHP, </w:t>
      </w:r>
      <w:r w:rsidRPr="00386C06">
        <w:rPr>
          <w:rFonts w:asciiTheme="majorBidi" w:hAnsiTheme="majorBidi" w:cstheme="majorBidi"/>
          <w:sz w:val="18"/>
          <w:szCs w:val="18"/>
        </w:rPr>
        <w:fldChar w:fldCharType="begin" w:fldLock="1"/>
      </w:r>
      <w:r w:rsidR="00CA04C8">
        <w:rPr>
          <w:rFonts w:asciiTheme="majorBidi" w:hAnsiTheme="majorBidi" w:cstheme="majorBidi"/>
          <w:sz w:val="18"/>
          <w:szCs w:val="18"/>
        </w:rPr>
        <w:instrText>ADDIN CSL_CITATION {"citationItems":[{"id":"ITEM-1","itemData":{"ISBN":"978-979-518-141-5","author":[{"dropping-particle":"","family":"Andi Hamzah","given":"","non-dropping-particle":"","parse-names":false,"suffix":""}],"edition":"cet 20","id":"ITEM-1","issued":{"date-parts":[["2016"]]},"number-of-pages":"432","publisher":"Rineka Cipta","publisher-place":"Jakarta, Indonesia","title":"KUHP dan KUHAP","type":"book"},"uris":["http://www.mendeley.com/documents/?uuid=6a7acdc1-456e-4a33-9142-8886727b093c"]}],"mendeley":{"formattedCitation":"Andi Hamzah, &lt;i&gt;KUHP Dan KUHAP&lt;/i&gt;.","plainTextFormattedCitation":"Andi Hamzah, KUHP Dan KUHAP.","previouslyFormattedCitation":"Andi Hamzah, &lt;i&gt;KUHP Dan KUHAP&lt;/i&gt;."},"properties":{"noteIndex":35},"schema":"https://github.com/citation-style-language/schema/raw/master/csl-citation.json"}</w:instrText>
      </w:r>
      <w:r w:rsidRPr="00386C06">
        <w:rPr>
          <w:rFonts w:asciiTheme="majorBidi" w:hAnsiTheme="majorBidi" w:cstheme="majorBidi"/>
          <w:sz w:val="18"/>
          <w:szCs w:val="18"/>
        </w:rPr>
        <w:fldChar w:fldCharType="separate"/>
      </w:r>
      <w:r w:rsidRPr="00386C06">
        <w:rPr>
          <w:rFonts w:asciiTheme="majorBidi" w:hAnsiTheme="majorBidi" w:cstheme="majorBidi"/>
          <w:noProof/>
          <w:sz w:val="18"/>
          <w:szCs w:val="18"/>
        </w:rPr>
        <w:t xml:space="preserve">Andi Hamzah, </w:t>
      </w:r>
      <w:r w:rsidRPr="00386C06">
        <w:rPr>
          <w:rFonts w:asciiTheme="majorBidi" w:hAnsiTheme="majorBidi" w:cstheme="majorBidi"/>
          <w:i/>
          <w:noProof/>
          <w:sz w:val="18"/>
          <w:szCs w:val="18"/>
        </w:rPr>
        <w:t xml:space="preserve">KUHP </w:t>
      </w:r>
      <w:r w:rsidR="00350FBA">
        <w:rPr>
          <w:rFonts w:asciiTheme="majorBidi" w:hAnsiTheme="majorBidi" w:cstheme="majorBidi"/>
          <w:i/>
          <w:noProof/>
          <w:sz w:val="18"/>
          <w:szCs w:val="18"/>
        </w:rPr>
        <w:t>d</w:t>
      </w:r>
      <w:r w:rsidRPr="00386C06">
        <w:rPr>
          <w:rFonts w:asciiTheme="majorBidi" w:hAnsiTheme="majorBidi" w:cstheme="majorBidi"/>
          <w:i/>
          <w:noProof/>
          <w:sz w:val="18"/>
          <w:szCs w:val="18"/>
        </w:rPr>
        <w:t>an KUHAP</w:t>
      </w:r>
      <w:r w:rsidRPr="00386C06">
        <w:rPr>
          <w:rFonts w:asciiTheme="majorBidi" w:hAnsiTheme="majorBidi" w:cstheme="majorBidi"/>
          <w:noProof/>
          <w:sz w:val="18"/>
          <w:szCs w:val="18"/>
        </w:rPr>
        <w:t>.</w:t>
      </w:r>
      <w:r w:rsidRPr="00386C06">
        <w:rPr>
          <w:rFonts w:asciiTheme="majorBidi" w:hAnsiTheme="majorBidi" w:cstheme="majorBidi"/>
          <w:sz w:val="18"/>
          <w:szCs w:val="18"/>
        </w:rPr>
        <w:fldChar w:fldCharType="end"/>
      </w:r>
    </w:p>
  </w:footnote>
  <w:footnote w:id="35">
    <w:p w14:paraId="555F31CF" w14:textId="43F9A566" w:rsidR="008D372B" w:rsidRPr="00502C42" w:rsidRDefault="008D372B" w:rsidP="00463691">
      <w:pPr>
        <w:pStyle w:val="FootnoteText"/>
        <w:ind w:firstLine="720"/>
        <w:jc w:val="both"/>
        <w:rPr>
          <w:rFonts w:asciiTheme="majorBidi" w:hAnsiTheme="majorBidi" w:cstheme="majorBidi"/>
          <w:sz w:val="18"/>
          <w:szCs w:val="18"/>
          <w:lang w:val="en-US"/>
        </w:rPr>
      </w:pPr>
      <w:r w:rsidRPr="00502C42">
        <w:rPr>
          <w:rStyle w:val="FootnoteReference"/>
          <w:rFonts w:asciiTheme="majorBidi" w:hAnsiTheme="majorBidi" w:cstheme="majorBidi"/>
          <w:sz w:val="18"/>
          <w:szCs w:val="18"/>
        </w:rPr>
        <w:footnoteRef/>
      </w:r>
      <w:r w:rsidRPr="00502C42">
        <w:rPr>
          <w:rFonts w:asciiTheme="majorBidi" w:hAnsiTheme="majorBidi" w:cstheme="majorBidi"/>
          <w:sz w:val="18"/>
          <w:szCs w:val="18"/>
        </w:rPr>
        <w:t xml:space="preserve"> Sunardi dan Fanny Tanuwijaya</w:t>
      </w:r>
      <w:r>
        <w:rPr>
          <w:rFonts w:asciiTheme="majorBidi" w:hAnsiTheme="majorBidi" w:cstheme="majorBidi"/>
          <w:sz w:val="18"/>
          <w:szCs w:val="18"/>
        </w:rPr>
        <w:t xml:space="preserve"> dalam </w:t>
      </w:r>
      <w:r w:rsidRPr="00502C42">
        <w:rPr>
          <w:rFonts w:asciiTheme="majorBidi" w:hAnsiTheme="majorBidi" w:cstheme="majorBidi"/>
          <w:sz w:val="18"/>
          <w:szCs w:val="18"/>
        </w:rPr>
        <w:fldChar w:fldCharType="begin" w:fldLock="1"/>
      </w:r>
      <w:r w:rsidR="00CA04C8">
        <w:rPr>
          <w:rFonts w:asciiTheme="majorBidi" w:hAnsiTheme="majorBidi" w:cstheme="majorBidi"/>
          <w:sz w:val="18"/>
          <w:szCs w:val="18"/>
        </w:rPr>
        <w:instrText>ADDIN CSL_CITATION {"citationItems":[{"id":"ITEM-1","itemData":{"author":[{"dropping-particle":"","family":"Agustanti","given":"Rosalia Dika","non-dropping-particle":"","parse-names":false,"suffix":""}],"container-title":"Jurnal Yuridis","id":"ITEM-1","issued":{"date-parts":[["2020"]]},"page":"20","title":"Penegakan Hukum Pelaku Perbuatan Cabul dalam Putusan Bebas Terhadap Perempuan","type":"article-journal","volume":"Vol. 7 No."},"uris":["http://www.mendeley.com/documents/?uuid=374596d4-1be4-443a-8cc8-d2968ed0dd64"]}],"mendeley":{"formattedCitation":"Rosalia Dika Agustanti, “Penegakan Hukum Pelaku Perbuatan Cabul Dalam Putusan Bebas Terhadap Perempuan,” &lt;i&gt;Jurnal Yuridis&lt;/i&gt; Vol. 7 No. (2020): 20.","plainTextFormattedCitation":"Rosalia Dika Agustanti, “Penegakan Hukum Pelaku Perbuatan Cabul Dalam Putusan Bebas Terhadap Perempuan,” Jurnal Yuridis Vol. 7 No. (2020): 20.","previouslyFormattedCitation":"Rosalia Dika Agustanti, “Penegakan Hukum Pelaku Perbuatan Cabul Dalam Putusan Bebas Terhadap Perempuan,” &lt;i&gt;Jurnal Yuridis&lt;/i&gt; Vol. 7 No. (2020): 20."},"properties":{"noteIndex":36},"schema":"https://github.com/citation-style-language/schema/raw/master/csl-citation.json"}</w:instrText>
      </w:r>
      <w:r w:rsidRPr="00502C42">
        <w:rPr>
          <w:rFonts w:asciiTheme="majorBidi" w:hAnsiTheme="majorBidi" w:cstheme="majorBidi"/>
          <w:sz w:val="18"/>
          <w:szCs w:val="18"/>
        </w:rPr>
        <w:fldChar w:fldCharType="separate"/>
      </w:r>
      <w:r w:rsidRPr="00502C42">
        <w:rPr>
          <w:rFonts w:asciiTheme="majorBidi" w:hAnsiTheme="majorBidi" w:cstheme="majorBidi"/>
          <w:noProof/>
          <w:sz w:val="18"/>
          <w:szCs w:val="18"/>
        </w:rPr>
        <w:t xml:space="preserve">Rosalia Dika Agustanti, “Penegakan Hukum Pelaku Perbuatan Cabul </w:t>
      </w:r>
      <w:r w:rsidR="00350FBA">
        <w:rPr>
          <w:rFonts w:asciiTheme="majorBidi" w:hAnsiTheme="majorBidi" w:cstheme="majorBidi"/>
          <w:noProof/>
          <w:sz w:val="18"/>
          <w:szCs w:val="18"/>
        </w:rPr>
        <w:t>d</w:t>
      </w:r>
      <w:r w:rsidRPr="00502C42">
        <w:rPr>
          <w:rFonts w:asciiTheme="majorBidi" w:hAnsiTheme="majorBidi" w:cstheme="majorBidi"/>
          <w:noProof/>
          <w:sz w:val="18"/>
          <w:szCs w:val="18"/>
        </w:rPr>
        <w:t xml:space="preserve">alam Putusan Bebas Terhadap Perempuan,” </w:t>
      </w:r>
      <w:r w:rsidRPr="00502C42">
        <w:rPr>
          <w:rFonts w:asciiTheme="majorBidi" w:hAnsiTheme="majorBidi" w:cstheme="majorBidi"/>
          <w:i/>
          <w:noProof/>
          <w:sz w:val="18"/>
          <w:szCs w:val="18"/>
        </w:rPr>
        <w:t>Jurnal Yuridis</w:t>
      </w:r>
      <w:r w:rsidRPr="00502C42">
        <w:rPr>
          <w:rFonts w:asciiTheme="majorBidi" w:hAnsiTheme="majorBidi" w:cstheme="majorBidi"/>
          <w:noProof/>
          <w:sz w:val="18"/>
          <w:szCs w:val="18"/>
        </w:rPr>
        <w:t xml:space="preserve"> Vol. 7 No. (2020): 20.</w:t>
      </w:r>
      <w:r w:rsidRPr="00502C42">
        <w:rPr>
          <w:rFonts w:asciiTheme="majorBidi" w:hAnsiTheme="majorBidi" w:cstheme="majorBidi"/>
          <w:sz w:val="18"/>
          <w:szCs w:val="18"/>
        </w:rPr>
        <w:fldChar w:fldCharType="end"/>
      </w:r>
      <w:r w:rsidRPr="00502C42">
        <w:rPr>
          <w:rFonts w:asciiTheme="majorBidi" w:hAnsiTheme="majorBidi" w:cstheme="majorBidi"/>
          <w:sz w:val="18"/>
          <w:szCs w:val="18"/>
        </w:rPr>
        <w:t>, hlm 28</w:t>
      </w:r>
    </w:p>
  </w:footnote>
  <w:footnote w:id="36">
    <w:p w14:paraId="4006A2D3" w14:textId="332983D4" w:rsidR="008D372B" w:rsidRPr="00BC0107" w:rsidRDefault="008D372B" w:rsidP="00463691">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CA04C8">
        <w:rPr>
          <w:rFonts w:asciiTheme="majorBidi" w:hAnsiTheme="majorBidi" w:cstheme="majorBidi"/>
          <w:sz w:val="18"/>
          <w:szCs w:val="18"/>
        </w:rPr>
        <w:instrText>ADDIN CSL_CITATION {"citationItems":[{"id":"ITEM-1","itemData":{"author":[{"dropping-particle":"","family":"Fara Novanda Fatura","given":"","non-dropping-particle":"","parse-names":false,"suffix":""}],"container-title":"Jurnal Recidive","id":"ITEM-1","issued":{"date-parts":[["2019"]]},"page":"7","title":"Telaah Tindak Pidana Pelecehan Seksual Secara Verbal Dalam Hukum Pidana Indonesia","type":"article-journal","volume":"Volume 8 N"},"uris":["http://www.mendeley.com/documents/?uuid=085513c8-47c6-4390-96f7-16b217488e99"]}],"mendeley":{"formattedCitation":"Fara Novanda Fatura, “Telaah Tindak Pidana Pelecehan Seksual Secara Verbal Dalam Hukum Pidana Indonesia,” &lt;i&gt;Jurnal Recidive&lt;/i&gt; Volume 8 N (2019): 7.","plainTextFormattedCitation":"Fara Novanda Fatura, “Telaah Tindak Pidana Pelecehan Seksual Secara Verbal Dalam Hukum Pidana Indonesia,” Jurnal Recidive Volume 8 N (2019): 7.","previouslyFormattedCitation":"Fara Novanda Fatura, “Telaah Tindak Pidana Pelecehan Seksual Secara Verbal Dalam Hukum Pidana Indonesia,” &lt;i&gt;Jurnal Recidive&lt;/i&gt; Volume 8 N (2019): 7."},"properties":{"noteIndex":37},"schema":"https://github.com/citation-style-language/schema/raw/master/csl-citation.json"}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Fara Novanda Fatura, “Telaah Tindak Pidana Pelecehan Seksual Secara Verbal </w:t>
      </w:r>
      <w:r w:rsidR="00350FBA">
        <w:rPr>
          <w:rFonts w:asciiTheme="majorBidi" w:hAnsiTheme="majorBidi" w:cstheme="majorBidi"/>
          <w:noProof/>
          <w:sz w:val="18"/>
          <w:szCs w:val="18"/>
        </w:rPr>
        <w:t>d</w:t>
      </w:r>
      <w:r w:rsidRPr="00BC0107">
        <w:rPr>
          <w:rFonts w:asciiTheme="majorBidi" w:hAnsiTheme="majorBidi" w:cstheme="majorBidi"/>
          <w:noProof/>
          <w:sz w:val="18"/>
          <w:szCs w:val="18"/>
        </w:rPr>
        <w:t xml:space="preserve">alam Hukum Pidana Indonesia,” </w:t>
      </w:r>
      <w:r w:rsidRPr="00BC0107">
        <w:rPr>
          <w:rFonts w:asciiTheme="majorBidi" w:hAnsiTheme="majorBidi" w:cstheme="majorBidi"/>
          <w:i/>
          <w:noProof/>
          <w:sz w:val="18"/>
          <w:szCs w:val="18"/>
        </w:rPr>
        <w:t>Jurnal Recidive</w:t>
      </w:r>
      <w:r w:rsidRPr="00BC0107">
        <w:rPr>
          <w:rFonts w:asciiTheme="majorBidi" w:hAnsiTheme="majorBidi" w:cstheme="majorBidi"/>
          <w:noProof/>
          <w:sz w:val="18"/>
          <w:szCs w:val="18"/>
        </w:rPr>
        <w:t xml:space="preserve"> Volume 8 N (2019): 7.</w:t>
      </w:r>
      <w:r w:rsidRPr="00BC0107">
        <w:rPr>
          <w:rFonts w:asciiTheme="majorBidi" w:hAnsiTheme="majorBidi" w:cstheme="majorBidi"/>
          <w:sz w:val="18"/>
          <w:szCs w:val="18"/>
        </w:rPr>
        <w:fldChar w:fldCharType="end"/>
      </w:r>
    </w:p>
  </w:footnote>
  <w:footnote w:id="37">
    <w:p w14:paraId="1A9326BA" w14:textId="13125D17" w:rsidR="00ED57CC" w:rsidRPr="00C1066E" w:rsidRDefault="00ED57CC" w:rsidP="00463691">
      <w:pPr>
        <w:pStyle w:val="FootnoteText"/>
        <w:ind w:firstLine="720"/>
        <w:rPr>
          <w:rFonts w:asciiTheme="majorBidi" w:hAnsiTheme="majorBidi" w:cstheme="majorBidi"/>
          <w:sz w:val="18"/>
          <w:szCs w:val="18"/>
          <w:lang w:val="en-US"/>
        </w:rPr>
      </w:pPr>
      <w:r w:rsidRPr="00C1066E">
        <w:rPr>
          <w:rStyle w:val="FootnoteReference"/>
          <w:rFonts w:asciiTheme="majorBidi" w:hAnsiTheme="majorBidi" w:cstheme="majorBidi"/>
          <w:sz w:val="18"/>
          <w:szCs w:val="18"/>
        </w:rPr>
        <w:footnoteRef/>
      </w:r>
      <w:r w:rsidRPr="00C1066E">
        <w:rPr>
          <w:rFonts w:asciiTheme="majorBidi" w:hAnsiTheme="majorBidi" w:cstheme="majorBidi"/>
          <w:sz w:val="18"/>
          <w:szCs w:val="18"/>
        </w:rPr>
        <w:t xml:space="preserve"> </w:t>
      </w:r>
      <w:r w:rsidRPr="00C1066E">
        <w:rPr>
          <w:rFonts w:asciiTheme="majorBidi" w:hAnsiTheme="majorBidi" w:cstheme="majorBidi"/>
          <w:sz w:val="18"/>
          <w:szCs w:val="18"/>
        </w:rPr>
        <w:fldChar w:fldCharType="begin" w:fldLock="1"/>
      </w:r>
      <w:r w:rsidR="00CA04C8">
        <w:rPr>
          <w:rFonts w:asciiTheme="majorBidi" w:hAnsiTheme="majorBidi" w:cstheme="majorBidi"/>
          <w:sz w:val="18"/>
          <w:szCs w:val="18"/>
        </w:rPr>
        <w:instrText>ADDIN CSL_CITATION {"citationItems":[{"id":"ITEM-1","itemData":{"author":[{"dropping-particle":"","family":"Presiden Republik Indonesi","given":"","non-dropping-particle":"","parse-names":false,"suffix":""}],"id":"ITEM-1","issued":{"date-parts":[["2022"]]},"page":"84","publisher-place":"Indonesia","title":"Undang-Undang Nomor 12 Tahun 2022 tentang Tindak Pidana Kekerasan Seksual","type":"legislation"},"uris":["http://www.mendeley.com/documents/?uuid=f87944ef-6e56-486b-869c-2abfc10d50be"]}],"mendeley":{"formattedCitation":"Presiden Republik Indonesi, &lt;i&gt;Undang-Undang Nomor 12 Tahun 2022 Tentang Tindak Pidana Kekerasan Seksual&lt;/i&gt; (Indonesia, 2022).","plainTextFormattedCitation":"Presiden Republik Indonesi, Undang-Undang Nomor 12 Tahun 2022 Tentang Tindak Pidana Kekerasan Seksual (Indonesia, 2022).","previouslyFormattedCitation":"Presiden Republik Indonesi, &lt;i&gt;Undang-Undang Nomor 12 Tahun 2022 Tentang Tindak Pidana Kekerasan Seksual&lt;/i&gt; (Indonesia, 2022)."},"properties":{"noteIndex":38},"schema":"https://github.com/citation-style-language/schema/raw/master/csl-citation.json"}</w:instrText>
      </w:r>
      <w:r w:rsidRPr="00C1066E">
        <w:rPr>
          <w:rFonts w:asciiTheme="majorBidi" w:hAnsiTheme="majorBidi" w:cstheme="majorBidi"/>
          <w:sz w:val="18"/>
          <w:szCs w:val="18"/>
        </w:rPr>
        <w:fldChar w:fldCharType="separate"/>
      </w:r>
      <w:r w:rsidRPr="00C1066E">
        <w:rPr>
          <w:rFonts w:asciiTheme="majorBidi" w:hAnsiTheme="majorBidi" w:cstheme="majorBidi"/>
          <w:noProof/>
          <w:sz w:val="18"/>
          <w:szCs w:val="18"/>
        </w:rPr>
        <w:t>Presiden Republik Indonesi</w:t>
      </w:r>
      <w:r w:rsidR="00F6343B">
        <w:rPr>
          <w:rFonts w:asciiTheme="majorBidi" w:hAnsiTheme="majorBidi" w:cstheme="majorBidi"/>
          <w:noProof/>
          <w:sz w:val="18"/>
          <w:szCs w:val="18"/>
        </w:rPr>
        <w:t>a</w:t>
      </w:r>
      <w:r w:rsidRPr="00C1066E">
        <w:rPr>
          <w:rFonts w:asciiTheme="majorBidi" w:hAnsiTheme="majorBidi" w:cstheme="majorBidi"/>
          <w:noProof/>
          <w:sz w:val="18"/>
          <w:szCs w:val="18"/>
        </w:rPr>
        <w:t xml:space="preserve">, </w:t>
      </w:r>
      <w:r w:rsidRPr="00C1066E">
        <w:rPr>
          <w:rFonts w:asciiTheme="majorBidi" w:hAnsiTheme="majorBidi" w:cstheme="majorBidi"/>
          <w:i/>
          <w:noProof/>
          <w:sz w:val="18"/>
          <w:szCs w:val="18"/>
        </w:rPr>
        <w:t>Undang-Undang Nomor 12 Tahun 2022 Tentang Tindak Pidana Kekerasan Seksual</w:t>
      </w:r>
      <w:r w:rsidRPr="00C1066E">
        <w:rPr>
          <w:rFonts w:asciiTheme="majorBidi" w:hAnsiTheme="majorBidi" w:cstheme="majorBidi"/>
          <w:noProof/>
          <w:sz w:val="18"/>
          <w:szCs w:val="18"/>
        </w:rPr>
        <w:t xml:space="preserve"> (Indonesia, 2022).</w:t>
      </w:r>
      <w:r w:rsidRPr="00C1066E">
        <w:rPr>
          <w:rFonts w:asciiTheme="majorBidi" w:hAnsiTheme="majorBidi" w:cstheme="majorBidi"/>
          <w:sz w:val="18"/>
          <w:szCs w:val="18"/>
        </w:rPr>
        <w:fldChar w:fldCharType="end"/>
      </w:r>
    </w:p>
  </w:footnote>
  <w:footnote w:id="38">
    <w:p w14:paraId="59A13D36" w14:textId="727A11ED" w:rsidR="008D372B" w:rsidRPr="002B63B2" w:rsidRDefault="008D372B" w:rsidP="00463691">
      <w:pPr>
        <w:pStyle w:val="FootnoteText"/>
        <w:ind w:firstLine="720"/>
        <w:jc w:val="both"/>
        <w:rPr>
          <w:rFonts w:asciiTheme="majorBidi" w:hAnsiTheme="majorBidi" w:cstheme="majorBidi"/>
          <w:sz w:val="18"/>
          <w:szCs w:val="18"/>
          <w:lang w:val="en-US"/>
        </w:rPr>
      </w:pPr>
      <w:r w:rsidRPr="002B63B2">
        <w:rPr>
          <w:rStyle w:val="FootnoteReference"/>
          <w:rFonts w:asciiTheme="majorBidi" w:hAnsiTheme="majorBidi" w:cstheme="majorBidi"/>
          <w:sz w:val="18"/>
          <w:szCs w:val="18"/>
        </w:rPr>
        <w:footnoteRef/>
      </w:r>
      <w:r w:rsidRPr="002B63B2">
        <w:rPr>
          <w:rFonts w:asciiTheme="majorBidi" w:hAnsiTheme="majorBidi" w:cstheme="majorBidi"/>
          <w:sz w:val="18"/>
          <w:szCs w:val="18"/>
        </w:rPr>
        <w:t xml:space="preserve"> </w:t>
      </w:r>
      <w:r w:rsidRPr="002B63B2">
        <w:rPr>
          <w:rFonts w:asciiTheme="majorBidi" w:hAnsiTheme="majorBidi" w:cstheme="majorBidi"/>
          <w:sz w:val="18"/>
          <w:szCs w:val="18"/>
        </w:rPr>
        <w:fldChar w:fldCharType="begin" w:fldLock="1"/>
      </w:r>
      <w:r w:rsidR="00CA04C8">
        <w:rPr>
          <w:rFonts w:asciiTheme="majorBidi" w:hAnsiTheme="majorBidi" w:cstheme="majorBidi"/>
          <w:sz w:val="18"/>
          <w:szCs w:val="18"/>
        </w:rPr>
        <w:instrText>ADDIN CSL_CITATION {"citationItems":[{"id":"ITEM-1","itemData":{"author":[{"dropping-particle":"","family":"Ali Abubakar","given":"Zulkarnain","non-dropping-particle":"","parse-names":false,"suffix":""}],"edition":"Cet 1","editor":[{"dropping-particle":"","family":"Irfan Fahmi","given":"","non-dropping-particle":"","parse-names":false,"suffix":""}],"id":"ITEM-1","issued":{"date-parts":[["2019"]]},"publisher":"Prenadamedia Group","publisher-place":"Jakarta","title":"Hukum Jinayat Aceh Sebuah Pengantar","type":"book"},"uris":["http://www.mendeley.com/documents/?uuid=1a957ed8-cfd2-4e65-960c-42d2a34e625b"]}],"mendeley":{"formattedCitation":"Zulkarnain Ali Abubakar, &lt;i&gt;Hukum Jinayat Aceh Sebuah Pengantar&lt;/i&gt;, ed. Irfan Fahmi, Cet 1. (Jakarta: Prenadamedia Group, 2019).","plainTextFormattedCitation":"Zulkarnain Ali Abubakar, Hukum Jinayat Aceh Sebuah Pengantar, ed. Irfan Fahmi, Cet 1. (Jakarta: Prenadamedia Group, 2019).","previouslyFormattedCitation":"Zulkarnain Ali Abubakar, &lt;i&gt;Hukum Jinayat Aceh Sebuah Pengantar&lt;/i&gt;, ed. Irfan Fahmi, Cet 1. (Jakarta: Prenadamedia Group, 2019)."},"properties":{"noteIndex":39},"schema":"https://github.com/citation-style-language/schema/raw/master/csl-citation.json"}</w:instrText>
      </w:r>
      <w:r w:rsidRPr="002B63B2">
        <w:rPr>
          <w:rFonts w:asciiTheme="majorBidi" w:hAnsiTheme="majorBidi" w:cstheme="majorBidi"/>
          <w:sz w:val="18"/>
          <w:szCs w:val="18"/>
        </w:rPr>
        <w:fldChar w:fldCharType="separate"/>
      </w:r>
      <w:r w:rsidRPr="002B63B2">
        <w:rPr>
          <w:rFonts w:asciiTheme="majorBidi" w:hAnsiTheme="majorBidi" w:cstheme="majorBidi"/>
          <w:noProof/>
          <w:sz w:val="18"/>
          <w:szCs w:val="18"/>
        </w:rPr>
        <w:t xml:space="preserve">Zulkarnain Ali Abubakar, </w:t>
      </w:r>
      <w:r w:rsidRPr="002B63B2">
        <w:rPr>
          <w:rFonts w:asciiTheme="majorBidi" w:hAnsiTheme="majorBidi" w:cstheme="majorBidi"/>
          <w:i/>
          <w:noProof/>
          <w:sz w:val="18"/>
          <w:szCs w:val="18"/>
        </w:rPr>
        <w:t>Hukum Jinayat Aceh Sebuah Pengantar</w:t>
      </w:r>
      <w:r w:rsidRPr="002B63B2">
        <w:rPr>
          <w:rFonts w:asciiTheme="majorBidi" w:hAnsiTheme="majorBidi" w:cstheme="majorBidi"/>
          <w:noProof/>
          <w:sz w:val="18"/>
          <w:szCs w:val="18"/>
        </w:rPr>
        <w:t>, ed. Irfan Fahmi, Cet 1. (Jakarta: Prenada</w:t>
      </w:r>
      <w:r w:rsidR="00F6343B">
        <w:rPr>
          <w:rFonts w:asciiTheme="majorBidi" w:hAnsiTheme="majorBidi" w:cstheme="majorBidi"/>
          <w:noProof/>
          <w:sz w:val="18"/>
          <w:szCs w:val="18"/>
        </w:rPr>
        <w:t xml:space="preserve"> M</w:t>
      </w:r>
      <w:r w:rsidRPr="002B63B2">
        <w:rPr>
          <w:rFonts w:asciiTheme="majorBidi" w:hAnsiTheme="majorBidi" w:cstheme="majorBidi"/>
          <w:noProof/>
          <w:sz w:val="18"/>
          <w:szCs w:val="18"/>
        </w:rPr>
        <w:t>edia Group, 2019).</w:t>
      </w:r>
      <w:r w:rsidRPr="002B63B2">
        <w:rPr>
          <w:rFonts w:asciiTheme="majorBidi" w:hAnsiTheme="majorBidi" w:cstheme="majorBidi"/>
          <w:sz w:val="18"/>
          <w:szCs w:val="18"/>
        </w:rPr>
        <w:fldChar w:fldCharType="end"/>
      </w:r>
      <w:r>
        <w:rPr>
          <w:rFonts w:asciiTheme="majorBidi" w:hAnsiTheme="majorBidi" w:cstheme="majorBidi"/>
          <w:sz w:val="18"/>
          <w:szCs w:val="18"/>
        </w:rPr>
        <w:t>,hlm 101</w:t>
      </w:r>
    </w:p>
  </w:footnote>
  <w:footnote w:id="39">
    <w:p w14:paraId="19B6222D" w14:textId="6DC67056" w:rsidR="008D372B" w:rsidRPr="00976C63" w:rsidRDefault="008D372B" w:rsidP="00463691">
      <w:pPr>
        <w:pStyle w:val="FootnoteText"/>
        <w:ind w:firstLine="720"/>
        <w:jc w:val="both"/>
        <w:rPr>
          <w:rFonts w:asciiTheme="majorBidi" w:hAnsiTheme="majorBidi" w:cstheme="majorBidi"/>
          <w:sz w:val="18"/>
          <w:szCs w:val="18"/>
          <w:lang w:val="en-US"/>
        </w:rPr>
      </w:pPr>
      <w:r w:rsidRPr="00976C63">
        <w:rPr>
          <w:rStyle w:val="FootnoteReference"/>
          <w:rFonts w:asciiTheme="majorBidi" w:hAnsiTheme="majorBidi" w:cstheme="majorBidi"/>
          <w:sz w:val="18"/>
          <w:szCs w:val="18"/>
        </w:rPr>
        <w:footnoteRef/>
      </w:r>
      <w:r w:rsidRPr="00976C63">
        <w:rPr>
          <w:rFonts w:asciiTheme="majorBidi" w:hAnsiTheme="majorBidi" w:cstheme="majorBidi"/>
          <w:sz w:val="18"/>
          <w:szCs w:val="18"/>
        </w:rPr>
        <w:t xml:space="preserve"> </w:t>
      </w:r>
      <w:r w:rsidRPr="00976C63">
        <w:rPr>
          <w:rFonts w:asciiTheme="majorBidi" w:hAnsiTheme="majorBidi" w:cstheme="majorBidi"/>
          <w:sz w:val="18"/>
          <w:szCs w:val="18"/>
        </w:rPr>
        <w:fldChar w:fldCharType="begin" w:fldLock="1"/>
      </w:r>
      <w:r w:rsidR="00CA04C8">
        <w:rPr>
          <w:rFonts w:asciiTheme="majorBidi" w:hAnsiTheme="majorBidi" w:cstheme="majorBidi"/>
          <w:sz w:val="18"/>
          <w:szCs w:val="18"/>
        </w:rPr>
        <w:instrText>ADDIN CSL_CITATION {"citationItems":[{"id":"ITEM-1","itemData":{"URL":"https://www.hukumonline.com/klinik/a/bisakah-pelecehan-seksual-verbal-dipidana-lt4fd56b697f5d4/","accessed":{"date-parts":[["2024","9","23"]]},"author":[{"dropping-particle":"","family":"Dian Dwi Jayanti","given":"","non-dropping-particle":"","parse-names":false,"suffix":""}],"container-title":"Hukum Online.Com","id":"ITEM-1","issued":{"date-parts":[["2023"]]},"title":"Bisakah Pelecehan Seksual Verbal Dipidana","type":"webpage"},"uris":["http://www.mendeley.com/documents/?uuid=3d65e40f-595d-491d-8bc0-22cce7e274bb"]}],"mendeley":{"formattedCitation":"Dian Dwi Jayanti, “Bisakah Pelecehan Seksual Verbal Dipidana,” &lt;i&gt;Hukum Online.Com&lt;/i&gt;, last modified 2023, accessed September 23, 2024, https://www.hukumonline.com/klinik/a/bisakah-pelecehan-seksual-verbal-dipidana-lt4fd56b697f5d4/.","plainTextFormattedCitation":"Dian Dwi Jayanti, “Bisakah Pelecehan Seksual Verbal Dipidana,” Hukum Online.Com, last modified 2023, accessed September 23, 2024, https://www.hukumonline.com/klinik/a/bisakah-pelecehan-seksual-verbal-dipidana-lt4fd56b697f5d4/.","previouslyFormattedCitation":"Dian Dwi Jayanti, “Bisakah Pelecehan Seksual Verbal Dipidana,” &lt;i&gt;Hukum Online.Com&lt;/i&gt;, last modified 2023, accessed September 23, 2024, https://www.hukumonline.com/klinik/a/bisakah-pelecehan-seksual-verbal-dipidana-lt4fd56b697f5d4/."},"properties":{"noteIndex":40},"schema":"https://github.com/citation-style-language/schema/raw/master/csl-citation.json"}</w:instrText>
      </w:r>
      <w:r w:rsidRPr="00976C63">
        <w:rPr>
          <w:rFonts w:asciiTheme="majorBidi" w:hAnsiTheme="majorBidi" w:cstheme="majorBidi"/>
          <w:sz w:val="18"/>
          <w:szCs w:val="18"/>
        </w:rPr>
        <w:fldChar w:fldCharType="separate"/>
      </w:r>
      <w:r w:rsidRPr="00976C63">
        <w:rPr>
          <w:rFonts w:asciiTheme="majorBidi" w:hAnsiTheme="majorBidi" w:cstheme="majorBidi"/>
          <w:noProof/>
          <w:sz w:val="18"/>
          <w:szCs w:val="18"/>
        </w:rPr>
        <w:t xml:space="preserve">Dian Dwi Jayanti, “Bisakah Pelecehan Seksual Verbal Dipidana,” </w:t>
      </w:r>
      <w:r w:rsidRPr="00976C63">
        <w:rPr>
          <w:rFonts w:asciiTheme="majorBidi" w:hAnsiTheme="majorBidi" w:cstheme="majorBidi"/>
          <w:i/>
          <w:noProof/>
          <w:sz w:val="18"/>
          <w:szCs w:val="18"/>
        </w:rPr>
        <w:t>Hukum</w:t>
      </w:r>
      <w:r w:rsidR="00F6343B">
        <w:rPr>
          <w:rFonts w:asciiTheme="majorBidi" w:hAnsiTheme="majorBidi" w:cstheme="majorBidi"/>
          <w:i/>
          <w:noProof/>
          <w:sz w:val="18"/>
          <w:szCs w:val="18"/>
        </w:rPr>
        <w:t>o</w:t>
      </w:r>
      <w:r w:rsidRPr="00976C63">
        <w:rPr>
          <w:rFonts w:asciiTheme="majorBidi" w:hAnsiTheme="majorBidi" w:cstheme="majorBidi"/>
          <w:i/>
          <w:noProof/>
          <w:sz w:val="18"/>
          <w:szCs w:val="18"/>
        </w:rPr>
        <w:t>nline.Com</w:t>
      </w:r>
      <w:r w:rsidRPr="00976C63">
        <w:rPr>
          <w:rFonts w:asciiTheme="majorBidi" w:hAnsiTheme="majorBidi" w:cstheme="majorBidi"/>
          <w:noProof/>
          <w:sz w:val="18"/>
          <w:szCs w:val="18"/>
        </w:rPr>
        <w:t>, last modified 2023, accessed September 23, 2024, https://www.hukumonline.com/klinik/a/bisakah-pelecehan-seksual-verbal-dipidana-lt4fd56b697f5d4/.</w:t>
      </w:r>
      <w:r w:rsidRPr="00976C63">
        <w:rPr>
          <w:rFonts w:asciiTheme="majorBidi" w:hAnsiTheme="majorBidi" w:cstheme="majorBidi"/>
          <w:sz w:val="18"/>
          <w:szCs w:val="18"/>
        </w:rPr>
        <w:fldChar w:fldCharType="end"/>
      </w:r>
    </w:p>
  </w:footnote>
  <w:footnote w:id="40">
    <w:p w14:paraId="7B49DEDA" w14:textId="05398768" w:rsidR="008D372B" w:rsidRDefault="008D372B" w:rsidP="00463691">
      <w:pPr>
        <w:pStyle w:val="FootnoteText"/>
        <w:ind w:firstLine="720"/>
        <w:jc w:val="both"/>
        <w:rPr>
          <w:rFonts w:asciiTheme="majorBidi" w:hAnsiTheme="majorBidi" w:cstheme="majorBidi"/>
          <w:noProof/>
          <w:sz w:val="18"/>
          <w:szCs w:val="18"/>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Nina Tursinah dalam </w:t>
      </w:r>
      <w:r w:rsidRPr="00BC0107">
        <w:rPr>
          <w:rFonts w:asciiTheme="majorBidi" w:hAnsiTheme="majorBidi" w:cstheme="majorBidi"/>
          <w:sz w:val="18"/>
          <w:szCs w:val="18"/>
        </w:rPr>
        <w:fldChar w:fldCharType="begin" w:fldLock="1"/>
      </w:r>
      <w:r w:rsidR="00CA04C8">
        <w:rPr>
          <w:rFonts w:asciiTheme="majorBidi" w:hAnsiTheme="majorBidi" w:cstheme="majorBidi"/>
          <w:sz w:val="18"/>
          <w:szCs w:val="18"/>
        </w:rPr>
        <w:instrText>ADDIN CSL_CITATION {"citationItems":[{"id":"ITEM-1","itemData":{"URL":"https://www.hukumonline.com/klinik/a/apakah-memandang-termasuk-pelecehan-seksual--lt4ecccd3905227/","accessed":{"date-parts":[["2024","6","18"]]},"author":[{"dropping-particle":"","family":"Kartika Febryanti","given":"","non-dropping-particle":"","parse-names":false,"suffix":""}],"container-title":"Hukum Online.Com","id":"ITEM-1","issued":{"date-parts":[["2011"]]},"title":"Apakah Memandang Termasuk Pelecehan Seksual","type":"webpage"},"uris":["http://www.mendeley.com/documents/?uuid=612d24b1-8102-4005-87d7-e78d0a4b76c2"]}],"mendeley":{"formattedCitation":"Kartika Febryanti, “Apakah Memandang Termasuk Pelecehan Seksual,” &lt;i&gt;Hukum Online.Com&lt;/i&gt;, last modified 2011, accessed June 18, 2024, https://www.hukumonline.com/klinik/a/apakah-memandang-termasuk-pelecehan-seksual--lt4ecccd3905227/.","manualFormatting":"Kartika Febryanti, “Apakah Memandang Termasuk Pelecehan Seksual,” Hukum Online.Com, last modified 2011, accessed June 18, 2024, \rhttps://www.hukumonline.com/klinik/a/apakah-memandang-termasuk-pelecehan-seksual--lt4ecccd3905227/.","plainTextFormattedCitation":"Kartika Febryanti, “Apakah Memandang Termasuk Pelecehan Seksual,” Hukum Online.Com, last modified 2011, accessed June 18, 2024, https://www.hukumonline.com/klinik/a/apakah-memandang-termasuk-pelecehan-seksual--lt4ecccd3905227/.","previouslyFormattedCitation":"Kartika Febryanti, “Apakah Memandang Termasuk Pelecehan Seksual,” &lt;i&gt;Hukum Online.Com&lt;/i&gt;, last modified 2011, accessed June 18, 2024, https://www.hukumonline.com/klinik/a/apakah-memandang-termasuk-pelecehan-seksual--lt4ecccd3905227/."},"properties":{"noteIndex":41},"schema":"https://github.com/citation-style-language/schema/raw/master/csl-citation.json"}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Kartika Febryanti, “Apakah Memandang Termasuk Pelecehan Seksual,” </w:t>
      </w:r>
      <w:r w:rsidRPr="00BC0107">
        <w:rPr>
          <w:rFonts w:asciiTheme="majorBidi" w:hAnsiTheme="majorBidi" w:cstheme="majorBidi"/>
          <w:i/>
          <w:noProof/>
          <w:sz w:val="18"/>
          <w:szCs w:val="18"/>
        </w:rPr>
        <w:t>Hukum Online.Com</w:t>
      </w:r>
      <w:r w:rsidRPr="00BC0107">
        <w:rPr>
          <w:rFonts w:asciiTheme="majorBidi" w:hAnsiTheme="majorBidi" w:cstheme="majorBidi"/>
          <w:noProof/>
          <w:sz w:val="18"/>
          <w:szCs w:val="18"/>
        </w:rPr>
        <w:t xml:space="preserve">, last modified 2011, accessed June 18, 2024, </w:t>
      </w:r>
    </w:p>
    <w:p w14:paraId="5BF74E79" w14:textId="77777777" w:rsidR="008D372B" w:rsidRPr="00BC0107" w:rsidRDefault="008D372B" w:rsidP="00463691">
      <w:pPr>
        <w:pStyle w:val="FootnoteText"/>
        <w:jc w:val="both"/>
        <w:rPr>
          <w:rFonts w:asciiTheme="majorBidi" w:hAnsiTheme="majorBidi" w:cstheme="majorBidi"/>
          <w:sz w:val="18"/>
          <w:szCs w:val="18"/>
          <w:lang w:val="en-US"/>
        </w:rPr>
      </w:pPr>
      <w:r w:rsidRPr="00BC0107">
        <w:rPr>
          <w:rFonts w:asciiTheme="majorBidi" w:hAnsiTheme="majorBidi" w:cstheme="majorBidi"/>
          <w:noProof/>
          <w:sz w:val="18"/>
          <w:szCs w:val="18"/>
        </w:rPr>
        <w:t>https://www.hukumonline.com/klinik/a/apakah-memandang-termasuk-pelecehan-seksual--lt4ecccd3905227/.</w:t>
      </w:r>
      <w:r w:rsidRPr="00BC0107">
        <w:rPr>
          <w:rFonts w:asciiTheme="majorBidi" w:hAnsiTheme="majorBidi" w:cstheme="majorBidi"/>
          <w:sz w:val="18"/>
          <w:szCs w:val="18"/>
        </w:rPr>
        <w:fldChar w:fldCharType="end"/>
      </w:r>
    </w:p>
  </w:footnote>
  <w:footnote w:id="41">
    <w:p w14:paraId="0F697171" w14:textId="08993D7F" w:rsidR="004E5132" w:rsidRPr="004E5132" w:rsidRDefault="004E5132" w:rsidP="00463691">
      <w:pPr>
        <w:pStyle w:val="FootnoteText"/>
        <w:ind w:firstLine="720"/>
        <w:rPr>
          <w:rFonts w:asciiTheme="majorBidi" w:hAnsiTheme="majorBidi" w:cstheme="majorBidi"/>
          <w:sz w:val="18"/>
          <w:szCs w:val="18"/>
          <w:lang w:val="en-US"/>
        </w:rPr>
      </w:pPr>
      <w:r w:rsidRPr="004E5132">
        <w:rPr>
          <w:rStyle w:val="FootnoteReference"/>
          <w:rFonts w:asciiTheme="majorBidi" w:hAnsiTheme="majorBidi" w:cstheme="majorBidi"/>
          <w:sz w:val="18"/>
          <w:szCs w:val="18"/>
        </w:rPr>
        <w:footnoteRef/>
      </w:r>
      <w:r w:rsidRPr="004E5132">
        <w:rPr>
          <w:rFonts w:asciiTheme="majorBidi" w:hAnsiTheme="majorBidi" w:cstheme="majorBidi"/>
          <w:sz w:val="18"/>
          <w:szCs w:val="18"/>
        </w:rPr>
        <w:t xml:space="preserve"> </w:t>
      </w:r>
      <w:r>
        <w:rPr>
          <w:rFonts w:asciiTheme="majorBidi" w:hAnsiTheme="majorBidi" w:cstheme="majorBidi"/>
          <w:sz w:val="18"/>
          <w:szCs w:val="18"/>
        </w:rPr>
        <w:t xml:space="preserve">Lihat Pasal 26-27 dalam </w:t>
      </w:r>
      <w:r w:rsidRPr="004E5132">
        <w:rPr>
          <w:rFonts w:asciiTheme="majorBidi" w:hAnsiTheme="majorBidi" w:cstheme="majorBidi"/>
          <w:sz w:val="18"/>
          <w:szCs w:val="18"/>
        </w:rPr>
        <w:fldChar w:fldCharType="begin" w:fldLock="1"/>
      </w:r>
      <w:r w:rsidR="00CA04C8">
        <w:rPr>
          <w:rFonts w:asciiTheme="majorBidi" w:hAnsiTheme="majorBidi" w:cstheme="majorBidi"/>
          <w:sz w:val="18"/>
          <w:szCs w:val="18"/>
        </w:rPr>
        <w:instrText>ADDIN CSL_CITATION {"citationItems":[{"id":"ITEM-1","itemData":{"author":[{"dropping-particle":"","family":"Gubernur Provinsi Aceh","given":"","non-dropping-particle":"","parse-names":false,"suffix":""}],"id":"ITEM-1","issued":{"date-parts":[["2014"]]},"number":"Nomor 6","page":"41","publisher-place":"Indonesia","title":"Qanun Nomor 6 Tahun 2014 Tantang Hukum Jinayah","type":"legislation"},"uris":["http://www.mendeley.com/documents/?uuid=af3fb756-a6f9-4f6e-93f7-f7e753e47793"]}],"mendeley":{"formattedCitation":"Gubernur Provinsi Aceh, &lt;i&gt;Qanun Nomor 6 Tahun 2014 Tantang Hukum Jinayah&lt;/i&gt; (Indonesia, 2014).","plainTextFormattedCitation":"Gubernur Provinsi Aceh, Qanun Nomor 6 Tahun 2014 Tantang Hukum Jinayah (Indonesia, 2014).","previouslyFormattedCitation":"Gubernur Provinsi Aceh, &lt;i&gt;Qanun Nomor 6 Tahun 2014 Tantang Hukum Jinayah&lt;/i&gt; (Indonesia, 2014)."},"properties":{"noteIndex":42},"schema":"https://github.com/citation-style-language/schema/raw/master/csl-citation.json"}</w:instrText>
      </w:r>
      <w:r w:rsidRPr="004E5132">
        <w:rPr>
          <w:rFonts w:asciiTheme="majorBidi" w:hAnsiTheme="majorBidi" w:cstheme="majorBidi"/>
          <w:sz w:val="18"/>
          <w:szCs w:val="18"/>
        </w:rPr>
        <w:fldChar w:fldCharType="separate"/>
      </w:r>
      <w:r w:rsidRPr="004E5132">
        <w:rPr>
          <w:rFonts w:asciiTheme="majorBidi" w:hAnsiTheme="majorBidi" w:cstheme="majorBidi"/>
          <w:noProof/>
          <w:sz w:val="18"/>
          <w:szCs w:val="18"/>
        </w:rPr>
        <w:t xml:space="preserve">Gubernur Provinsi Aceh, </w:t>
      </w:r>
      <w:r w:rsidRPr="004E5132">
        <w:rPr>
          <w:rFonts w:asciiTheme="majorBidi" w:hAnsiTheme="majorBidi" w:cstheme="majorBidi"/>
          <w:i/>
          <w:noProof/>
          <w:sz w:val="18"/>
          <w:szCs w:val="18"/>
        </w:rPr>
        <w:t>Qanun Nomor 6 Tahun 2014 T</w:t>
      </w:r>
      <w:r w:rsidR="00F6343B">
        <w:rPr>
          <w:rFonts w:asciiTheme="majorBidi" w:hAnsiTheme="majorBidi" w:cstheme="majorBidi"/>
          <w:i/>
          <w:noProof/>
          <w:sz w:val="18"/>
          <w:szCs w:val="18"/>
        </w:rPr>
        <w:t>e</w:t>
      </w:r>
      <w:r w:rsidRPr="004E5132">
        <w:rPr>
          <w:rFonts w:asciiTheme="majorBidi" w:hAnsiTheme="majorBidi" w:cstheme="majorBidi"/>
          <w:i/>
          <w:noProof/>
          <w:sz w:val="18"/>
          <w:szCs w:val="18"/>
        </w:rPr>
        <w:t>ntang Hukum Jinayah</w:t>
      </w:r>
      <w:r w:rsidRPr="004E5132">
        <w:rPr>
          <w:rFonts w:asciiTheme="majorBidi" w:hAnsiTheme="majorBidi" w:cstheme="majorBidi"/>
          <w:noProof/>
          <w:sz w:val="18"/>
          <w:szCs w:val="18"/>
        </w:rPr>
        <w:t xml:space="preserve"> (Indonesia, 2014).</w:t>
      </w:r>
      <w:r w:rsidRPr="004E5132">
        <w:rPr>
          <w:rFonts w:asciiTheme="majorBidi" w:hAnsiTheme="majorBidi" w:cstheme="majorBidi"/>
          <w:sz w:val="18"/>
          <w:szCs w:val="18"/>
        </w:rPr>
        <w:fldChar w:fldCharType="end"/>
      </w:r>
    </w:p>
  </w:footnote>
  <w:footnote w:id="42">
    <w:p w14:paraId="398A6CC5" w14:textId="70C1AB6B" w:rsidR="008D372B" w:rsidRPr="00BC0107" w:rsidRDefault="008D372B" w:rsidP="00463691">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CA04C8">
        <w:rPr>
          <w:rFonts w:asciiTheme="majorBidi" w:hAnsiTheme="majorBidi" w:cstheme="majorBidi"/>
          <w:sz w:val="18"/>
          <w:szCs w:val="18"/>
        </w:rPr>
        <w:instrText>ADDIN CSL_CITATION {"citationItems":[{"id":"ITEM-1","itemData":{"author":[{"dropping-particle":"","family":"Rahman Amin","given":"","non-dropping-particle":"","parse-names":false,"suffix":""}],"edition":"Cet1","editor":[{"dropping-particle":"","family":"Dwi Noviantoko","given":"","non-dropping-particle":"","parse-names":false,"suffix":""}],"id":"ITEM-1","issued":{"date-parts":[["2020"]]},"number-of-pages":"193","publisher":"CV. Budi Utama","publisher-place":"Yogyakarta","title":"Hukum Pembuktian Dalam Perkara Perdata dan Pidana","type":"book"},"uris":["http://www.mendeley.com/documents/?uuid=2f302b54-88e8-43d7-9720-b1c0fd32b700"]}],"mendeley":{"formattedCitation":"Rahman Amin, &lt;i&gt;Hukum Pembuktian Dalam Perkara Perdata Dan Pidana&lt;/i&gt;, ed. Dwi Noviantoko, Cet1 ed. (Yogyakarta: CV. Budi Utama, 2020).","plainTextFormattedCitation":"Rahman Amin, Hukum Pembuktian Dalam Perkara Perdata Dan Pidana, ed. Dwi Noviantoko, Cet1 ed. (Yogyakarta: CV. Budi Utama, 2020).","previouslyFormattedCitation":"Rahman Amin, &lt;i&gt;Hukum Pembuktian Dalam Perkara Perdata Dan Pidana&lt;/i&gt;, ed. Dwi Noviantoko, Cet1 ed. (Yogyakarta: CV. Budi Utama, 2020)."},"properties":{"noteIndex":43},"schema":"https://github.com/citation-style-language/schema/raw/master/csl-citation.json"}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Rahman Amin, </w:t>
      </w:r>
      <w:r w:rsidRPr="00BC0107">
        <w:rPr>
          <w:rFonts w:asciiTheme="majorBidi" w:hAnsiTheme="majorBidi" w:cstheme="majorBidi"/>
          <w:i/>
          <w:noProof/>
          <w:sz w:val="18"/>
          <w:szCs w:val="18"/>
        </w:rPr>
        <w:t xml:space="preserve">Hukum Pembuktian </w:t>
      </w:r>
      <w:r w:rsidR="00350FBA">
        <w:rPr>
          <w:rFonts w:asciiTheme="majorBidi" w:hAnsiTheme="majorBidi" w:cstheme="majorBidi"/>
          <w:i/>
          <w:noProof/>
          <w:sz w:val="18"/>
          <w:szCs w:val="18"/>
        </w:rPr>
        <w:t>d</w:t>
      </w:r>
      <w:r w:rsidRPr="00BC0107">
        <w:rPr>
          <w:rFonts w:asciiTheme="majorBidi" w:hAnsiTheme="majorBidi" w:cstheme="majorBidi"/>
          <w:i/>
          <w:noProof/>
          <w:sz w:val="18"/>
          <w:szCs w:val="18"/>
        </w:rPr>
        <w:t xml:space="preserve">alam Perkara Perdata </w:t>
      </w:r>
      <w:r w:rsidR="00350FBA">
        <w:rPr>
          <w:rFonts w:asciiTheme="majorBidi" w:hAnsiTheme="majorBidi" w:cstheme="majorBidi"/>
          <w:i/>
          <w:noProof/>
          <w:sz w:val="18"/>
          <w:szCs w:val="18"/>
        </w:rPr>
        <w:t>d</w:t>
      </w:r>
      <w:r w:rsidRPr="00BC0107">
        <w:rPr>
          <w:rFonts w:asciiTheme="majorBidi" w:hAnsiTheme="majorBidi" w:cstheme="majorBidi"/>
          <w:i/>
          <w:noProof/>
          <w:sz w:val="18"/>
          <w:szCs w:val="18"/>
        </w:rPr>
        <w:t>an Pidana</w:t>
      </w:r>
      <w:r w:rsidRPr="00BC0107">
        <w:rPr>
          <w:rFonts w:asciiTheme="majorBidi" w:hAnsiTheme="majorBidi" w:cstheme="majorBidi"/>
          <w:noProof/>
          <w:sz w:val="18"/>
          <w:szCs w:val="18"/>
        </w:rPr>
        <w:t>, ed. Dwi Noviantoko, Cet1 ed. (Yogyakarta: CV. Budi Utama, 2020).</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 xml:space="preserve">, </w:t>
      </w:r>
      <w:r>
        <w:rPr>
          <w:rFonts w:asciiTheme="majorBidi" w:hAnsiTheme="majorBidi" w:cstheme="majorBidi"/>
          <w:sz w:val="18"/>
          <w:szCs w:val="18"/>
        </w:rPr>
        <w:t xml:space="preserve">hlm </w:t>
      </w:r>
      <w:r w:rsidRPr="00BC0107">
        <w:rPr>
          <w:rFonts w:asciiTheme="majorBidi" w:hAnsiTheme="majorBidi" w:cstheme="majorBidi"/>
          <w:sz w:val="18"/>
          <w:szCs w:val="18"/>
        </w:rPr>
        <w:t>88</w:t>
      </w:r>
    </w:p>
  </w:footnote>
  <w:footnote w:id="43">
    <w:p w14:paraId="0E7BA23A" w14:textId="4637B743" w:rsidR="008D372B" w:rsidRPr="00BC0107" w:rsidRDefault="008D372B" w:rsidP="00463691">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CA04C8">
        <w:rPr>
          <w:rFonts w:asciiTheme="majorBidi" w:hAnsiTheme="majorBidi" w:cstheme="majorBidi"/>
          <w:sz w:val="18"/>
          <w:szCs w:val="18"/>
        </w:rPr>
        <w:instrText>ADDIN CSL_CITATION {"citationItems":[{"id":"ITEM-1","itemData":{"author":[{"dropping-particle":"","family":"Harahap","given":"M. Yahya","non-dropping-particle":"","parse-names":false,"suffix":""}],"id":"ITEM-1","issued":{"date-parts":[["2005"]]},"publisher":"Sinar Grafika","publisher-place":"Jakarta","title":"Pembahasan Permasalahan Dan Penerapan KUHAP dalam Pemeriksaan Pengadilan, Banding, Kasasi, dan Peninjauan Kembali","type":"book"},"uris":["http://www.mendeley.com/documents/?uuid=0df0b2d1-ca02-48a3-b2dc-85690f04c09e"]}],"mendeley":{"formattedCitation":"M. Yahya Harahap, &lt;i&gt;Pembahasan Permasalahan Dan Penerapan KUHAP Dalam Pemeriksaan Pengadilan, Banding, Kasasi, Dan Peninjauan Kembali&lt;/i&gt; (Jakarta: Sinar Grafika, 2005).","plainTextFormattedCitation":"M. Yahya Harahap, Pembahasan Permasalahan Dan Penerapan KUHAP Dalam Pemeriksaan Pengadilan, Banding, Kasasi, Dan Peninjauan Kembali (Jakarta: Sinar Grafika, 2005).","previouslyFormattedCitation":"M. Yahya Harahap, &lt;i&gt;Pembahasan Permasalahan Dan Penerapan KUHAP Dalam Pemeriksaan Pengadilan, Banding, Kasasi, Dan Peninjauan Kembali&lt;/i&gt; (Jakarta: Sinar Grafika, 2005)."},"properties":{"noteIndex":44},"schema":"https://github.com/citation-style-language/schema/raw/master/csl-citation.json"}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M. Yahya Harahap, </w:t>
      </w:r>
      <w:r w:rsidRPr="00BC0107">
        <w:rPr>
          <w:rFonts w:asciiTheme="majorBidi" w:hAnsiTheme="majorBidi" w:cstheme="majorBidi"/>
          <w:i/>
          <w:noProof/>
          <w:sz w:val="18"/>
          <w:szCs w:val="18"/>
        </w:rPr>
        <w:t xml:space="preserve">Pembahasan Permasalahan </w:t>
      </w:r>
      <w:r w:rsidR="00350FBA">
        <w:rPr>
          <w:rFonts w:asciiTheme="majorBidi" w:hAnsiTheme="majorBidi" w:cstheme="majorBidi"/>
          <w:i/>
          <w:noProof/>
          <w:sz w:val="18"/>
          <w:szCs w:val="18"/>
        </w:rPr>
        <w:t>d</w:t>
      </w:r>
      <w:r w:rsidRPr="00BC0107">
        <w:rPr>
          <w:rFonts w:asciiTheme="majorBidi" w:hAnsiTheme="majorBidi" w:cstheme="majorBidi"/>
          <w:i/>
          <w:noProof/>
          <w:sz w:val="18"/>
          <w:szCs w:val="18"/>
        </w:rPr>
        <w:t xml:space="preserve">an Penerapan KUHAP Dalam Pemeriksaan Pengadilan, Banding, Kasasi, </w:t>
      </w:r>
      <w:r w:rsidR="00350FBA">
        <w:rPr>
          <w:rFonts w:asciiTheme="majorBidi" w:hAnsiTheme="majorBidi" w:cstheme="majorBidi"/>
          <w:i/>
          <w:noProof/>
          <w:sz w:val="18"/>
          <w:szCs w:val="18"/>
        </w:rPr>
        <w:t>d</w:t>
      </w:r>
      <w:r w:rsidRPr="00BC0107">
        <w:rPr>
          <w:rFonts w:asciiTheme="majorBidi" w:hAnsiTheme="majorBidi" w:cstheme="majorBidi"/>
          <w:i/>
          <w:noProof/>
          <w:sz w:val="18"/>
          <w:szCs w:val="18"/>
        </w:rPr>
        <w:t>an Peninjauan Kembali</w:t>
      </w:r>
      <w:r w:rsidRPr="00BC0107">
        <w:rPr>
          <w:rFonts w:asciiTheme="majorBidi" w:hAnsiTheme="majorBidi" w:cstheme="majorBidi"/>
          <w:noProof/>
          <w:sz w:val="18"/>
          <w:szCs w:val="18"/>
        </w:rPr>
        <w:t xml:space="preserve"> (Jakarta: Sinar Grafika, 2005).</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 xml:space="preserve">, </w:t>
      </w:r>
      <w:r>
        <w:rPr>
          <w:rFonts w:asciiTheme="majorBidi" w:hAnsiTheme="majorBidi" w:cstheme="majorBidi"/>
          <w:sz w:val="18"/>
          <w:szCs w:val="18"/>
        </w:rPr>
        <w:t xml:space="preserve">hlm </w:t>
      </w:r>
      <w:r w:rsidRPr="00BC0107">
        <w:rPr>
          <w:rFonts w:asciiTheme="majorBidi" w:hAnsiTheme="majorBidi" w:cstheme="majorBidi"/>
          <w:sz w:val="18"/>
          <w:szCs w:val="18"/>
        </w:rPr>
        <w:t>273</w:t>
      </w:r>
    </w:p>
  </w:footnote>
  <w:footnote w:id="44">
    <w:p w14:paraId="380B4AAF" w14:textId="06609349" w:rsidR="008D372B" w:rsidRPr="00BC0107" w:rsidRDefault="008D372B" w:rsidP="00463691">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CA04C8">
        <w:rPr>
          <w:rFonts w:asciiTheme="majorBidi" w:hAnsiTheme="majorBidi" w:cstheme="majorBidi"/>
          <w:sz w:val="18"/>
          <w:szCs w:val="18"/>
        </w:rPr>
        <w:instrText>ADDIN CSL_CITATION {"citationItems":[{"id":"ITEM-1","itemData":{"author":[{"dropping-particle":"","family":"R. Soebekti","given":"","non-dropping-particle":"","parse-names":false,"suffix":""}],"id":"ITEM-1","issued":{"date-parts":[["2010"]]},"publisher":"Pradnya Paramita","publisher-place":"Jakarta","title":"Hukum Pembuktian","type":"book"},"uris":["http://www.mendeley.com/documents/?uuid=7a902c12-030a-4f5a-85d0-d3e8608d93b6"]}],"mendeley":{"formattedCitation":"R. Soebekti, &lt;i&gt;Hukum Pembuktian&lt;/i&gt; (Jakarta: Pradnya Paramita, 2010).","plainTextFormattedCitation":"R. Soebekti, Hukum Pembuktian (Jakarta: Pradnya Paramita, 2010).","previouslyFormattedCitation":"R. Soebekti, &lt;i&gt;Hukum Pembuktian&lt;/i&gt; (Jakarta: Pradnya Paramita, 2010)."},"properties":{"noteIndex":45},"schema":"https://github.com/citation-style-language/schema/raw/master/csl-citation.json"}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R. Soebekti, </w:t>
      </w:r>
      <w:r w:rsidRPr="00BC0107">
        <w:rPr>
          <w:rFonts w:asciiTheme="majorBidi" w:hAnsiTheme="majorBidi" w:cstheme="majorBidi"/>
          <w:i/>
          <w:noProof/>
          <w:sz w:val="18"/>
          <w:szCs w:val="18"/>
        </w:rPr>
        <w:t>Hukum Pembuktian</w:t>
      </w:r>
      <w:r w:rsidRPr="00BC0107">
        <w:rPr>
          <w:rFonts w:asciiTheme="majorBidi" w:hAnsiTheme="majorBidi" w:cstheme="majorBidi"/>
          <w:noProof/>
          <w:sz w:val="18"/>
          <w:szCs w:val="18"/>
        </w:rPr>
        <w:t xml:space="preserve"> (Jakarta: Pradnya Paramita, 2010).</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 xml:space="preserve">, </w:t>
      </w:r>
      <w:r>
        <w:rPr>
          <w:rFonts w:asciiTheme="majorBidi" w:hAnsiTheme="majorBidi" w:cstheme="majorBidi"/>
          <w:sz w:val="18"/>
          <w:szCs w:val="18"/>
        </w:rPr>
        <w:t xml:space="preserve">hlm </w:t>
      </w:r>
      <w:r w:rsidRPr="00BC0107">
        <w:rPr>
          <w:rFonts w:asciiTheme="majorBidi" w:hAnsiTheme="majorBidi" w:cstheme="majorBidi"/>
          <w:sz w:val="18"/>
          <w:szCs w:val="18"/>
        </w:rPr>
        <w:t>1</w:t>
      </w:r>
    </w:p>
  </w:footnote>
  <w:footnote w:id="45">
    <w:p w14:paraId="243CFD95" w14:textId="415F71A8" w:rsidR="008D372B" w:rsidRPr="00BC0107" w:rsidRDefault="008D372B" w:rsidP="00463691">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Eddy O.S. Hiariej dalam </w:t>
      </w:r>
      <w:r w:rsidRPr="00BC0107">
        <w:rPr>
          <w:rFonts w:asciiTheme="majorBidi" w:hAnsiTheme="majorBidi" w:cstheme="majorBidi"/>
          <w:sz w:val="18"/>
          <w:szCs w:val="18"/>
        </w:rPr>
        <w:fldChar w:fldCharType="begin" w:fldLock="1"/>
      </w:r>
      <w:r w:rsidR="00CA04C8">
        <w:rPr>
          <w:rFonts w:asciiTheme="majorBidi" w:hAnsiTheme="majorBidi" w:cstheme="majorBidi"/>
          <w:sz w:val="18"/>
          <w:szCs w:val="18"/>
        </w:rPr>
        <w:instrText>ADDIN CSL_CITATION {"citationItems":[{"id":"ITEM-1","itemData":{"author":[{"dropping-particle":"","family":"Rahman Amin","given":"","non-dropping-particle":"","parse-names":false,"suffix":""}],"edition":"Cet1","editor":[{"dropping-particle":"","family":"Dwi Noviantoko","given":"","non-dropping-particle":"","parse-names":false,"suffix":""}],"id":"ITEM-1","issued":{"date-parts":[["2020"]]},"number-of-pages":"193","publisher":"CV. Budi Utama","publisher-place":"Yogyakarta","title":"Hukum Pembuktian Dalam Perkara Perdata dan Pidana","type":"book"},"uris":["http://www.mendeley.com/documents/?uuid=2f302b54-88e8-43d7-9720-b1c0fd32b700"]}],"mendeley":{"formattedCitation":"Rahman Amin, &lt;i&gt;Hukum Pembuktian Dalam Perkara Perdata Dan Pidana&lt;/i&gt;.","plainTextFormattedCitation":"Rahman Amin, Hukum Pembuktian Dalam Perkara Perdata Dan Pidana.","previouslyFormattedCitation":"Rahman Amin, &lt;i&gt;Hukum Pembuktian Dalam Perkara Perdata Dan Pidana&lt;/i&gt;."},"properties":{"noteIndex":46},"schema":"https://github.com/citation-style-language/schema/raw/master/csl-citation.json"}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Rahman Amin, </w:t>
      </w:r>
      <w:r w:rsidRPr="00BC0107">
        <w:rPr>
          <w:rFonts w:asciiTheme="majorBidi" w:hAnsiTheme="majorBidi" w:cstheme="majorBidi"/>
          <w:i/>
          <w:noProof/>
          <w:sz w:val="18"/>
          <w:szCs w:val="18"/>
        </w:rPr>
        <w:t xml:space="preserve">Hukum Pembuktian </w:t>
      </w:r>
      <w:r w:rsidR="00350FBA">
        <w:rPr>
          <w:rFonts w:asciiTheme="majorBidi" w:hAnsiTheme="majorBidi" w:cstheme="majorBidi"/>
          <w:i/>
          <w:noProof/>
          <w:sz w:val="18"/>
          <w:szCs w:val="18"/>
        </w:rPr>
        <w:t>d</w:t>
      </w:r>
      <w:r w:rsidRPr="00BC0107">
        <w:rPr>
          <w:rFonts w:asciiTheme="majorBidi" w:hAnsiTheme="majorBidi" w:cstheme="majorBidi"/>
          <w:i/>
          <w:noProof/>
          <w:sz w:val="18"/>
          <w:szCs w:val="18"/>
        </w:rPr>
        <w:t xml:space="preserve">alam Perkara Perdata </w:t>
      </w:r>
      <w:r w:rsidR="00350FBA">
        <w:rPr>
          <w:rFonts w:asciiTheme="majorBidi" w:hAnsiTheme="majorBidi" w:cstheme="majorBidi"/>
          <w:i/>
          <w:noProof/>
          <w:sz w:val="18"/>
          <w:szCs w:val="18"/>
        </w:rPr>
        <w:t>d</w:t>
      </w:r>
      <w:r w:rsidRPr="00BC0107">
        <w:rPr>
          <w:rFonts w:asciiTheme="majorBidi" w:hAnsiTheme="majorBidi" w:cstheme="majorBidi"/>
          <w:i/>
          <w:noProof/>
          <w:sz w:val="18"/>
          <w:szCs w:val="18"/>
        </w:rPr>
        <w:t>an Pidana</w:t>
      </w:r>
      <w:r w:rsidRPr="00BC0107">
        <w:rPr>
          <w:rFonts w:asciiTheme="majorBidi" w:hAnsiTheme="majorBidi" w:cstheme="majorBidi"/>
          <w:noProof/>
          <w:sz w:val="18"/>
          <w:szCs w:val="18"/>
        </w:rPr>
        <w:t>.</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w:t>
      </w:r>
      <w:r>
        <w:rPr>
          <w:rFonts w:asciiTheme="majorBidi" w:hAnsiTheme="majorBidi" w:cstheme="majorBidi"/>
          <w:sz w:val="18"/>
          <w:szCs w:val="18"/>
        </w:rPr>
        <w:t xml:space="preserve"> hlm </w:t>
      </w:r>
      <w:r w:rsidRPr="00BC0107">
        <w:rPr>
          <w:rFonts w:asciiTheme="majorBidi" w:hAnsiTheme="majorBidi" w:cstheme="majorBidi"/>
          <w:sz w:val="18"/>
          <w:szCs w:val="18"/>
        </w:rPr>
        <w:t>15</w:t>
      </w:r>
    </w:p>
  </w:footnote>
  <w:footnote w:id="46">
    <w:p w14:paraId="52D90715" w14:textId="2A793AC8" w:rsidR="008D372B" w:rsidRPr="00BC0107" w:rsidRDefault="008D372B" w:rsidP="00463691">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CA04C8">
        <w:rPr>
          <w:rFonts w:asciiTheme="majorBidi" w:hAnsiTheme="majorBidi" w:cstheme="majorBidi"/>
          <w:sz w:val="18"/>
          <w:szCs w:val="18"/>
        </w:rPr>
        <w:instrText>ADDIN CSL_CITATION {"citationItems":[{"id":"ITEM-1","itemData":{"author":[{"dropping-particle":"","family":"Rahman Amin","given":"","non-dropping-particle":"","parse-names":false,"suffix":""}],"edition":"Cet1","editor":[{"dropping-particle":"","family":"Dwi Noviantoko","given":"","non-dropping-particle":"","parse-names":false,"suffix":""}],"id":"ITEM-1","issued":{"date-parts":[["2020"]]},"number-of-pages":"193","publisher":"CV. Budi Utama","publisher-place":"Yogyakarta","title":"Hukum Pembuktian Dalam Perkara Perdata dan Pidana","type":"book"},"uris":["http://www.mendeley.com/documents/?uuid=2f302b54-88e8-43d7-9720-b1c0fd32b700"]}],"mendeley":{"formattedCitation":"Ibid.","plainTextFormattedCitation":"Ibid.","previouslyFormattedCitation":"Ibid."},"properties":{"noteIndex":47},"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Ibid.</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w:t>
      </w:r>
      <w:r>
        <w:rPr>
          <w:rFonts w:asciiTheme="majorBidi" w:hAnsiTheme="majorBidi" w:cstheme="majorBidi"/>
          <w:sz w:val="18"/>
          <w:szCs w:val="18"/>
        </w:rPr>
        <w:t>hlm</w:t>
      </w:r>
      <w:r w:rsidR="00127BD6">
        <w:rPr>
          <w:rFonts w:asciiTheme="majorBidi" w:hAnsiTheme="majorBidi" w:cstheme="majorBidi"/>
          <w:sz w:val="18"/>
          <w:szCs w:val="18"/>
        </w:rPr>
        <w:t xml:space="preserve"> </w:t>
      </w:r>
      <w:r w:rsidRPr="00BC0107">
        <w:rPr>
          <w:rFonts w:asciiTheme="majorBidi" w:hAnsiTheme="majorBidi" w:cstheme="majorBidi"/>
          <w:sz w:val="18"/>
          <w:szCs w:val="18"/>
        </w:rPr>
        <w:t>16</w:t>
      </w:r>
    </w:p>
  </w:footnote>
  <w:footnote w:id="47">
    <w:p w14:paraId="6AF1952E" w14:textId="38DFA177" w:rsidR="008D372B" w:rsidRPr="00BC0107" w:rsidRDefault="008D372B" w:rsidP="00463691">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Pr>
          <w:rFonts w:asciiTheme="majorBidi" w:hAnsiTheme="majorBidi" w:cstheme="majorBidi"/>
          <w:sz w:val="18"/>
          <w:szCs w:val="18"/>
        </w:rPr>
        <w:t xml:space="preserve">Rusli Muhammad dalam, </w:t>
      </w:r>
      <w:r w:rsidRPr="00BC0107">
        <w:rPr>
          <w:rFonts w:asciiTheme="majorBidi" w:hAnsiTheme="majorBidi" w:cstheme="majorBidi"/>
          <w:sz w:val="18"/>
          <w:szCs w:val="18"/>
        </w:rPr>
        <w:fldChar w:fldCharType="begin" w:fldLock="1"/>
      </w:r>
      <w:r w:rsidR="00CA04C8">
        <w:rPr>
          <w:rFonts w:asciiTheme="majorBidi" w:hAnsiTheme="majorBidi" w:cstheme="majorBidi"/>
          <w:sz w:val="18"/>
          <w:szCs w:val="18"/>
        </w:rPr>
        <w:instrText>ADDIN CSL_CITATION {"citationItems":[{"id":"ITEM-1","itemData":{"author":[{"dropping-particle":"","family":"Teguh Syuhada Lubis","given":"","non-dropping-particle":"","parse-names":false,"suffix":""}],"edition":"cet.1","editor":[{"dropping-particle":"","family":"Fajaruddin","given":"","non-dropping-particle":"","parse-names":false,"suffix":""}],"id":"ITEM-1","issued":{"date-parts":[["2021"]]},"number-of-pages":"295","publisher":"CV. Pustaka Prima","publisher-place":"Medan","title":"Hukum Pembuktian Dalam Peradilan di Indonesia","type":"book"},"uris":["http://www.mendeley.com/documents/?uuid=aa9a9dae-974e-4dde-9020-524fd4f6dbef"]}],"mendeley":{"formattedCitation":"Teguh Syuhada Lubis, &lt;i&gt;Hukum Pembuktian Dalam Peradilan Di Indonesia&lt;/i&gt;.","plainTextFormattedCitation":"Teguh Syuhada Lubis, Hukum Pembuktian Dalam Peradilan Di Indonesia.","previouslyFormattedCitation":"Teguh Syuhada Lubis, &lt;i&gt;Hukum Pembuktian Dalam Peradilan Di Indonesia&lt;/i&gt;."},"properties":{"noteIndex":48},"schema":"https://github.com/citation-style-language/schema/raw/master/csl-citation.json"}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Teguh Syuhada Lubis, </w:t>
      </w:r>
      <w:r w:rsidRPr="00BC0107">
        <w:rPr>
          <w:rFonts w:asciiTheme="majorBidi" w:hAnsiTheme="majorBidi" w:cstheme="majorBidi"/>
          <w:i/>
          <w:noProof/>
          <w:sz w:val="18"/>
          <w:szCs w:val="18"/>
        </w:rPr>
        <w:t xml:space="preserve">Hukum Pembuktian </w:t>
      </w:r>
      <w:r w:rsidR="00350FBA">
        <w:rPr>
          <w:rFonts w:asciiTheme="majorBidi" w:hAnsiTheme="majorBidi" w:cstheme="majorBidi"/>
          <w:i/>
          <w:noProof/>
          <w:sz w:val="18"/>
          <w:szCs w:val="18"/>
        </w:rPr>
        <w:t>d</w:t>
      </w:r>
      <w:r w:rsidRPr="00BC0107">
        <w:rPr>
          <w:rFonts w:asciiTheme="majorBidi" w:hAnsiTheme="majorBidi" w:cstheme="majorBidi"/>
          <w:i/>
          <w:noProof/>
          <w:sz w:val="18"/>
          <w:szCs w:val="18"/>
        </w:rPr>
        <w:t xml:space="preserve">alam Peradilan </w:t>
      </w:r>
      <w:r w:rsidR="00350FBA">
        <w:rPr>
          <w:rFonts w:asciiTheme="majorBidi" w:hAnsiTheme="majorBidi" w:cstheme="majorBidi"/>
          <w:i/>
          <w:noProof/>
          <w:sz w:val="18"/>
          <w:szCs w:val="18"/>
        </w:rPr>
        <w:t>d</w:t>
      </w:r>
      <w:r w:rsidRPr="00BC0107">
        <w:rPr>
          <w:rFonts w:asciiTheme="majorBidi" w:hAnsiTheme="majorBidi" w:cstheme="majorBidi"/>
          <w:i/>
          <w:noProof/>
          <w:sz w:val="18"/>
          <w:szCs w:val="18"/>
        </w:rPr>
        <w:t>i Indonesia</w:t>
      </w:r>
      <w:r w:rsidRPr="00BC0107">
        <w:rPr>
          <w:rFonts w:asciiTheme="majorBidi" w:hAnsiTheme="majorBidi" w:cstheme="majorBidi"/>
          <w:noProof/>
          <w:sz w:val="18"/>
          <w:szCs w:val="18"/>
        </w:rPr>
        <w:t>.</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 xml:space="preserve">, </w:t>
      </w:r>
      <w:r>
        <w:rPr>
          <w:rFonts w:asciiTheme="majorBidi" w:hAnsiTheme="majorBidi" w:cstheme="majorBidi"/>
          <w:sz w:val="18"/>
          <w:szCs w:val="18"/>
        </w:rPr>
        <w:t xml:space="preserve">hlm </w:t>
      </w:r>
      <w:r w:rsidRPr="00BC0107">
        <w:rPr>
          <w:rFonts w:asciiTheme="majorBidi" w:hAnsiTheme="majorBidi" w:cstheme="majorBidi"/>
          <w:sz w:val="18"/>
          <w:szCs w:val="18"/>
        </w:rPr>
        <w:t>51</w:t>
      </w:r>
    </w:p>
  </w:footnote>
  <w:footnote w:id="48">
    <w:p w14:paraId="50F4FCC5" w14:textId="094F146A" w:rsidR="008D372B" w:rsidRPr="00BC0107" w:rsidRDefault="008D372B" w:rsidP="00463691">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CA04C8">
        <w:rPr>
          <w:rFonts w:asciiTheme="majorBidi" w:hAnsiTheme="majorBidi" w:cstheme="majorBidi"/>
          <w:sz w:val="18"/>
          <w:szCs w:val="18"/>
        </w:rPr>
        <w:instrText>ADDIN CSL_CITATION {"citationItems":[{"id":"ITEM-1","itemData":{"author":[{"dropping-particle":"","family":"Ridwan Eko Prasetyo","given":"","non-dropping-particle":"","parse-names":false,"suffix":""}],"id":"ITEM-1","issued":{"date-parts":[["2015"]]},"publisher":"CV. Pustaka Setia","publisher-place":"Bandung","title":"Hukum Acara Pidana","type":"book"},"uris":["http://www.mendeley.com/documents/?uuid=cb72aa5b-201b-4464-a934-7bfd4e30c968"]}],"mendeley":{"formattedCitation":"Ridwan Eko Prasetyo, &lt;i&gt;Hukum Acara Pidana&lt;/i&gt; (Bandung: CV. Pustaka Setia, 2015).","plainTextFormattedCitation":"Ridwan Eko Prasetyo, Hukum Acara Pidana (Bandung: CV. Pustaka Setia, 2015).","previouslyFormattedCitation":"Ridwan Eko Prasetyo, &lt;i&gt;Hukum Acara Pidana&lt;/i&gt; (Bandung: CV. Pustaka Setia, 2015)."},"properties":{"noteIndex":49},"schema":"https://github.com/citation-style-language/schema/raw/master/csl-citation.json"}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Ridwan Eko Prasetyo, </w:t>
      </w:r>
      <w:r w:rsidRPr="00BC0107">
        <w:rPr>
          <w:rFonts w:asciiTheme="majorBidi" w:hAnsiTheme="majorBidi" w:cstheme="majorBidi"/>
          <w:i/>
          <w:noProof/>
          <w:sz w:val="18"/>
          <w:szCs w:val="18"/>
        </w:rPr>
        <w:t>Hukum Acara Pidana</w:t>
      </w:r>
      <w:r w:rsidRPr="00BC0107">
        <w:rPr>
          <w:rFonts w:asciiTheme="majorBidi" w:hAnsiTheme="majorBidi" w:cstheme="majorBidi"/>
          <w:noProof/>
          <w:sz w:val="18"/>
          <w:szCs w:val="18"/>
        </w:rPr>
        <w:t xml:space="preserve"> (Bandung: CV. Pustaka Setia, 2015).</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 xml:space="preserve">, </w:t>
      </w:r>
      <w:r>
        <w:rPr>
          <w:rFonts w:asciiTheme="majorBidi" w:hAnsiTheme="majorBidi" w:cstheme="majorBidi"/>
          <w:sz w:val="18"/>
          <w:szCs w:val="18"/>
        </w:rPr>
        <w:t xml:space="preserve">hlm </w:t>
      </w:r>
      <w:r w:rsidRPr="00BC0107">
        <w:rPr>
          <w:rFonts w:asciiTheme="majorBidi" w:hAnsiTheme="majorBidi" w:cstheme="majorBidi"/>
          <w:sz w:val="18"/>
          <w:szCs w:val="18"/>
        </w:rPr>
        <w:t>110-111</w:t>
      </w:r>
    </w:p>
  </w:footnote>
  <w:footnote w:id="49">
    <w:p w14:paraId="61920388" w14:textId="44FEC62B" w:rsidR="008D372B" w:rsidRPr="00BC0107" w:rsidRDefault="008D372B" w:rsidP="00463691">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Pr>
          <w:rFonts w:asciiTheme="majorBidi" w:hAnsiTheme="majorBidi" w:cstheme="majorBidi"/>
          <w:sz w:val="18"/>
          <w:szCs w:val="18"/>
        </w:rPr>
        <w:t xml:space="preserve">Lihat di Pasal 184 ayat 1, </w:t>
      </w:r>
      <w:r w:rsidRPr="00BC0107">
        <w:rPr>
          <w:rFonts w:asciiTheme="majorBidi" w:hAnsiTheme="majorBidi" w:cstheme="majorBidi"/>
          <w:sz w:val="18"/>
          <w:szCs w:val="18"/>
        </w:rPr>
        <w:fldChar w:fldCharType="begin" w:fldLock="1"/>
      </w:r>
      <w:r w:rsidR="00CA04C8">
        <w:rPr>
          <w:rFonts w:asciiTheme="majorBidi" w:hAnsiTheme="majorBidi" w:cstheme="majorBidi"/>
          <w:sz w:val="18"/>
          <w:szCs w:val="18"/>
        </w:rPr>
        <w:instrText>ADDIN CSL_CITATION {"citationItems":[{"id":"ITEM-1","itemData":{"ISBN":"978-979-518-141-5","author":[{"dropping-particle":"","family":"Andi Hamzah","given":"","non-dropping-particle":"","parse-names":false,"suffix":""}],"edition":"cet 20","id":"ITEM-1","issued":{"date-parts":[["2016"]]},"number-of-pages":"432","publisher":"Rineka Cipta","publisher-place":"Jakarta, Indonesia","title":"KUHP dan KUHAP","type":"book"},"uris":["http://www.mendeley.com/documents/?uuid=6a7acdc1-456e-4a33-9142-8886727b093c"]}],"mendeley":{"formattedCitation":"Andi Hamzah, &lt;i&gt;KUHP Dan KUHAP&lt;/i&gt;.","plainTextFormattedCitation":"Andi Hamzah, KUHP Dan KUHAP.","previouslyFormattedCitation":"Andi Hamzah, &lt;i&gt;KUHP Dan KUHAP&lt;/i&gt;."},"properties":{"noteIndex":50},"schema":"https://github.com/citation-style-language/schema/raw/master/csl-citation.json"}</w:instrText>
      </w:r>
      <w:r w:rsidRPr="00BC0107">
        <w:rPr>
          <w:rFonts w:asciiTheme="majorBidi" w:hAnsiTheme="majorBidi" w:cstheme="majorBidi"/>
          <w:sz w:val="18"/>
          <w:szCs w:val="18"/>
        </w:rPr>
        <w:fldChar w:fldCharType="separate"/>
      </w:r>
      <w:r w:rsidRPr="00BC541D">
        <w:rPr>
          <w:rFonts w:asciiTheme="majorBidi" w:hAnsiTheme="majorBidi" w:cstheme="majorBidi"/>
          <w:noProof/>
          <w:sz w:val="18"/>
          <w:szCs w:val="18"/>
        </w:rPr>
        <w:t xml:space="preserve">Andi Hamzah, </w:t>
      </w:r>
      <w:r w:rsidRPr="00BC541D">
        <w:rPr>
          <w:rFonts w:asciiTheme="majorBidi" w:hAnsiTheme="majorBidi" w:cstheme="majorBidi"/>
          <w:i/>
          <w:noProof/>
          <w:sz w:val="18"/>
          <w:szCs w:val="18"/>
        </w:rPr>
        <w:t xml:space="preserve">KUHP </w:t>
      </w:r>
      <w:r w:rsidR="00350FBA">
        <w:rPr>
          <w:rFonts w:asciiTheme="majorBidi" w:hAnsiTheme="majorBidi" w:cstheme="majorBidi"/>
          <w:i/>
          <w:noProof/>
          <w:sz w:val="18"/>
          <w:szCs w:val="18"/>
        </w:rPr>
        <w:t>d</w:t>
      </w:r>
      <w:r w:rsidRPr="00BC541D">
        <w:rPr>
          <w:rFonts w:asciiTheme="majorBidi" w:hAnsiTheme="majorBidi" w:cstheme="majorBidi"/>
          <w:i/>
          <w:noProof/>
          <w:sz w:val="18"/>
          <w:szCs w:val="18"/>
        </w:rPr>
        <w:t>an KUHAP</w:t>
      </w:r>
      <w:r w:rsidRPr="00BC541D">
        <w:rPr>
          <w:rFonts w:asciiTheme="majorBidi" w:hAnsiTheme="majorBidi" w:cstheme="majorBidi"/>
          <w:noProof/>
          <w:sz w:val="18"/>
          <w:szCs w:val="18"/>
        </w:rPr>
        <w:t>.</w:t>
      </w:r>
      <w:r w:rsidRPr="00BC0107">
        <w:rPr>
          <w:rFonts w:asciiTheme="majorBidi" w:hAnsiTheme="majorBidi" w:cstheme="majorBidi"/>
          <w:sz w:val="18"/>
          <w:szCs w:val="18"/>
        </w:rPr>
        <w:fldChar w:fldCharType="end"/>
      </w:r>
    </w:p>
  </w:footnote>
  <w:footnote w:id="50">
    <w:p w14:paraId="399E5CD0" w14:textId="4F8E05D9" w:rsidR="008D372B" w:rsidRPr="00BC0107" w:rsidRDefault="008D372B" w:rsidP="00463691">
      <w:pPr>
        <w:pStyle w:val="FootnoteText"/>
        <w:ind w:firstLine="720"/>
        <w:jc w:val="both"/>
        <w:rPr>
          <w:rFonts w:asciiTheme="majorBidi" w:hAnsiTheme="majorBidi" w:cstheme="majorBidi"/>
          <w:sz w:val="18"/>
          <w:szCs w:val="18"/>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CA04C8">
        <w:rPr>
          <w:rFonts w:asciiTheme="majorBidi" w:hAnsiTheme="majorBidi" w:cstheme="majorBidi"/>
          <w:sz w:val="18"/>
          <w:szCs w:val="18"/>
        </w:rPr>
        <w:instrText>ADDIN CSL_CITATION {"citationItems":[{"id":"ITEM-1","itemData":{"author":[{"dropping-particle":"","family":"Eddy O.S. Hiariej","given":"","non-dropping-particle":"","parse-names":false,"suffix":""}],"id":"ITEM-1","issued":{"date-parts":[["2012"]]},"publisher":"Erlangga","publisher-place":"Yogyakarta","title":"Teori dan hukum Pembuktian","type":"book"},"uris":["http://www.mendeley.com/documents/?uuid=db403c36-01c8-455b-9eee-9135f283bdc5"]}],"mendeley":{"formattedCitation":"Eddy O.S. Hiariej, &lt;i&gt;Teori Dan Hukum Pembuktian&lt;/i&gt; (Yogyakarta: Erlangga, 2012).","plainTextFormattedCitation":"Eddy O.S. Hiariej, Teori Dan Hukum Pembuktian (Yogyakarta: Erlangga, 2012).","previouslyFormattedCitation":"Eddy O.S. Hiariej, &lt;i&gt;Teori Dan Hukum Pembuktian&lt;/i&gt; (Yogyakarta: Erlangga, 2012)."},"properties":{"noteIndex":51},"schema":"https://github.com/citation-style-language/schema/raw/master/csl-citation.json"}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Eddy O.S. Hiariej, </w:t>
      </w:r>
      <w:r w:rsidRPr="00BC0107">
        <w:rPr>
          <w:rFonts w:asciiTheme="majorBidi" w:hAnsiTheme="majorBidi" w:cstheme="majorBidi"/>
          <w:i/>
          <w:noProof/>
          <w:sz w:val="18"/>
          <w:szCs w:val="18"/>
        </w:rPr>
        <w:t xml:space="preserve">Teori </w:t>
      </w:r>
      <w:r w:rsidR="00350FBA">
        <w:rPr>
          <w:rFonts w:asciiTheme="majorBidi" w:hAnsiTheme="majorBidi" w:cstheme="majorBidi"/>
          <w:i/>
          <w:noProof/>
          <w:sz w:val="18"/>
          <w:szCs w:val="18"/>
        </w:rPr>
        <w:t>d</w:t>
      </w:r>
      <w:r w:rsidRPr="00BC0107">
        <w:rPr>
          <w:rFonts w:asciiTheme="majorBidi" w:hAnsiTheme="majorBidi" w:cstheme="majorBidi"/>
          <w:i/>
          <w:noProof/>
          <w:sz w:val="18"/>
          <w:szCs w:val="18"/>
        </w:rPr>
        <w:t>an Hukum Pembuktian</w:t>
      </w:r>
      <w:r w:rsidRPr="00BC0107">
        <w:rPr>
          <w:rFonts w:asciiTheme="majorBidi" w:hAnsiTheme="majorBidi" w:cstheme="majorBidi"/>
          <w:noProof/>
          <w:sz w:val="18"/>
          <w:szCs w:val="18"/>
        </w:rPr>
        <w:t xml:space="preserve"> (Yogyakarta: Erlangga, 2012).</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w:t>
      </w:r>
      <w:r>
        <w:rPr>
          <w:rFonts w:asciiTheme="majorBidi" w:hAnsiTheme="majorBidi" w:cstheme="majorBidi"/>
          <w:sz w:val="18"/>
          <w:szCs w:val="18"/>
        </w:rPr>
        <w:t xml:space="preserve">hlm </w:t>
      </w:r>
      <w:r w:rsidRPr="00BC0107">
        <w:rPr>
          <w:rFonts w:asciiTheme="majorBidi" w:hAnsiTheme="majorBidi" w:cstheme="majorBidi"/>
          <w:sz w:val="18"/>
          <w:szCs w:val="18"/>
        </w:rPr>
        <w:t>7</w:t>
      </w:r>
    </w:p>
  </w:footnote>
  <w:footnote w:id="51">
    <w:p w14:paraId="0B5B5A54" w14:textId="5FF86A5F" w:rsidR="008D372B" w:rsidRPr="00BC0107" w:rsidRDefault="008D372B" w:rsidP="00463691">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CA04C8">
        <w:rPr>
          <w:rFonts w:asciiTheme="majorBidi" w:hAnsiTheme="majorBidi" w:cstheme="majorBidi"/>
          <w:sz w:val="18"/>
          <w:szCs w:val="18"/>
        </w:rPr>
        <w:instrText>ADDIN CSL_CITATION {"citationItems":[{"id":"ITEM-1","itemData":{"author":[{"dropping-particle":"","family":"Aristo Pangaribuan, Arsa mufti","given":"Ichsan Zikry","non-dropping-particle":"","parse-names":false,"suffix":""}],"edition":"Cet 1","id":"ITEM-1","issued":{"date-parts":[["2017"]]},"number-of-pages":"388","publisher":"Rajawali Pers","publisher-place":"Jakarta","title":"Pengantar Hukum Acara Pidana Di Indonesia","type":"book"},"uris":["http://www.mendeley.com/documents/?uuid=1e334f12-2094-4844-8b15-9c2ef8991291"]}],"mendeley":{"formattedCitation":"Ichsan Zikry Aristo Pangaribuan, Arsa mufti, &lt;i&gt;Pengantar Hukum Acara Pidana Di Indonesia&lt;/i&gt;, Cet 1. (Jakarta: Rajawali Pers, 2017).","plainTextFormattedCitation":"Ichsan Zikry Aristo Pangaribuan, Arsa mufti, Pengantar Hukum Acara Pidana Di Indonesia, Cet 1. (Jakarta: Rajawali Pers, 2017).","previouslyFormattedCitation":"Ichsan Zikry Aristo Pangaribuan, Arsa mufti, &lt;i&gt;Pengantar Hukum Acara Pidana Di Indonesia&lt;/i&gt;, Cet 1. (Jakarta: Rajawali Pers, 2017)."},"properties":{"noteIndex":52},"schema":"https://github.com/citation-style-language/schema/raw/master/csl-citation.json"}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Ichsan Zikry Aristo Pangaribuan, Arsa mufti, </w:t>
      </w:r>
      <w:r w:rsidRPr="00BC0107">
        <w:rPr>
          <w:rFonts w:asciiTheme="majorBidi" w:hAnsiTheme="majorBidi" w:cstheme="majorBidi"/>
          <w:i/>
          <w:noProof/>
          <w:sz w:val="18"/>
          <w:szCs w:val="18"/>
        </w:rPr>
        <w:t xml:space="preserve">Pengantar Hukum Acara Pidana </w:t>
      </w:r>
      <w:r w:rsidR="00350FBA">
        <w:rPr>
          <w:rFonts w:asciiTheme="majorBidi" w:hAnsiTheme="majorBidi" w:cstheme="majorBidi"/>
          <w:i/>
          <w:noProof/>
          <w:sz w:val="18"/>
          <w:szCs w:val="18"/>
        </w:rPr>
        <w:t>d</w:t>
      </w:r>
      <w:r w:rsidRPr="00BC0107">
        <w:rPr>
          <w:rFonts w:asciiTheme="majorBidi" w:hAnsiTheme="majorBidi" w:cstheme="majorBidi"/>
          <w:i/>
          <w:noProof/>
          <w:sz w:val="18"/>
          <w:szCs w:val="18"/>
        </w:rPr>
        <w:t>i Indonesia</w:t>
      </w:r>
      <w:r w:rsidRPr="00BC0107">
        <w:rPr>
          <w:rFonts w:asciiTheme="majorBidi" w:hAnsiTheme="majorBidi" w:cstheme="majorBidi"/>
          <w:noProof/>
          <w:sz w:val="18"/>
          <w:szCs w:val="18"/>
        </w:rPr>
        <w:t>, Cet 1. (Jakarta: Rajawali Pers, 2017).</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w:t>
      </w:r>
      <w:r>
        <w:rPr>
          <w:rFonts w:asciiTheme="majorBidi" w:hAnsiTheme="majorBidi" w:cstheme="majorBidi"/>
          <w:sz w:val="18"/>
          <w:szCs w:val="18"/>
        </w:rPr>
        <w:t xml:space="preserve">hlm </w:t>
      </w:r>
      <w:r w:rsidRPr="00BC0107">
        <w:rPr>
          <w:rFonts w:asciiTheme="majorBidi" w:hAnsiTheme="majorBidi" w:cstheme="majorBidi"/>
          <w:sz w:val="18"/>
          <w:szCs w:val="18"/>
        </w:rPr>
        <w:t>274</w:t>
      </w:r>
    </w:p>
  </w:footnote>
  <w:footnote w:id="52">
    <w:p w14:paraId="4AA4F5EC" w14:textId="75DD5786" w:rsidR="008D372B" w:rsidRPr="00BC0107" w:rsidRDefault="008D372B" w:rsidP="00463691">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CA04C8">
        <w:rPr>
          <w:rFonts w:asciiTheme="majorBidi" w:hAnsiTheme="majorBidi" w:cstheme="majorBidi"/>
          <w:sz w:val="18"/>
          <w:szCs w:val="18"/>
        </w:rPr>
        <w:instrText>ADDIN CSL_CITATION {"citationItems":[{"id":"ITEM-1","itemData":{"author":[{"dropping-particle":"","family":"Andi Hamzah","given":"","non-dropping-particle":"","parse-names":false,"suffix":""}],"id":"ITEM-1","issued":{"date-parts":[["1985"]]},"publisher":"Ghana Indonesia","publisher-place":"Jakarta","title":"Pengantar Hukum Acara Pidana Indonesia","type":"book"},"uris":["http://www.mendeley.com/documents/?uuid=68a9d463-bf23-4172-9c32-638da85cfe7b"]}],"mendeley":{"formattedCitation":"Andi Hamzah, &lt;i&gt;Pengantar Hukum Acara Pidana Indonesia&lt;/i&gt; (Jakarta: Ghana Indonesia, 1985).","plainTextFormattedCitation":"Andi Hamzah, Pengantar Hukum Acara Pidana Indonesia (Jakarta: Ghana Indonesia, 1985).","previouslyFormattedCitation":"Andi Hamzah, &lt;i&gt;Pengantar Hukum Acara Pidana Indonesia&lt;/i&gt; (Jakarta: Ghana Indonesia, 1985)."},"properties":{"noteIndex":53},"schema":"https://github.com/citation-style-language/schema/raw/master/csl-citation.json"}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Andi Hamzah, </w:t>
      </w:r>
      <w:r w:rsidRPr="00BC0107">
        <w:rPr>
          <w:rFonts w:asciiTheme="majorBidi" w:hAnsiTheme="majorBidi" w:cstheme="majorBidi"/>
          <w:i/>
          <w:noProof/>
          <w:sz w:val="18"/>
          <w:szCs w:val="18"/>
        </w:rPr>
        <w:t>Pengantar Hukum Acara Pidana Indonesia</w:t>
      </w:r>
      <w:r w:rsidRPr="00BC0107">
        <w:rPr>
          <w:rFonts w:asciiTheme="majorBidi" w:hAnsiTheme="majorBidi" w:cstheme="majorBidi"/>
          <w:noProof/>
          <w:sz w:val="18"/>
          <w:szCs w:val="18"/>
        </w:rPr>
        <w:t xml:space="preserve"> (Jakarta: Ghana Indonesia, 1985).</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 xml:space="preserve">, </w:t>
      </w:r>
      <w:r>
        <w:rPr>
          <w:rFonts w:asciiTheme="majorBidi" w:hAnsiTheme="majorBidi" w:cstheme="majorBidi"/>
          <w:sz w:val="18"/>
          <w:szCs w:val="18"/>
        </w:rPr>
        <w:t xml:space="preserve">hlm </w:t>
      </w:r>
      <w:r w:rsidRPr="00BC0107">
        <w:rPr>
          <w:rFonts w:asciiTheme="majorBidi" w:hAnsiTheme="majorBidi" w:cstheme="majorBidi"/>
          <w:sz w:val="18"/>
          <w:szCs w:val="18"/>
        </w:rPr>
        <w:t>241</w:t>
      </w:r>
    </w:p>
  </w:footnote>
  <w:footnote w:id="53">
    <w:p w14:paraId="357B3B6C" w14:textId="4E0123F3" w:rsidR="008D372B" w:rsidRPr="00BC0107" w:rsidRDefault="008D372B" w:rsidP="00463691">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CA04C8">
        <w:rPr>
          <w:rFonts w:asciiTheme="majorBidi" w:hAnsiTheme="majorBidi" w:cstheme="majorBidi"/>
          <w:sz w:val="18"/>
          <w:szCs w:val="18"/>
        </w:rPr>
        <w:instrText>ADDIN CSL_CITATION {"citationItems":[{"id":"ITEM-1","itemData":{"author":[{"dropping-particle":"","family":"Munir Fuady","given":"","non-dropping-particle":"","parse-names":false,"suffix":""}],"id":"ITEM-1","issued":{"date-parts":[["2006"]]},"publisher":"Citra Aditya","publisher-place":"Bandung","title":"Teori Hukum Pembuktian: Pidana dan Perdata","type":"book"},"uris":["http://www.mendeley.com/documents/?uuid=07215c47-e4c5-4ef3-9e21-0c4a3840959b"]}],"mendeley":{"formattedCitation":"Munir Fuady, &lt;i&gt;Teori Hukum Pembuktian: Pidana Dan Perdata&lt;/i&gt; (Bandung: Citra Aditya, 2006).","plainTextFormattedCitation":"Munir Fuady, Teori Hukum Pembuktian: Pidana Dan Perdata (Bandung: Citra Aditya, 2006).","previouslyFormattedCitation":"Munir Fuady, &lt;i&gt;Teori Hukum Pembuktian: Pidana Dan Perdata&lt;/i&gt; (Bandung: Citra Aditya, 2006)."},"properties":{"noteIndex":54},"schema":"https://github.com/citation-style-language/schema/raw/master/csl-citation.json"}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Munir Fuady, </w:t>
      </w:r>
      <w:r w:rsidRPr="00BC0107">
        <w:rPr>
          <w:rFonts w:asciiTheme="majorBidi" w:hAnsiTheme="majorBidi" w:cstheme="majorBidi"/>
          <w:i/>
          <w:noProof/>
          <w:sz w:val="18"/>
          <w:szCs w:val="18"/>
        </w:rPr>
        <w:t xml:space="preserve">Teori Hukum Pembuktian: Pidana </w:t>
      </w:r>
      <w:r w:rsidR="00350FBA">
        <w:rPr>
          <w:rFonts w:asciiTheme="majorBidi" w:hAnsiTheme="majorBidi" w:cstheme="majorBidi"/>
          <w:i/>
          <w:noProof/>
          <w:sz w:val="18"/>
          <w:szCs w:val="18"/>
        </w:rPr>
        <w:t>d</w:t>
      </w:r>
      <w:r w:rsidRPr="00BC0107">
        <w:rPr>
          <w:rFonts w:asciiTheme="majorBidi" w:hAnsiTheme="majorBidi" w:cstheme="majorBidi"/>
          <w:i/>
          <w:noProof/>
          <w:sz w:val="18"/>
          <w:szCs w:val="18"/>
        </w:rPr>
        <w:t>an Perdata</w:t>
      </w:r>
      <w:r w:rsidRPr="00BC0107">
        <w:rPr>
          <w:rFonts w:asciiTheme="majorBidi" w:hAnsiTheme="majorBidi" w:cstheme="majorBidi"/>
          <w:noProof/>
          <w:sz w:val="18"/>
          <w:szCs w:val="18"/>
        </w:rPr>
        <w:t xml:space="preserve"> (Bandung: Citra Aditya, 2006).</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w:t>
      </w:r>
      <w:r>
        <w:rPr>
          <w:rFonts w:asciiTheme="majorBidi" w:hAnsiTheme="majorBidi" w:cstheme="majorBidi"/>
          <w:sz w:val="18"/>
          <w:szCs w:val="18"/>
        </w:rPr>
        <w:t xml:space="preserve">hlm </w:t>
      </w:r>
      <w:r w:rsidRPr="00BC0107">
        <w:rPr>
          <w:rFonts w:asciiTheme="majorBidi" w:hAnsiTheme="majorBidi" w:cstheme="majorBidi"/>
          <w:sz w:val="18"/>
          <w:szCs w:val="18"/>
        </w:rPr>
        <w:t xml:space="preserve"> 56</w:t>
      </w:r>
    </w:p>
  </w:footnote>
  <w:footnote w:id="54">
    <w:p w14:paraId="53A36C29" w14:textId="79D8F757" w:rsidR="008D372B" w:rsidRDefault="008D372B" w:rsidP="00463691">
      <w:pPr>
        <w:pStyle w:val="FootnoteText"/>
        <w:ind w:firstLine="720"/>
        <w:jc w:val="both"/>
        <w:rPr>
          <w:rFonts w:asciiTheme="majorBidi" w:hAnsiTheme="majorBidi" w:cstheme="majorBidi"/>
          <w:noProof/>
          <w:sz w:val="18"/>
          <w:szCs w:val="18"/>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82570F">
        <w:rPr>
          <w:rFonts w:asciiTheme="majorBidi" w:hAnsiTheme="majorBidi" w:cstheme="majorBidi"/>
          <w:sz w:val="18"/>
          <w:szCs w:val="18"/>
        </w:rPr>
        <w:instrText>ADDIN CSL_CITATION {"citationItems":[{"id":"ITEM-1","itemData":{"author":[{"dropping-particle":"","family":"Imron","given":"Ali","non-dropping-particle":"","parse-names":false,"suffix":""},{"dropping-particle":"","family":"Muhamad Iqbal","given":"","non-dropping-particle":"","parse-names":false,"suffix":""}],"edition":"Cet 1","id":"ITEM-1","issued":{"date-parts":[["2019"]]},"number-of-pages":"167","publisher":"UNPAM PRESS","publisher-place":"Tanggerang Selatan","title":"Hukum Pembuktian","type":"book"},"uris":["http://www.mendeley.com/documents/?uuid=9974ac44-5e3d-4ad8-b3a5-614e9acb475e"]}],"mendeley":{"formattedCitation":"Ali Imron and Muhamad Iqbal, &lt;i&gt;Hukum Pembuktian&lt;/i&gt;, Cet 1. (Tanggerang Selatan: UNPAM PRESS, 2019), https://jdihn.go.id/files/414/HUKUM PEMBUKTIAN.pdf.","manualFormatting":"Ali Imron and Muhamad Iqbal, Hukum Pembuktian, Cet 1. (Tanggerang Selatan: UNPAM PRESS, 2019), \rhttps://jdihn.go.id/files/414/Hukum Pembuktian.pdf.","plainTextFormattedCitation":"Ali Imron and Muhamad Iqbal, Hukum Pembuktian, Cet 1. (Tanggerang Selatan: UNPAM PRESS, 2019), https://jdihn.go.id/files/414/HUKUM PEMBUKTIAN.pdf.","previouslyFormattedCitation":"Ali Imron and Muhamad Iqbal, &lt;i&gt;Hukum Pembuktian&lt;/i&gt;, Cet 1. (Tanggerang Selatan: UNPAM PRESS, 2019), https://jdihn.go.id/files/414/HUKUM PEMBUKTIAN.pdf."},"properties":{"noteIndex":55},"schema":"https://github.com/citation-style-language/schema/raw/master/csl-citation.json"}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Ali Imron and Muhamad Iqbal, </w:t>
      </w:r>
      <w:r w:rsidRPr="00BC0107">
        <w:rPr>
          <w:rFonts w:asciiTheme="majorBidi" w:hAnsiTheme="majorBidi" w:cstheme="majorBidi"/>
          <w:i/>
          <w:noProof/>
          <w:sz w:val="18"/>
          <w:szCs w:val="18"/>
        </w:rPr>
        <w:t>Hukum Pembuktian</w:t>
      </w:r>
      <w:r w:rsidRPr="00BC0107">
        <w:rPr>
          <w:rFonts w:asciiTheme="majorBidi" w:hAnsiTheme="majorBidi" w:cstheme="majorBidi"/>
          <w:noProof/>
          <w:sz w:val="18"/>
          <w:szCs w:val="18"/>
        </w:rPr>
        <w:t xml:space="preserve">, Cet 1. (Tangerang Selatan: UNPAM PRESS, 2019), </w:t>
      </w:r>
    </w:p>
    <w:p w14:paraId="3F793723" w14:textId="12A41158" w:rsidR="008D372B" w:rsidRPr="00BC0107" w:rsidRDefault="008D372B" w:rsidP="00350FBA">
      <w:pPr>
        <w:pStyle w:val="FootnoteText"/>
        <w:jc w:val="both"/>
        <w:rPr>
          <w:rFonts w:asciiTheme="majorBidi" w:hAnsiTheme="majorBidi" w:cstheme="majorBidi"/>
          <w:sz w:val="18"/>
          <w:szCs w:val="18"/>
          <w:lang w:val="en-US"/>
        </w:rPr>
      </w:pPr>
      <w:r w:rsidRPr="00BC0107">
        <w:rPr>
          <w:rFonts w:asciiTheme="majorBidi" w:hAnsiTheme="majorBidi" w:cstheme="majorBidi"/>
          <w:noProof/>
          <w:sz w:val="18"/>
          <w:szCs w:val="18"/>
        </w:rPr>
        <w:t>https://jdihn.go.id/files/414/</w:t>
      </w:r>
      <w:r w:rsidR="00463691" w:rsidRPr="00BC0107">
        <w:rPr>
          <w:rFonts w:asciiTheme="majorBidi" w:hAnsiTheme="majorBidi" w:cstheme="majorBidi"/>
          <w:noProof/>
          <w:sz w:val="18"/>
          <w:szCs w:val="18"/>
        </w:rPr>
        <w:t>Hukum Pembuktian</w:t>
      </w:r>
      <w:r w:rsidRPr="00BC0107">
        <w:rPr>
          <w:rFonts w:asciiTheme="majorBidi" w:hAnsiTheme="majorBidi" w:cstheme="majorBidi"/>
          <w:noProof/>
          <w:sz w:val="18"/>
          <w:szCs w:val="18"/>
        </w:rPr>
        <w:t>.pdf.</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w:t>
      </w:r>
      <w:r>
        <w:rPr>
          <w:rFonts w:asciiTheme="majorBidi" w:hAnsiTheme="majorBidi" w:cstheme="majorBidi"/>
          <w:sz w:val="18"/>
          <w:szCs w:val="18"/>
        </w:rPr>
        <w:t xml:space="preserve">hlm </w:t>
      </w:r>
      <w:r w:rsidRPr="00BC0107">
        <w:rPr>
          <w:rFonts w:asciiTheme="majorBidi" w:hAnsiTheme="majorBidi" w:cstheme="majorBidi"/>
          <w:sz w:val="18"/>
          <w:szCs w:val="18"/>
        </w:rPr>
        <w:t xml:space="preserve"> 5</w:t>
      </w:r>
    </w:p>
  </w:footnote>
  <w:footnote w:id="55">
    <w:p w14:paraId="2845162E" w14:textId="26AB55AF" w:rsidR="008D372B" w:rsidRPr="00BC0107" w:rsidRDefault="008D372B" w:rsidP="0082570F">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82570F">
        <w:rPr>
          <w:rFonts w:asciiTheme="majorBidi" w:hAnsiTheme="majorBidi" w:cstheme="majorBidi"/>
          <w:sz w:val="18"/>
          <w:szCs w:val="18"/>
        </w:rPr>
        <w:instrText>ADDIN CSL_CITATION {"citationItems":[{"id":"ITEM-1","itemData":{"author":[{"dropping-particle":"","family":"Muhammad Taufik Makarao","given":"Suhasril","non-dropping-particle":"","parse-names":false,"suffix":""}],"edition":"Cet 2","id":"ITEM-1","issued":{"date-parts":[["2022"]]},"number-of-pages":"245","publisher":"Ghalia Indonesia","publisher-place":"Bogor","title":"Hukum Acara Pidana Dalam Teori dan Praktek","type":"book"},"uris":["http://www.mendeley.com/documents/?uuid=d1e581ba-5bc0-41c7-a9b4-962be73ae7b1"]}],"mendeley":{"formattedCitation":"Suhasril Muhammad Taufik Makarao, &lt;i&gt;Hukum Acara Pidana Dalam Teori Dan Praktek&lt;/i&gt;, Cet 2. (Bogor: Ghalia Indonesia, 2022).","manualFormatting":"Suhasril Muhammad Taufik Makarao, Hukum Acara Pidana dalam Teori dan Praktek, Cet 2. (Bogor: Ghalia Indonesia, 2022).","plainTextFormattedCitation":"Suhasril Muhammad Taufik Makarao, Hukum Acara Pidana Dalam Teori Dan Praktek, Cet 2. (Bogor: Ghalia Indonesia, 2022).","previouslyFormattedCitation":"Suhasril Muhammad Taufik Makarao, &lt;i&gt;Hukum Acara Pidana Dalam Teori Dan Praktek&lt;/i&gt;, Cet 2. (Bogor: Ghalia Indonesia, 2022)."},"properties":{"noteIndex":56},"schema":"https://github.com/citation-style-language/schema/raw/master/csl-citation.json"}</w:instrText>
      </w:r>
      <w:r w:rsidRPr="00BC0107">
        <w:rPr>
          <w:rFonts w:asciiTheme="majorBidi" w:hAnsiTheme="majorBidi" w:cstheme="majorBidi"/>
          <w:sz w:val="18"/>
          <w:szCs w:val="18"/>
        </w:rPr>
        <w:fldChar w:fldCharType="separate"/>
      </w:r>
      <w:r w:rsidRPr="008960F8">
        <w:rPr>
          <w:rFonts w:asciiTheme="majorBidi" w:hAnsiTheme="majorBidi" w:cstheme="majorBidi"/>
          <w:noProof/>
          <w:sz w:val="18"/>
          <w:szCs w:val="18"/>
        </w:rPr>
        <w:t xml:space="preserve">Suhasril Muhammad Taufik Makarao, </w:t>
      </w:r>
      <w:r w:rsidRPr="008960F8">
        <w:rPr>
          <w:rFonts w:asciiTheme="majorBidi" w:hAnsiTheme="majorBidi" w:cstheme="majorBidi"/>
          <w:i/>
          <w:noProof/>
          <w:sz w:val="18"/>
          <w:szCs w:val="18"/>
        </w:rPr>
        <w:t xml:space="preserve">Hukum Acara Pidana </w:t>
      </w:r>
      <w:r w:rsidR="0082570F">
        <w:rPr>
          <w:rFonts w:asciiTheme="majorBidi" w:hAnsiTheme="majorBidi" w:cstheme="majorBidi"/>
          <w:i/>
          <w:noProof/>
          <w:sz w:val="18"/>
          <w:szCs w:val="18"/>
        </w:rPr>
        <w:t>d</w:t>
      </w:r>
      <w:r w:rsidRPr="008960F8">
        <w:rPr>
          <w:rFonts w:asciiTheme="majorBidi" w:hAnsiTheme="majorBidi" w:cstheme="majorBidi"/>
          <w:i/>
          <w:noProof/>
          <w:sz w:val="18"/>
          <w:szCs w:val="18"/>
        </w:rPr>
        <w:t xml:space="preserve">alam Teori </w:t>
      </w:r>
      <w:r w:rsidR="0082570F">
        <w:rPr>
          <w:rFonts w:asciiTheme="majorBidi" w:hAnsiTheme="majorBidi" w:cstheme="majorBidi"/>
          <w:i/>
          <w:noProof/>
          <w:sz w:val="18"/>
          <w:szCs w:val="18"/>
        </w:rPr>
        <w:t>d</w:t>
      </w:r>
      <w:r w:rsidRPr="008960F8">
        <w:rPr>
          <w:rFonts w:asciiTheme="majorBidi" w:hAnsiTheme="majorBidi" w:cstheme="majorBidi"/>
          <w:i/>
          <w:noProof/>
          <w:sz w:val="18"/>
          <w:szCs w:val="18"/>
        </w:rPr>
        <w:t>an Praktek</w:t>
      </w:r>
      <w:r w:rsidRPr="008960F8">
        <w:rPr>
          <w:rFonts w:asciiTheme="majorBidi" w:hAnsiTheme="majorBidi" w:cstheme="majorBidi"/>
          <w:noProof/>
          <w:sz w:val="18"/>
          <w:szCs w:val="18"/>
        </w:rPr>
        <w:t>, Cet 2. (Bogor: Ghalia Indonesia, 2022).</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w:t>
      </w:r>
      <w:r>
        <w:rPr>
          <w:rFonts w:asciiTheme="majorBidi" w:hAnsiTheme="majorBidi" w:cstheme="majorBidi"/>
          <w:sz w:val="18"/>
          <w:szCs w:val="18"/>
        </w:rPr>
        <w:t xml:space="preserve"> hlm </w:t>
      </w:r>
      <w:r w:rsidRPr="00BC0107">
        <w:rPr>
          <w:rFonts w:asciiTheme="majorBidi" w:hAnsiTheme="majorBidi" w:cstheme="majorBidi"/>
          <w:sz w:val="18"/>
          <w:szCs w:val="18"/>
        </w:rPr>
        <w:t>105</w:t>
      </w:r>
    </w:p>
  </w:footnote>
  <w:footnote w:id="56">
    <w:p w14:paraId="7D709BBA" w14:textId="2BF1AD5C" w:rsidR="008D372B" w:rsidRDefault="008D372B" w:rsidP="0082570F">
      <w:pPr>
        <w:pStyle w:val="FootnoteText"/>
        <w:ind w:firstLine="720"/>
        <w:jc w:val="both"/>
        <w:rPr>
          <w:rFonts w:asciiTheme="majorBidi" w:hAnsiTheme="majorBidi" w:cstheme="majorBidi"/>
          <w:noProof/>
          <w:sz w:val="18"/>
          <w:szCs w:val="18"/>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82570F">
        <w:rPr>
          <w:rFonts w:asciiTheme="majorBidi" w:hAnsiTheme="majorBidi" w:cstheme="majorBidi"/>
          <w:sz w:val="18"/>
          <w:szCs w:val="18"/>
        </w:rPr>
        <w:instrText>ADDIN CSL_CITATION {"citationItems":[{"id":"ITEM-1","itemData":{"URL":"https://www.hukumonline.com/berita/a/pembuktian-alat-bukti-dalam-perkara-pidana-dan-perdata-lt62d51f4edb81b/","accessed":{"date-parts":[["2024","5","22"]]},"author":[{"dropping-particle":"","family":"Willa Wahyuni","given":"","non-dropping-particle":"","parse-names":false,"suffix":""}],"container-title":"Hukum Online.Com","id":"ITEM-1","issued":{"date-parts":[["2022"]]},"title":"Pembuktian Alat Bukti dalam Perkara Pidana dan Perdata","type":"webpage"},"uris":["http://www.mendeley.com/documents/?uuid=77b30e21-866b-4208-af4e-72393344e31f"]}],"mendeley":{"formattedCitation":"Willa Wahyuni, “Pembuktian Alat Bukti Dalam Perkara Pidana Dan Perdata,” &lt;i&gt;Hukum Online.Com&lt;/i&gt;, last modified 2022, accessed May 22, 2024, https://www.hukumonline.com/berita/a/pembuktian-alat-bukti-dalam-perkara-pidana-dan-perdata-lt62d51f4edb81b/.","manualFormatting":"Willa Wahyuni, “Pembuktian Alat Bukti dalam Perkara Pidana dan Perdata,” Hukum Online.Com, last modified 2022, accessed May 22, 2024, \rhttps://www.hukumonline.com/berita/a/pembuktian-alat-bukti-dalam-perkara-pidana-dan-perdata-lt62d51f4edb81b/.","plainTextFormattedCitation":"Willa Wahyuni, “Pembuktian Alat Bukti Dalam Perkara Pidana Dan Perdata,” Hukum Online.Com, last modified 2022, accessed May 22, 2024, https://www.hukumonline.com/berita/a/pembuktian-alat-bukti-dalam-perkara-pidana-dan-perdata-lt62d51f4edb81b/.","previouslyFormattedCitation":"Willa Wahyuni, “Pembuktian Alat Bukti Dalam Perkara Pidana Dan Perdata,” &lt;i&gt;Hukum Online.Com&lt;/i&gt;, last modified 2022, accessed May 22, 2024, https://www.hukumonline.com/berita/a/pembuktian-alat-bukti-dalam-perkara-pidana-dan-perdata-lt62d51f4edb81b/."},"properties":{"noteIndex":57},"schema":"https://github.com/citation-style-language/schema/raw/master/csl-citation.json"}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Willa Wahyuni, “Pembuktian Alat Bukti </w:t>
      </w:r>
      <w:r w:rsidR="0082570F">
        <w:rPr>
          <w:rFonts w:asciiTheme="majorBidi" w:hAnsiTheme="majorBidi" w:cstheme="majorBidi"/>
          <w:noProof/>
          <w:sz w:val="18"/>
          <w:szCs w:val="18"/>
        </w:rPr>
        <w:t>d</w:t>
      </w:r>
      <w:r w:rsidRPr="00BC0107">
        <w:rPr>
          <w:rFonts w:asciiTheme="majorBidi" w:hAnsiTheme="majorBidi" w:cstheme="majorBidi"/>
          <w:noProof/>
          <w:sz w:val="18"/>
          <w:szCs w:val="18"/>
        </w:rPr>
        <w:t xml:space="preserve">alam Perkara Pidana </w:t>
      </w:r>
      <w:r w:rsidR="0082570F">
        <w:rPr>
          <w:rFonts w:asciiTheme="majorBidi" w:hAnsiTheme="majorBidi" w:cstheme="majorBidi"/>
          <w:noProof/>
          <w:sz w:val="18"/>
          <w:szCs w:val="18"/>
        </w:rPr>
        <w:t>d</w:t>
      </w:r>
      <w:r w:rsidRPr="00BC0107">
        <w:rPr>
          <w:rFonts w:asciiTheme="majorBidi" w:hAnsiTheme="majorBidi" w:cstheme="majorBidi"/>
          <w:noProof/>
          <w:sz w:val="18"/>
          <w:szCs w:val="18"/>
        </w:rPr>
        <w:t xml:space="preserve">an Perdata,” </w:t>
      </w:r>
      <w:r w:rsidRPr="00BC0107">
        <w:rPr>
          <w:rFonts w:asciiTheme="majorBidi" w:hAnsiTheme="majorBidi" w:cstheme="majorBidi"/>
          <w:i/>
          <w:noProof/>
          <w:sz w:val="18"/>
          <w:szCs w:val="18"/>
        </w:rPr>
        <w:t>Hukum</w:t>
      </w:r>
      <w:r w:rsidR="00F6343B">
        <w:rPr>
          <w:rFonts w:asciiTheme="majorBidi" w:hAnsiTheme="majorBidi" w:cstheme="majorBidi"/>
          <w:i/>
          <w:noProof/>
          <w:sz w:val="18"/>
          <w:szCs w:val="18"/>
        </w:rPr>
        <w:t>o</w:t>
      </w:r>
      <w:r w:rsidRPr="00BC0107">
        <w:rPr>
          <w:rFonts w:asciiTheme="majorBidi" w:hAnsiTheme="majorBidi" w:cstheme="majorBidi"/>
          <w:i/>
          <w:noProof/>
          <w:sz w:val="18"/>
          <w:szCs w:val="18"/>
        </w:rPr>
        <w:t>nline.Com</w:t>
      </w:r>
      <w:r w:rsidRPr="00BC0107">
        <w:rPr>
          <w:rFonts w:asciiTheme="majorBidi" w:hAnsiTheme="majorBidi" w:cstheme="majorBidi"/>
          <w:noProof/>
          <w:sz w:val="18"/>
          <w:szCs w:val="18"/>
        </w:rPr>
        <w:t xml:space="preserve">, last modified 2022, accessed May 22, 2024, </w:t>
      </w:r>
    </w:p>
    <w:p w14:paraId="6413378A" w14:textId="77777777" w:rsidR="008D372B" w:rsidRPr="00BC0107" w:rsidRDefault="008D372B" w:rsidP="0082570F">
      <w:pPr>
        <w:pStyle w:val="FootnoteText"/>
        <w:jc w:val="both"/>
        <w:rPr>
          <w:rFonts w:asciiTheme="majorBidi" w:hAnsiTheme="majorBidi" w:cstheme="majorBidi"/>
          <w:sz w:val="18"/>
          <w:szCs w:val="18"/>
          <w:lang w:val="en-US"/>
        </w:rPr>
      </w:pPr>
      <w:r w:rsidRPr="00BC0107">
        <w:rPr>
          <w:rFonts w:asciiTheme="majorBidi" w:hAnsiTheme="majorBidi" w:cstheme="majorBidi"/>
          <w:noProof/>
          <w:sz w:val="18"/>
          <w:szCs w:val="18"/>
        </w:rPr>
        <w:t>https://www.hukumonline.com/berita/a/pembuktian-alat-bukti-dalam-perkara-pidana-dan-perdata-lt62d51f4edb81b/.</w:t>
      </w:r>
      <w:r w:rsidRPr="00BC0107">
        <w:rPr>
          <w:rFonts w:asciiTheme="majorBidi" w:hAnsiTheme="majorBidi" w:cstheme="majorBidi"/>
          <w:sz w:val="18"/>
          <w:szCs w:val="18"/>
        </w:rPr>
        <w:fldChar w:fldCharType="end"/>
      </w:r>
    </w:p>
  </w:footnote>
  <w:footnote w:id="57">
    <w:p w14:paraId="50468478" w14:textId="68F63F42" w:rsidR="008D372B" w:rsidRPr="00BC0107" w:rsidRDefault="008D372B" w:rsidP="0082570F">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Pr>
          <w:rFonts w:asciiTheme="majorBidi" w:hAnsiTheme="majorBidi" w:cstheme="majorBidi"/>
          <w:sz w:val="18"/>
          <w:szCs w:val="18"/>
        </w:rPr>
        <w:t xml:space="preserve">Lihat di Pasal 184, </w:t>
      </w:r>
      <w:r w:rsidRPr="00BC0107">
        <w:rPr>
          <w:rFonts w:asciiTheme="majorBidi" w:hAnsiTheme="majorBidi" w:cstheme="majorBidi"/>
          <w:sz w:val="18"/>
          <w:szCs w:val="18"/>
        </w:rPr>
        <w:fldChar w:fldCharType="begin" w:fldLock="1"/>
      </w:r>
      <w:r w:rsidR="00CA04C8">
        <w:rPr>
          <w:rFonts w:asciiTheme="majorBidi" w:hAnsiTheme="majorBidi" w:cstheme="majorBidi"/>
          <w:sz w:val="18"/>
          <w:szCs w:val="18"/>
        </w:rPr>
        <w:instrText>ADDIN CSL_CITATION {"citationItems":[{"id":"ITEM-1","itemData":{"ISBN":"978-979-518-141-5","author":[{"dropping-particle":"","family":"Andi Hamzah","given":"","non-dropping-particle":"","parse-names":false,"suffix":""}],"edition":"cet 20","id":"ITEM-1","issued":{"date-parts":[["2016"]]},"number-of-pages":"432","publisher":"Rineka Cipta","publisher-place":"Jakarta, Indonesia","title":"KUHP dan KUHAP","type":"book"},"uris":["http://www.mendeley.com/documents/?uuid=6a7acdc1-456e-4a33-9142-8886727b093c"]}],"mendeley":{"formattedCitation":"Andi Hamzah, &lt;i&gt;KUHP Dan KUHAP&lt;/i&gt;.","manualFormatting":"Andi Hamzah, KUHP dan KUHAP.","plainTextFormattedCitation":"Andi Hamzah, KUHP Dan KUHAP.","previouslyFormattedCitation":"Andi Hamzah, &lt;i&gt;KUHP Dan KUHAP&lt;/i&gt;."},"properties":{"noteIndex":58},"schema":"https://github.com/citation-style-language/schema/raw/master/csl-citation.json"}</w:instrText>
      </w:r>
      <w:r w:rsidRPr="00BC0107">
        <w:rPr>
          <w:rFonts w:asciiTheme="majorBidi" w:hAnsiTheme="majorBidi" w:cstheme="majorBidi"/>
          <w:sz w:val="18"/>
          <w:szCs w:val="18"/>
        </w:rPr>
        <w:fldChar w:fldCharType="separate"/>
      </w:r>
      <w:r w:rsidRPr="00BC541D">
        <w:rPr>
          <w:rFonts w:asciiTheme="majorBidi" w:hAnsiTheme="majorBidi" w:cstheme="majorBidi"/>
          <w:noProof/>
          <w:sz w:val="18"/>
          <w:szCs w:val="18"/>
        </w:rPr>
        <w:t xml:space="preserve">Andi Hamzah, </w:t>
      </w:r>
      <w:r w:rsidRPr="00BC541D">
        <w:rPr>
          <w:rFonts w:asciiTheme="majorBidi" w:hAnsiTheme="majorBidi" w:cstheme="majorBidi"/>
          <w:i/>
          <w:noProof/>
          <w:sz w:val="18"/>
          <w:szCs w:val="18"/>
        </w:rPr>
        <w:t xml:space="preserve">KUHP </w:t>
      </w:r>
      <w:r>
        <w:rPr>
          <w:rFonts w:asciiTheme="majorBidi" w:hAnsiTheme="majorBidi" w:cstheme="majorBidi"/>
          <w:i/>
          <w:noProof/>
          <w:sz w:val="18"/>
          <w:szCs w:val="18"/>
        </w:rPr>
        <w:t>d</w:t>
      </w:r>
      <w:r w:rsidRPr="00BC541D">
        <w:rPr>
          <w:rFonts w:asciiTheme="majorBidi" w:hAnsiTheme="majorBidi" w:cstheme="majorBidi"/>
          <w:i/>
          <w:noProof/>
          <w:sz w:val="18"/>
          <w:szCs w:val="18"/>
        </w:rPr>
        <w:t>an KUHAP</w:t>
      </w:r>
      <w:r w:rsidRPr="00BC541D">
        <w:rPr>
          <w:rFonts w:asciiTheme="majorBidi" w:hAnsiTheme="majorBidi" w:cstheme="majorBidi"/>
          <w:noProof/>
          <w:sz w:val="18"/>
          <w:szCs w:val="18"/>
        </w:rPr>
        <w:t>.</w:t>
      </w:r>
      <w:r w:rsidRPr="00BC0107">
        <w:rPr>
          <w:rFonts w:asciiTheme="majorBidi" w:hAnsiTheme="majorBidi" w:cstheme="majorBidi"/>
          <w:sz w:val="18"/>
          <w:szCs w:val="18"/>
        </w:rPr>
        <w:fldChar w:fldCharType="end"/>
      </w:r>
    </w:p>
  </w:footnote>
  <w:footnote w:id="58">
    <w:p w14:paraId="3C54D98B" w14:textId="04B8394B" w:rsidR="008D372B" w:rsidRPr="00BC0107" w:rsidRDefault="008D372B" w:rsidP="0082570F">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82570F">
        <w:rPr>
          <w:rFonts w:asciiTheme="majorBidi" w:hAnsiTheme="majorBidi" w:cstheme="majorBidi"/>
          <w:sz w:val="18"/>
          <w:szCs w:val="18"/>
        </w:rPr>
        <w:instrText>ADDIN CSL_CITATION {"citationItems":[{"id":"ITEM-1","itemData":{"author":[{"dropping-particle":"","family":"Lilik Mulyadi","given":"","non-dropping-particle":"","parse-names":false,"suffix":""}],"edition":"Cet 1","id":"ITEM-1","issued":{"date-parts":[["2007"]]},"number-of-pages":"412","publisher":"Bandung Alumni","publisher-place":"Bandung","title":"Hukum Acara Pidana : Normatif, Teoritis, Praktik dan Permasalahannya","type":"book"},"uris":["http://www.mendeley.com/documents/?uuid=08bba75b-1401-4eab-b8c5-697dd16d7174"]}],"mendeley":{"formattedCitation":"Lilik Mulyadi, &lt;i&gt;Hukum Acara Pidana : Normatif, Teoritis, Praktik Dan Permasalahannya&lt;/i&gt;, Cet 1. (Bandung: Bandung Alumni, 2007).","manualFormatting":"Lilik Mulyadi, Hukum Acara Pidana : Normatif, Teoritis, Praktik dan Permasalahannya, Cet 1. (Bandung: Bandung Alumni, 2007).","plainTextFormattedCitation":"Lilik Mulyadi, Hukum Acara Pidana : Normatif, Teoritis, Praktik Dan Permasalahannya, Cet 1. (Bandung: Bandung Alumni, 2007).","previouslyFormattedCitation":"Lilik Mulyadi, &lt;i&gt;Hukum Acara Pidana : Normatif, Teoritis, Praktik Dan Permasalahannya&lt;/i&gt;, Cet 1. (Bandung: Bandung Alumni, 2007)."},"properties":{"noteIndex":59},"schema":"https://github.com/citation-style-language/schema/raw/master/csl-citation.json"}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Lilik Mulyadi, </w:t>
      </w:r>
      <w:r w:rsidRPr="00BC0107">
        <w:rPr>
          <w:rFonts w:asciiTheme="majorBidi" w:hAnsiTheme="majorBidi" w:cstheme="majorBidi"/>
          <w:i/>
          <w:noProof/>
          <w:sz w:val="18"/>
          <w:szCs w:val="18"/>
        </w:rPr>
        <w:t xml:space="preserve">Hukum Acara Pidana : Normatif, Teoritis, Praktik </w:t>
      </w:r>
      <w:r w:rsidR="0082570F">
        <w:rPr>
          <w:rFonts w:asciiTheme="majorBidi" w:hAnsiTheme="majorBidi" w:cstheme="majorBidi"/>
          <w:i/>
          <w:noProof/>
          <w:sz w:val="18"/>
          <w:szCs w:val="18"/>
        </w:rPr>
        <w:t>d</w:t>
      </w:r>
      <w:r w:rsidRPr="00BC0107">
        <w:rPr>
          <w:rFonts w:asciiTheme="majorBidi" w:hAnsiTheme="majorBidi" w:cstheme="majorBidi"/>
          <w:i/>
          <w:noProof/>
          <w:sz w:val="18"/>
          <w:szCs w:val="18"/>
        </w:rPr>
        <w:t>an Permasalahannya</w:t>
      </w:r>
      <w:r w:rsidRPr="00BC0107">
        <w:rPr>
          <w:rFonts w:asciiTheme="majorBidi" w:hAnsiTheme="majorBidi" w:cstheme="majorBidi"/>
          <w:noProof/>
          <w:sz w:val="18"/>
          <w:szCs w:val="18"/>
        </w:rPr>
        <w:t>, Cet 1. (Bandung: Bandung Alumni, 2007).</w:t>
      </w:r>
      <w:r w:rsidRPr="00BC0107">
        <w:rPr>
          <w:rFonts w:asciiTheme="majorBidi" w:hAnsiTheme="majorBidi" w:cstheme="majorBidi"/>
          <w:sz w:val="18"/>
          <w:szCs w:val="18"/>
        </w:rPr>
        <w:fldChar w:fldCharType="end"/>
      </w:r>
      <w:r>
        <w:rPr>
          <w:rFonts w:asciiTheme="majorBidi" w:hAnsiTheme="majorBidi" w:cstheme="majorBidi"/>
          <w:sz w:val="18"/>
          <w:szCs w:val="18"/>
        </w:rPr>
        <w:t>,</w:t>
      </w:r>
    </w:p>
  </w:footnote>
  <w:footnote w:id="59">
    <w:p w14:paraId="1E2A7D32" w14:textId="3C226620" w:rsidR="008D372B" w:rsidRDefault="008D372B" w:rsidP="0082570F">
      <w:pPr>
        <w:pStyle w:val="FootnoteText"/>
        <w:ind w:firstLine="720"/>
        <w:jc w:val="both"/>
        <w:rPr>
          <w:rFonts w:asciiTheme="majorBidi" w:hAnsiTheme="majorBidi" w:cstheme="majorBidi"/>
          <w:noProof/>
          <w:sz w:val="18"/>
          <w:szCs w:val="18"/>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CA04C8">
        <w:rPr>
          <w:rFonts w:asciiTheme="majorBidi" w:hAnsiTheme="majorBidi" w:cstheme="majorBidi"/>
          <w:sz w:val="18"/>
          <w:szCs w:val="18"/>
        </w:rPr>
        <w:instrText>ADDIN CSL_CITATION {"citationItems":[{"id":"ITEM-1","itemData":{"URL":"https://www.hukumonline.com/berita/a/keterangan-saksi-sebagai-alat-bukti-lt6357b0c181f39/","accessed":{"date-parts":[["2024","5","22"]]},"author":[{"dropping-particle":"","family":"Willa Wahyuni","given":"","non-dropping-particle":"","parse-names":false,"suffix":""}],"container-title":"Hukum Online.Com","id":"ITEM-1","issued":{"date-parts":[["2022"]]},"title":"Keterangan Saksi Sebagai Alat Bukti","type":"webpage"},"uris":["http://www.mendeley.com/documents/?uuid=b65ed228-e2ab-4ffc-a978-a191964ec623"]}],"mendeley":{"formattedCitation":"Willa Wahyuni, “Keterangan Saksi Sebagai Alat Bukti,” &lt;i&gt;Hukum Online.Com&lt;/i&gt;, last modified 2022, accessed May 22, 2024, https://www.hukumonline.com/berita/a/keterangan-saksi-sebagai-alat-bukti-lt6357b0c181f39/.","manualFormatting":"Willa Wahyuni, “Keterangan Saksi Sebagai Alat Bukti,” Hukum Online.Com, last modified 2022, accessed May 22, 2024, \rhttps://www.hukumonline.com/berita/a/keterangan-saksi-sebagai-alat-bukti-lt6357b0c181f39/.","plainTextFormattedCitation":"Willa Wahyuni, “Keterangan Saksi Sebagai Alat Bukti,” Hukum Online.Com, last modified 2022, accessed May 22, 2024, https://www.hukumonline.com/berita/a/keterangan-saksi-sebagai-alat-bukti-lt6357b0c181f39/.","previouslyFormattedCitation":"Willa Wahyuni, “Keterangan Saksi Sebagai Alat Bukti,” &lt;i&gt;Hukum Online.Com&lt;/i&gt;, last modified 2022, accessed May 22, 2024, https://www.hukumonline.com/berita/a/keterangan-saksi-sebagai-alat-bukti-lt6357b0c181f39/."},"properties":{"noteIndex":60},"schema":"https://github.com/citation-style-language/schema/raw/master/csl-citation.json"}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Willa Wahyuni, “Keterangan Saksi Sebagai Alat Bukti,” </w:t>
      </w:r>
      <w:r w:rsidRPr="00BC0107">
        <w:rPr>
          <w:rFonts w:asciiTheme="majorBidi" w:hAnsiTheme="majorBidi" w:cstheme="majorBidi"/>
          <w:i/>
          <w:noProof/>
          <w:sz w:val="18"/>
          <w:szCs w:val="18"/>
        </w:rPr>
        <w:t>Hukum</w:t>
      </w:r>
      <w:r w:rsidR="00F6343B">
        <w:rPr>
          <w:rFonts w:asciiTheme="majorBidi" w:hAnsiTheme="majorBidi" w:cstheme="majorBidi"/>
          <w:i/>
          <w:noProof/>
          <w:sz w:val="18"/>
          <w:szCs w:val="18"/>
        </w:rPr>
        <w:t>o</w:t>
      </w:r>
      <w:r w:rsidRPr="00BC0107">
        <w:rPr>
          <w:rFonts w:asciiTheme="majorBidi" w:hAnsiTheme="majorBidi" w:cstheme="majorBidi"/>
          <w:i/>
          <w:noProof/>
          <w:sz w:val="18"/>
          <w:szCs w:val="18"/>
        </w:rPr>
        <w:t>nline.Com</w:t>
      </w:r>
      <w:r w:rsidRPr="00BC0107">
        <w:rPr>
          <w:rFonts w:asciiTheme="majorBidi" w:hAnsiTheme="majorBidi" w:cstheme="majorBidi"/>
          <w:noProof/>
          <w:sz w:val="18"/>
          <w:szCs w:val="18"/>
        </w:rPr>
        <w:t xml:space="preserve">, last modified 2022, accessed May 22, 2024, </w:t>
      </w:r>
    </w:p>
    <w:p w14:paraId="5F119684" w14:textId="77777777" w:rsidR="008D372B" w:rsidRPr="00BC0107" w:rsidRDefault="008D372B" w:rsidP="00194317">
      <w:pPr>
        <w:pStyle w:val="FootnoteText"/>
        <w:jc w:val="both"/>
        <w:rPr>
          <w:rFonts w:asciiTheme="majorBidi" w:hAnsiTheme="majorBidi" w:cstheme="majorBidi"/>
          <w:sz w:val="18"/>
          <w:szCs w:val="18"/>
          <w:lang w:val="en-US"/>
        </w:rPr>
      </w:pPr>
      <w:r w:rsidRPr="00BC0107">
        <w:rPr>
          <w:rFonts w:asciiTheme="majorBidi" w:hAnsiTheme="majorBidi" w:cstheme="majorBidi"/>
          <w:noProof/>
          <w:sz w:val="18"/>
          <w:szCs w:val="18"/>
        </w:rPr>
        <w:t>https://www.hukumonline.com/berita/a/keterangan-saksi-sebagai-alat-bukti-lt6357b0c181f39/.</w:t>
      </w:r>
      <w:r w:rsidRPr="00BC0107">
        <w:rPr>
          <w:rFonts w:asciiTheme="majorBidi" w:hAnsiTheme="majorBidi" w:cstheme="majorBidi"/>
          <w:sz w:val="18"/>
          <w:szCs w:val="18"/>
        </w:rPr>
        <w:fldChar w:fldCharType="end"/>
      </w:r>
    </w:p>
  </w:footnote>
  <w:footnote w:id="60">
    <w:p w14:paraId="40C83E5D" w14:textId="5C3D54FE" w:rsidR="008D372B" w:rsidRPr="00BC0107" w:rsidRDefault="008D372B" w:rsidP="0082570F">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82570F">
        <w:rPr>
          <w:rFonts w:asciiTheme="majorBidi" w:hAnsiTheme="majorBidi" w:cstheme="majorBidi"/>
          <w:sz w:val="18"/>
          <w:szCs w:val="18"/>
        </w:rPr>
        <w:instrText>ADDIN CSL_CITATION {"citationItems":[{"id":"ITEM-1","itemData":{"author":[{"dropping-particle":"","family":"Muhammad Taufik Makarao","given":"Suhasril","non-dropping-particle":"","parse-names":false,"suffix":""}],"edition":"Cet 2","id":"ITEM-1","issued":{"date-parts":[["2022"]]},"number-of-pages":"245","publisher":"Ghalia Indonesia","publisher-place":"Bogor","title":"Hukum Acara Pidana Dalam Teori dan Praktek","type":"book"},"uris":["http://www.mendeley.com/documents/?uuid=d1e581ba-5bc0-41c7-a9b4-962be73ae7b1"]}],"mendeley":{"formattedCitation":"Muhammad Taufik Makarao, &lt;i&gt;Hukum Acara Pidana Dalam Teori Dan Praktek&lt;/i&gt;.","manualFormatting":"Muhammad Taufik Makarao, Hukum Acara Pidana dalam Teori dan Praktek.","plainTextFormattedCitation":"Muhammad Taufik Makarao, Hukum Acara Pidana Dalam Teori Dan Praktek.","previouslyFormattedCitation":"Muhammad Taufik Makarao, &lt;i&gt;Hukum Acara Pidana Dalam Teori Dan Praktek&lt;/i&gt;."},"properties":{"noteIndex":61},"schema":"https://github.com/citation-style-language/schema/raw/master/csl-citation.json"}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Muhammad Taufik Makarao, </w:t>
      </w:r>
      <w:r w:rsidRPr="00BC0107">
        <w:rPr>
          <w:rFonts w:asciiTheme="majorBidi" w:hAnsiTheme="majorBidi" w:cstheme="majorBidi"/>
          <w:i/>
          <w:noProof/>
          <w:sz w:val="18"/>
          <w:szCs w:val="18"/>
        </w:rPr>
        <w:t xml:space="preserve">Hukum Acara Pidana </w:t>
      </w:r>
      <w:r>
        <w:rPr>
          <w:rFonts w:asciiTheme="majorBidi" w:hAnsiTheme="majorBidi" w:cstheme="majorBidi"/>
          <w:i/>
          <w:noProof/>
          <w:sz w:val="18"/>
          <w:szCs w:val="18"/>
        </w:rPr>
        <w:t>d</w:t>
      </w:r>
      <w:r w:rsidRPr="00BC0107">
        <w:rPr>
          <w:rFonts w:asciiTheme="majorBidi" w:hAnsiTheme="majorBidi" w:cstheme="majorBidi"/>
          <w:i/>
          <w:noProof/>
          <w:sz w:val="18"/>
          <w:szCs w:val="18"/>
        </w:rPr>
        <w:t xml:space="preserve">alam Teori </w:t>
      </w:r>
      <w:r w:rsidR="0082570F">
        <w:rPr>
          <w:rFonts w:asciiTheme="majorBidi" w:hAnsiTheme="majorBidi" w:cstheme="majorBidi"/>
          <w:i/>
          <w:noProof/>
          <w:sz w:val="18"/>
          <w:szCs w:val="18"/>
        </w:rPr>
        <w:t>d</w:t>
      </w:r>
      <w:r w:rsidRPr="00BC0107">
        <w:rPr>
          <w:rFonts w:asciiTheme="majorBidi" w:hAnsiTheme="majorBidi" w:cstheme="majorBidi"/>
          <w:i/>
          <w:noProof/>
          <w:sz w:val="18"/>
          <w:szCs w:val="18"/>
        </w:rPr>
        <w:t>an Praktek</w:t>
      </w:r>
      <w:r w:rsidRPr="00BC0107">
        <w:rPr>
          <w:rFonts w:asciiTheme="majorBidi" w:hAnsiTheme="majorBidi" w:cstheme="majorBidi"/>
          <w:noProof/>
          <w:sz w:val="18"/>
          <w:szCs w:val="18"/>
        </w:rPr>
        <w:t>.</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 xml:space="preserve">, </w:t>
      </w:r>
      <w:r>
        <w:rPr>
          <w:rFonts w:asciiTheme="majorBidi" w:hAnsiTheme="majorBidi" w:cstheme="majorBidi"/>
          <w:sz w:val="18"/>
          <w:szCs w:val="18"/>
        </w:rPr>
        <w:t xml:space="preserve">hlm </w:t>
      </w:r>
      <w:r w:rsidRPr="00BC0107">
        <w:rPr>
          <w:rFonts w:asciiTheme="majorBidi" w:hAnsiTheme="majorBidi" w:cstheme="majorBidi"/>
          <w:sz w:val="18"/>
          <w:szCs w:val="18"/>
        </w:rPr>
        <w:t>121-122</w:t>
      </w:r>
    </w:p>
  </w:footnote>
  <w:footnote w:id="61">
    <w:p w14:paraId="5D0D4BA7" w14:textId="126094CA" w:rsidR="008D372B" w:rsidRPr="00BC0107" w:rsidRDefault="008D372B" w:rsidP="0082570F">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82570F">
        <w:rPr>
          <w:rFonts w:asciiTheme="majorBidi" w:hAnsiTheme="majorBidi" w:cstheme="majorBidi"/>
          <w:sz w:val="18"/>
          <w:szCs w:val="18"/>
        </w:rPr>
        <w:instrText>ADDIN CSL_CITATION {"citationItems":[{"id":"ITEM-1","itemData":{"author":[{"dropping-particle":"","family":"Nikolas Simanjuntak","given":"","non-dropping-particle":"","parse-names":false,"suffix":""}],"edition":"Cet 1","id":"ITEM-1","issued":{"date-parts":[["2009"]]},"number-of-pages":"366","publisher":"Ghalia Indonesia","publisher-place":"Bogor","title":"Acara Pidana Indonesia Dalam Sirklus Hukum","type":"book"},"uris":["http://www.mendeley.com/documents/?uuid=17d24e60-5dbb-48df-a975-dcefd9839696"]}],"mendeley":{"formattedCitation":"Nikolas Simanjuntak, &lt;i&gt;Acara Pidana Indonesia Dalam Sirklus Hukum&lt;/i&gt;, Cet 1. (Bogor: Ghalia Indonesia, 2009).","manualFormatting":"Nikolas Simanjuntak, Acara Pidana Indonesia dalam Sirklus Hukum, Cet 1. (Bogor: Ghalia Indonesia, 2009).","plainTextFormattedCitation":"Nikolas Simanjuntak, Acara Pidana Indonesia Dalam Sirklus Hukum, Cet 1. (Bogor: Ghalia Indonesia, 2009).","previouslyFormattedCitation":"Nikolas Simanjuntak, &lt;i&gt;Acara Pidana Indonesia Dalam Sirklus Hukum&lt;/i&gt;, Cet 1. (Bogor: Ghalia Indonesia, 2009)."},"properties":{"noteIndex":62},"schema":"https://github.com/citation-style-language/schema/raw/master/csl-citation.json"}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Nikolas Simanjuntak, </w:t>
      </w:r>
      <w:r w:rsidRPr="00BC0107">
        <w:rPr>
          <w:rFonts w:asciiTheme="majorBidi" w:hAnsiTheme="majorBidi" w:cstheme="majorBidi"/>
          <w:i/>
          <w:noProof/>
          <w:sz w:val="18"/>
          <w:szCs w:val="18"/>
        </w:rPr>
        <w:t xml:space="preserve">Acara Pidana Indonesia </w:t>
      </w:r>
      <w:r w:rsidR="0082570F">
        <w:rPr>
          <w:rFonts w:asciiTheme="majorBidi" w:hAnsiTheme="majorBidi" w:cstheme="majorBidi"/>
          <w:i/>
          <w:noProof/>
          <w:sz w:val="18"/>
          <w:szCs w:val="18"/>
        </w:rPr>
        <w:t>d</w:t>
      </w:r>
      <w:r w:rsidRPr="00BC0107">
        <w:rPr>
          <w:rFonts w:asciiTheme="majorBidi" w:hAnsiTheme="majorBidi" w:cstheme="majorBidi"/>
          <w:i/>
          <w:noProof/>
          <w:sz w:val="18"/>
          <w:szCs w:val="18"/>
        </w:rPr>
        <w:t>alam Sirklus Hukum</w:t>
      </w:r>
      <w:r w:rsidRPr="00BC0107">
        <w:rPr>
          <w:rFonts w:asciiTheme="majorBidi" w:hAnsiTheme="majorBidi" w:cstheme="majorBidi"/>
          <w:noProof/>
          <w:sz w:val="18"/>
          <w:szCs w:val="18"/>
        </w:rPr>
        <w:t>, Cet 1. (Bogor: Ghalia Indonesia, 2009).</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 xml:space="preserve">, </w:t>
      </w:r>
      <w:r>
        <w:rPr>
          <w:rFonts w:asciiTheme="majorBidi" w:hAnsiTheme="majorBidi" w:cstheme="majorBidi"/>
          <w:sz w:val="18"/>
          <w:szCs w:val="18"/>
        </w:rPr>
        <w:t xml:space="preserve">hlm </w:t>
      </w:r>
      <w:r w:rsidRPr="00BC0107">
        <w:rPr>
          <w:rFonts w:asciiTheme="majorBidi" w:hAnsiTheme="majorBidi" w:cstheme="majorBidi"/>
          <w:sz w:val="18"/>
          <w:szCs w:val="18"/>
        </w:rPr>
        <w:t>266</w:t>
      </w:r>
    </w:p>
  </w:footnote>
  <w:footnote w:id="62">
    <w:p w14:paraId="621C25A6" w14:textId="6A517E5F" w:rsidR="008D372B" w:rsidRPr="00BC0107" w:rsidRDefault="008D372B" w:rsidP="0082570F">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82570F">
        <w:rPr>
          <w:rFonts w:asciiTheme="majorBidi" w:hAnsiTheme="majorBidi" w:cstheme="majorBidi"/>
          <w:sz w:val="18"/>
          <w:szCs w:val="18"/>
        </w:rPr>
        <w:instrText>ADDIN CSL_CITATION {"citationItems":[{"id":"ITEM-1","itemData":{"author":[{"dropping-particle":"","family":"Erwin Ubrawin","given":"","non-dropping-particle":"","parse-names":false,"suffix":""}],"container-title":"Jurnal Sasi","id":"ITEM-1","issued":{"date-parts":[["2014"]]},"title":"Keabsahan Keterangan Ahli Dalam Tindak Pidana Korupsi","type":"article-journal","volume":"Vol 20. No"},"uris":["http://www.mendeley.com/documents/?uuid=8f4b0195-1ede-4f52-b64e-f47458d2fed1"]}],"mendeley":{"formattedCitation":"Erwin Ubrawin, “Keabsahan Keterangan Ahli Dalam Tindak Pidana Korupsi,” &lt;i&gt;Jurnal Sasi&lt;/i&gt; Vol 20. No (2014).","manualFormatting":"Erwin Ubrawin, “Keabsahan Keterangan Ahli dalam Tindak Pidana Korupsi,” Jurnal Sasi Vol 20. No (2014).","plainTextFormattedCitation":"Erwin Ubrawin, “Keabsahan Keterangan Ahli Dalam Tindak Pidana Korupsi,” Jurnal Sasi Vol 20. No (2014).","previouslyFormattedCitation":"Erwin Ubrawin, “Keabsahan Keterangan Ahli Dalam Tindak Pidana Korupsi,” &lt;i&gt;Jurnal Sasi&lt;/i&gt; Vol 20. No (2014)."},"properties":{"noteIndex":63},"schema":"https://github.com/citation-style-language/schema/raw/master/csl-citation.json"}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Erwin Ubrawin, “Keabsahan Keterangan Ahli </w:t>
      </w:r>
      <w:r w:rsidR="0082570F">
        <w:rPr>
          <w:rFonts w:asciiTheme="majorBidi" w:hAnsiTheme="majorBidi" w:cstheme="majorBidi"/>
          <w:noProof/>
          <w:sz w:val="18"/>
          <w:szCs w:val="18"/>
        </w:rPr>
        <w:t>d</w:t>
      </w:r>
      <w:r w:rsidRPr="00BC0107">
        <w:rPr>
          <w:rFonts w:asciiTheme="majorBidi" w:hAnsiTheme="majorBidi" w:cstheme="majorBidi"/>
          <w:noProof/>
          <w:sz w:val="18"/>
          <w:szCs w:val="18"/>
        </w:rPr>
        <w:t xml:space="preserve">alam Tindak Pidana Korupsi,” </w:t>
      </w:r>
      <w:r w:rsidRPr="00BC0107">
        <w:rPr>
          <w:rFonts w:asciiTheme="majorBidi" w:hAnsiTheme="majorBidi" w:cstheme="majorBidi"/>
          <w:i/>
          <w:noProof/>
          <w:sz w:val="18"/>
          <w:szCs w:val="18"/>
        </w:rPr>
        <w:t>Jurnal Sasi</w:t>
      </w:r>
      <w:r w:rsidRPr="00BC0107">
        <w:rPr>
          <w:rFonts w:asciiTheme="majorBidi" w:hAnsiTheme="majorBidi" w:cstheme="majorBidi"/>
          <w:noProof/>
          <w:sz w:val="18"/>
          <w:szCs w:val="18"/>
        </w:rPr>
        <w:t xml:space="preserve"> Vol 20. No (2014).</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 xml:space="preserve">, </w:t>
      </w:r>
      <w:r>
        <w:rPr>
          <w:rFonts w:asciiTheme="majorBidi" w:hAnsiTheme="majorBidi" w:cstheme="majorBidi"/>
          <w:sz w:val="18"/>
          <w:szCs w:val="18"/>
        </w:rPr>
        <w:t xml:space="preserve">hlm </w:t>
      </w:r>
      <w:r w:rsidRPr="00BC0107">
        <w:rPr>
          <w:rFonts w:asciiTheme="majorBidi" w:hAnsiTheme="majorBidi" w:cstheme="majorBidi"/>
          <w:sz w:val="18"/>
          <w:szCs w:val="18"/>
        </w:rPr>
        <w:t>3</w:t>
      </w:r>
    </w:p>
  </w:footnote>
  <w:footnote w:id="63">
    <w:p w14:paraId="6CDD454B" w14:textId="00FDE63A" w:rsidR="008D372B" w:rsidRPr="00BC0107" w:rsidRDefault="008D372B" w:rsidP="0082570F">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Pr>
          <w:rFonts w:asciiTheme="majorBidi" w:hAnsiTheme="majorBidi" w:cstheme="majorBidi"/>
          <w:sz w:val="18"/>
          <w:szCs w:val="18"/>
        </w:rPr>
        <w:t xml:space="preserve">Lihat di Pasal 1 Ayat 28, </w:t>
      </w:r>
      <w:r w:rsidRPr="00BC0107">
        <w:rPr>
          <w:rFonts w:asciiTheme="majorBidi" w:hAnsiTheme="majorBidi" w:cstheme="majorBidi"/>
          <w:sz w:val="18"/>
          <w:szCs w:val="18"/>
        </w:rPr>
        <w:fldChar w:fldCharType="begin" w:fldLock="1"/>
      </w:r>
      <w:r w:rsidR="00CA04C8">
        <w:rPr>
          <w:rFonts w:asciiTheme="majorBidi" w:hAnsiTheme="majorBidi" w:cstheme="majorBidi"/>
          <w:sz w:val="18"/>
          <w:szCs w:val="18"/>
        </w:rPr>
        <w:instrText>ADDIN CSL_CITATION {"citationItems":[{"id":"ITEM-1","itemData":{"ISBN":"978-979-518-141-5","author":[{"dropping-particle":"","family":"Andi Hamzah","given":"","non-dropping-particle":"","parse-names":false,"suffix":""}],"edition":"cet 20","id":"ITEM-1","issued":{"date-parts":[["2016"]]},"number-of-pages":"432","publisher":"Rineka Cipta","publisher-place":"Jakarta, Indonesia","title":"KUHP dan KUHAP","type":"book"},"uris":["http://www.mendeley.com/documents/?uuid=6a7acdc1-456e-4a33-9142-8886727b093c"]}],"mendeley":{"formattedCitation":"Andi Hamzah, &lt;i&gt;KUHP Dan KUHAP&lt;/i&gt;.","plainTextFormattedCitation":"Andi Hamzah, KUHP Dan KUHAP.","previouslyFormattedCitation":"Andi Hamzah, &lt;i&gt;KUHP Dan KUHAP&lt;/i&gt;."},"properties":{"noteIndex":64},"schema":"https://github.com/citation-style-language/schema/raw/master/csl-citation.json"}</w:instrText>
      </w:r>
      <w:r w:rsidRPr="00BC0107">
        <w:rPr>
          <w:rFonts w:asciiTheme="majorBidi" w:hAnsiTheme="majorBidi" w:cstheme="majorBidi"/>
          <w:sz w:val="18"/>
          <w:szCs w:val="18"/>
        </w:rPr>
        <w:fldChar w:fldCharType="separate"/>
      </w:r>
      <w:r w:rsidRPr="00BC541D">
        <w:rPr>
          <w:rFonts w:asciiTheme="majorBidi" w:hAnsiTheme="majorBidi" w:cstheme="majorBidi"/>
          <w:noProof/>
          <w:sz w:val="18"/>
          <w:szCs w:val="18"/>
        </w:rPr>
        <w:t xml:space="preserve">Andi Hamzah, </w:t>
      </w:r>
      <w:r w:rsidRPr="00BC541D">
        <w:rPr>
          <w:rFonts w:asciiTheme="majorBidi" w:hAnsiTheme="majorBidi" w:cstheme="majorBidi"/>
          <w:i/>
          <w:noProof/>
          <w:sz w:val="18"/>
          <w:szCs w:val="18"/>
        </w:rPr>
        <w:t xml:space="preserve">KUHP </w:t>
      </w:r>
      <w:r w:rsidR="00350FBA">
        <w:rPr>
          <w:rFonts w:asciiTheme="majorBidi" w:hAnsiTheme="majorBidi" w:cstheme="majorBidi"/>
          <w:i/>
          <w:noProof/>
          <w:sz w:val="18"/>
          <w:szCs w:val="18"/>
        </w:rPr>
        <w:t>d</w:t>
      </w:r>
      <w:r w:rsidRPr="00BC541D">
        <w:rPr>
          <w:rFonts w:asciiTheme="majorBidi" w:hAnsiTheme="majorBidi" w:cstheme="majorBidi"/>
          <w:i/>
          <w:noProof/>
          <w:sz w:val="18"/>
          <w:szCs w:val="18"/>
        </w:rPr>
        <w:t>an KUHAP</w:t>
      </w:r>
      <w:r w:rsidRPr="00BC541D">
        <w:rPr>
          <w:rFonts w:asciiTheme="majorBidi" w:hAnsiTheme="majorBidi" w:cstheme="majorBidi"/>
          <w:noProof/>
          <w:sz w:val="18"/>
          <w:szCs w:val="18"/>
        </w:rPr>
        <w:t>.</w:t>
      </w:r>
      <w:r w:rsidRPr="00BC0107">
        <w:rPr>
          <w:rFonts w:asciiTheme="majorBidi" w:hAnsiTheme="majorBidi" w:cstheme="majorBidi"/>
          <w:sz w:val="18"/>
          <w:szCs w:val="18"/>
        </w:rPr>
        <w:fldChar w:fldCharType="end"/>
      </w:r>
    </w:p>
  </w:footnote>
  <w:footnote w:id="64">
    <w:p w14:paraId="7FB82EFA" w14:textId="4E5BC5C9" w:rsidR="008D372B" w:rsidRPr="00BC0107" w:rsidRDefault="008D372B" w:rsidP="0082570F">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82570F">
        <w:rPr>
          <w:rFonts w:asciiTheme="majorBidi" w:hAnsiTheme="majorBidi" w:cstheme="majorBidi"/>
          <w:sz w:val="18"/>
          <w:szCs w:val="18"/>
        </w:rPr>
        <w:instrText>ADDIN CSL_CITATION {"citationItems":[{"id":"ITEM-1","itemData":{"author":[{"dropping-particle":"","family":"Nikolas Simanjuntak","given":"","non-dropping-particle":"","parse-names":false,"suffix":""}],"edition":"Cet 1","id":"ITEM-1","issued":{"date-parts":[["2009"]]},"number-of-pages":"366","publisher":"Ghalia Indonesia","publisher-place":"Bogor","title":"Acara Pidana Indonesia Dalam Sirklus Hukum","type":"book"},"uris":["http://www.mendeley.com/documents/?uuid=17d24e60-5dbb-48df-a975-dcefd9839696"]}],"mendeley":{"formattedCitation":"Nikolas Simanjuntak, &lt;i&gt;Acara Pidana Indonesia Dalam Sirklus Hukum&lt;/i&gt;.","manualFormatting":"Nikolas Simanjuntak, Acara Pidana Indonesia dalam Sirklus Hukum.","plainTextFormattedCitation":"Nikolas Simanjuntak, Acara Pidana Indonesia Dalam Sirklus Hukum.","previouslyFormattedCitation":"Nikolas Simanjuntak, &lt;i&gt;Acara Pidana Indonesia Dalam Sirklus Hukum&lt;/i&gt;."},"properties":{"noteIndex":65},"schema":"https://github.com/citation-style-language/schema/raw/master/csl-citation.json"}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Nikolas Simanjuntak, </w:t>
      </w:r>
      <w:r w:rsidRPr="00BC0107">
        <w:rPr>
          <w:rFonts w:asciiTheme="majorBidi" w:hAnsiTheme="majorBidi" w:cstheme="majorBidi"/>
          <w:i/>
          <w:noProof/>
          <w:sz w:val="18"/>
          <w:szCs w:val="18"/>
        </w:rPr>
        <w:t xml:space="preserve">Acara Pidana Indonesia </w:t>
      </w:r>
      <w:r w:rsidR="0082570F">
        <w:rPr>
          <w:rFonts w:asciiTheme="majorBidi" w:hAnsiTheme="majorBidi" w:cstheme="majorBidi"/>
          <w:i/>
          <w:noProof/>
          <w:sz w:val="18"/>
          <w:szCs w:val="18"/>
        </w:rPr>
        <w:t>d</w:t>
      </w:r>
      <w:r w:rsidRPr="00BC0107">
        <w:rPr>
          <w:rFonts w:asciiTheme="majorBidi" w:hAnsiTheme="majorBidi" w:cstheme="majorBidi"/>
          <w:i/>
          <w:noProof/>
          <w:sz w:val="18"/>
          <w:szCs w:val="18"/>
        </w:rPr>
        <w:t>alam Sirklus Hukum</w:t>
      </w:r>
      <w:r w:rsidRPr="00BC0107">
        <w:rPr>
          <w:rFonts w:asciiTheme="majorBidi" w:hAnsiTheme="majorBidi" w:cstheme="majorBidi"/>
          <w:noProof/>
          <w:sz w:val="18"/>
          <w:szCs w:val="18"/>
        </w:rPr>
        <w:t>.</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 xml:space="preserve">, </w:t>
      </w:r>
      <w:r>
        <w:rPr>
          <w:rFonts w:asciiTheme="majorBidi" w:hAnsiTheme="majorBidi" w:cstheme="majorBidi"/>
          <w:sz w:val="18"/>
          <w:szCs w:val="18"/>
        </w:rPr>
        <w:t xml:space="preserve">hlm </w:t>
      </w:r>
      <w:r w:rsidRPr="00BC0107">
        <w:rPr>
          <w:rFonts w:asciiTheme="majorBidi" w:hAnsiTheme="majorBidi" w:cstheme="majorBidi"/>
          <w:sz w:val="18"/>
          <w:szCs w:val="18"/>
        </w:rPr>
        <w:t>267</w:t>
      </w:r>
    </w:p>
  </w:footnote>
  <w:footnote w:id="65">
    <w:p w14:paraId="57EF19D7" w14:textId="4E4D0268" w:rsidR="008D372B" w:rsidRDefault="008D372B" w:rsidP="0082570F">
      <w:pPr>
        <w:pStyle w:val="FootnoteText"/>
        <w:ind w:firstLine="720"/>
        <w:jc w:val="both"/>
        <w:rPr>
          <w:rFonts w:asciiTheme="majorBidi" w:hAnsiTheme="majorBidi" w:cstheme="majorBidi"/>
          <w:noProof/>
          <w:sz w:val="18"/>
          <w:szCs w:val="18"/>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82570F">
        <w:rPr>
          <w:rFonts w:asciiTheme="majorBidi" w:hAnsiTheme="majorBidi" w:cstheme="majorBidi"/>
          <w:sz w:val="18"/>
          <w:szCs w:val="18"/>
        </w:rPr>
        <w:instrText>ADDIN CSL_CITATION {"citationItems":[{"id":"ITEM-1","itemData":{"URL":"https://www.hukumonline.com/klinik/a/alat-bukti-sah-menurut-pasal-184-kuhap-lt657ae25924ac9/","accessed":{"date-parts":[["2024","5","24"]]},"author":[{"dropping-particle":"","family":"Renata Christha Auli","given":"","non-dropping-particle":"","parse-names":false,"suffix":""}],"container-title":"Hukum Online.Com","id":"ITEM-1","issued":{"date-parts":[["2023"]]},"title":"Alat Bukti Sah Menurut Pasal 184 KUHAP","type":"webpage"},"uris":["http://www.mendeley.com/documents/?uuid=d0d764e7-89f1-476f-95df-e81d83a3e732"]}],"mendeley":{"formattedCitation":"Renata Christha Auli, “Alat Bukti Sah Menurut Pasal 184 KUHAP,” &lt;i&gt;Hukum Online.Com&lt;/i&gt;, last modified 2023, accessed May 24, 2024, https://www.hukumonline.com/klinik/a/alat-bukti-sah-menurut-pasal-184-kuhap-lt657ae25924ac9/.","manualFormatting":"Renata Christha Auli, “Alat Bukti Sah menurut Pasal 184 KUHAP,” Hukum Online.Com, last modified 2023, accessed May 24, 2024, \rhttps://www.hukumonline.com/klinik/a/alat-bukti-sah-menurut-pasal-184-kuhap-lt657ae25924ac9/.","plainTextFormattedCitation":"Renata Christha Auli, “Alat Bukti Sah Menurut Pasal 184 KUHAP,” Hukum Online.Com, last modified 2023, accessed May 24, 2024, https://www.hukumonline.com/klinik/a/alat-bukti-sah-menurut-pasal-184-kuhap-lt657ae25924ac9/.","previouslyFormattedCitation":"Renata Christha Auli, “Alat Bukti Sah Menurut Pasal 184 KUHAP,” &lt;i&gt;Hukum Online.Com&lt;/i&gt;, last modified 2023, accessed May 24, 2024, https://www.hukumonline.com/klinik/a/alat-bukti-sah-menurut-pasal-184-kuhap-lt657ae25924ac9/."},"properties":{"noteIndex":66},"schema":"https://github.com/citation-style-language/schema/raw/master/csl-citation.json"}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Renata Christha Auli, “Alat Bukti Sah </w:t>
      </w:r>
      <w:r w:rsidR="0082570F">
        <w:rPr>
          <w:rFonts w:asciiTheme="majorBidi" w:hAnsiTheme="majorBidi" w:cstheme="majorBidi"/>
          <w:noProof/>
          <w:sz w:val="18"/>
          <w:szCs w:val="18"/>
        </w:rPr>
        <w:t>m</w:t>
      </w:r>
      <w:r w:rsidRPr="00BC0107">
        <w:rPr>
          <w:rFonts w:asciiTheme="majorBidi" w:hAnsiTheme="majorBidi" w:cstheme="majorBidi"/>
          <w:noProof/>
          <w:sz w:val="18"/>
          <w:szCs w:val="18"/>
        </w:rPr>
        <w:t xml:space="preserve">enurut Pasal 184 KUHAP,” </w:t>
      </w:r>
      <w:r w:rsidRPr="00BC0107">
        <w:rPr>
          <w:rFonts w:asciiTheme="majorBidi" w:hAnsiTheme="majorBidi" w:cstheme="majorBidi"/>
          <w:i/>
          <w:noProof/>
          <w:sz w:val="18"/>
          <w:szCs w:val="18"/>
        </w:rPr>
        <w:t>Hukum</w:t>
      </w:r>
      <w:r w:rsidR="00F6343B">
        <w:rPr>
          <w:rFonts w:asciiTheme="majorBidi" w:hAnsiTheme="majorBidi" w:cstheme="majorBidi"/>
          <w:i/>
          <w:noProof/>
          <w:sz w:val="18"/>
          <w:szCs w:val="18"/>
        </w:rPr>
        <w:t>o</w:t>
      </w:r>
      <w:r w:rsidRPr="00BC0107">
        <w:rPr>
          <w:rFonts w:asciiTheme="majorBidi" w:hAnsiTheme="majorBidi" w:cstheme="majorBidi"/>
          <w:i/>
          <w:noProof/>
          <w:sz w:val="18"/>
          <w:szCs w:val="18"/>
        </w:rPr>
        <w:t>nline.Com</w:t>
      </w:r>
      <w:r w:rsidRPr="00BC0107">
        <w:rPr>
          <w:rFonts w:asciiTheme="majorBidi" w:hAnsiTheme="majorBidi" w:cstheme="majorBidi"/>
          <w:noProof/>
          <w:sz w:val="18"/>
          <w:szCs w:val="18"/>
        </w:rPr>
        <w:t xml:space="preserve">, last modified 2023, accessed May 24, 2024, </w:t>
      </w:r>
    </w:p>
    <w:p w14:paraId="0ABF320A" w14:textId="77777777" w:rsidR="008D372B" w:rsidRPr="00BC0107" w:rsidRDefault="008D372B" w:rsidP="0082570F">
      <w:pPr>
        <w:pStyle w:val="FootnoteText"/>
        <w:jc w:val="both"/>
        <w:rPr>
          <w:rFonts w:asciiTheme="majorBidi" w:hAnsiTheme="majorBidi" w:cstheme="majorBidi"/>
          <w:sz w:val="18"/>
          <w:szCs w:val="18"/>
          <w:lang w:val="en-US"/>
        </w:rPr>
      </w:pPr>
      <w:r w:rsidRPr="00BC0107">
        <w:rPr>
          <w:rFonts w:asciiTheme="majorBidi" w:hAnsiTheme="majorBidi" w:cstheme="majorBidi"/>
          <w:noProof/>
          <w:sz w:val="18"/>
          <w:szCs w:val="18"/>
        </w:rPr>
        <w:t>https://www.hukumonline.com/klinik/a/alat-bukti-sah-menurut-pasal-184-kuhap-lt657ae25924ac9/.</w:t>
      </w:r>
      <w:r w:rsidRPr="00BC0107">
        <w:rPr>
          <w:rFonts w:asciiTheme="majorBidi" w:hAnsiTheme="majorBidi" w:cstheme="majorBidi"/>
          <w:sz w:val="18"/>
          <w:szCs w:val="18"/>
        </w:rPr>
        <w:fldChar w:fldCharType="end"/>
      </w:r>
    </w:p>
  </w:footnote>
  <w:footnote w:id="66">
    <w:p w14:paraId="63EF5072" w14:textId="3FF7417D" w:rsidR="008D372B" w:rsidRPr="00BC0107" w:rsidRDefault="008D372B" w:rsidP="0082570F">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Pr>
          <w:rFonts w:asciiTheme="majorBidi" w:hAnsiTheme="majorBidi" w:cstheme="majorBidi"/>
          <w:sz w:val="18"/>
          <w:szCs w:val="18"/>
        </w:rPr>
        <w:t xml:space="preserve">Lihat di Pasal 188 Ayat 1, </w:t>
      </w:r>
      <w:r w:rsidRPr="00BC0107">
        <w:rPr>
          <w:rFonts w:asciiTheme="majorBidi" w:hAnsiTheme="majorBidi" w:cstheme="majorBidi"/>
          <w:sz w:val="18"/>
          <w:szCs w:val="18"/>
        </w:rPr>
        <w:fldChar w:fldCharType="begin" w:fldLock="1"/>
      </w:r>
      <w:r w:rsidR="00CA04C8">
        <w:rPr>
          <w:rFonts w:asciiTheme="majorBidi" w:hAnsiTheme="majorBidi" w:cstheme="majorBidi"/>
          <w:sz w:val="18"/>
          <w:szCs w:val="18"/>
        </w:rPr>
        <w:instrText>ADDIN CSL_CITATION {"citationItems":[{"id":"ITEM-1","itemData":{"ISBN":"978-979-518-141-5","author":[{"dropping-particle":"","family":"Andi Hamzah","given":"","non-dropping-particle":"","parse-names":false,"suffix":""}],"edition":"cet 20","id":"ITEM-1","issued":{"date-parts":[["2016"]]},"number-of-pages":"432","publisher":"Rineka Cipta","publisher-place":"Jakarta, Indonesia","title":"KUHP dan KUHAP","type":"book"},"uris":["http://www.mendeley.com/documents/?uuid=6a7acdc1-456e-4a33-9142-8886727b093c"]}],"mendeley":{"formattedCitation":"Andi Hamzah, &lt;i&gt;KUHP Dan KUHAP&lt;/i&gt;.","manualFormatting":"Andi Hamzah, KUHP dan KUHAP.","plainTextFormattedCitation":"Andi Hamzah, KUHP Dan KUHAP.","previouslyFormattedCitation":"Andi Hamzah, &lt;i&gt;KUHP Dan KUHAP&lt;/i&gt;."},"properties":{"noteIndex":67},"schema":"https://github.com/citation-style-language/schema/raw/master/csl-citation.json"}</w:instrText>
      </w:r>
      <w:r w:rsidRPr="00BC0107">
        <w:rPr>
          <w:rFonts w:asciiTheme="majorBidi" w:hAnsiTheme="majorBidi" w:cstheme="majorBidi"/>
          <w:sz w:val="18"/>
          <w:szCs w:val="18"/>
        </w:rPr>
        <w:fldChar w:fldCharType="separate"/>
      </w:r>
      <w:r w:rsidRPr="00BC541D">
        <w:rPr>
          <w:rFonts w:asciiTheme="majorBidi" w:hAnsiTheme="majorBidi" w:cstheme="majorBidi"/>
          <w:noProof/>
          <w:sz w:val="18"/>
          <w:szCs w:val="18"/>
        </w:rPr>
        <w:t xml:space="preserve">Andi Hamzah, </w:t>
      </w:r>
      <w:r w:rsidRPr="00BC541D">
        <w:rPr>
          <w:rFonts w:asciiTheme="majorBidi" w:hAnsiTheme="majorBidi" w:cstheme="majorBidi"/>
          <w:i/>
          <w:noProof/>
          <w:sz w:val="18"/>
          <w:szCs w:val="18"/>
        </w:rPr>
        <w:t xml:space="preserve">KUHP </w:t>
      </w:r>
      <w:r>
        <w:rPr>
          <w:rFonts w:asciiTheme="majorBidi" w:hAnsiTheme="majorBidi" w:cstheme="majorBidi"/>
          <w:i/>
          <w:noProof/>
          <w:sz w:val="18"/>
          <w:szCs w:val="18"/>
        </w:rPr>
        <w:t>d</w:t>
      </w:r>
      <w:r w:rsidRPr="00BC541D">
        <w:rPr>
          <w:rFonts w:asciiTheme="majorBidi" w:hAnsiTheme="majorBidi" w:cstheme="majorBidi"/>
          <w:i/>
          <w:noProof/>
          <w:sz w:val="18"/>
          <w:szCs w:val="18"/>
        </w:rPr>
        <w:t>an KUHAP</w:t>
      </w:r>
      <w:r w:rsidRPr="00BC541D">
        <w:rPr>
          <w:rFonts w:asciiTheme="majorBidi" w:hAnsiTheme="majorBidi" w:cstheme="majorBidi"/>
          <w:noProof/>
          <w:sz w:val="18"/>
          <w:szCs w:val="18"/>
        </w:rPr>
        <w:t>.</w:t>
      </w:r>
      <w:r w:rsidRPr="00BC0107">
        <w:rPr>
          <w:rFonts w:asciiTheme="majorBidi" w:hAnsiTheme="majorBidi" w:cstheme="majorBidi"/>
          <w:sz w:val="18"/>
          <w:szCs w:val="18"/>
        </w:rPr>
        <w:fldChar w:fldCharType="end"/>
      </w:r>
    </w:p>
  </w:footnote>
  <w:footnote w:id="67">
    <w:p w14:paraId="6EEE02B2" w14:textId="37F8DCBA" w:rsidR="008D372B" w:rsidRPr="00BC0107" w:rsidRDefault="008D372B" w:rsidP="0082570F">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CA04C8">
        <w:rPr>
          <w:rFonts w:asciiTheme="majorBidi" w:hAnsiTheme="majorBidi" w:cstheme="majorBidi"/>
          <w:sz w:val="18"/>
          <w:szCs w:val="18"/>
        </w:rPr>
        <w:instrText>ADDIN CSL_CITATION {"citationItems":[{"id":"ITEM-1","itemData":{"author":[{"dropping-particle":"","family":"Hulman Panjaitan","given":"Daniel Suhardiman","non-dropping-particle":"","parse-names":false,"suffix":""}],"edition":"Cet 1","id":"ITEM-1","issued":{"date-parts":[["2020"]]},"number-of-pages":"226","publisher":"Rajawali Pers","publisher-place":"Depok","title":"Kemahiran Beracara Pidana","type":"book"},"uris":["http://www.mendeley.com/documents/?uuid=e6a30b8a-8d59-4c1a-8207-9af5bed5d8c0"]}],"mendeley":{"formattedCitation":"Daniel Suhardiman Hulman Panjaitan, &lt;i&gt;Kemahiran Beracara Pidana&lt;/i&gt;, Cet 1. (Depok: Rajawali Pers, 2020).","plainTextFormattedCitation":"Daniel Suhardiman Hulman Panjaitan, Kemahiran Beracara Pidana, Cet 1. (Depok: Rajawali Pers, 2020).","previouslyFormattedCitation":"Daniel Suhardiman Hulman Panjaitan, &lt;i&gt;Kemahiran Beracara Pidana&lt;/i&gt;, Cet 1. (Depok: Rajawali Pers, 2020)."},"properties":{"noteIndex":68},"schema":"https://github.com/citation-style-language/schema/raw/master/csl-citation.json"}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Daniel Suhardiman Hulman Panjaitan, </w:t>
      </w:r>
      <w:r w:rsidRPr="00BC0107">
        <w:rPr>
          <w:rFonts w:asciiTheme="majorBidi" w:hAnsiTheme="majorBidi" w:cstheme="majorBidi"/>
          <w:i/>
          <w:noProof/>
          <w:sz w:val="18"/>
          <w:szCs w:val="18"/>
        </w:rPr>
        <w:t>Kemahiran Beracara Pidana</w:t>
      </w:r>
      <w:r w:rsidRPr="00BC0107">
        <w:rPr>
          <w:rFonts w:asciiTheme="majorBidi" w:hAnsiTheme="majorBidi" w:cstheme="majorBidi"/>
          <w:noProof/>
          <w:sz w:val="18"/>
          <w:szCs w:val="18"/>
        </w:rPr>
        <w:t>, Cet 1. (Depok: Rajawali Pers, 2020).</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 xml:space="preserve">,  </w:t>
      </w:r>
      <w:r>
        <w:rPr>
          <w:rFonts w:asciiTheme="majorBidi" w:hAnsiTheme="majorBidi" w:cstheme="majorBidi"/>
          <w:sz w:val="18"/>
          <w:szCs w:val="18"/>
        </w:rPr>
        <w:t xml:space="preserve">hlm </w:t>
      </w:r>
      <w:r w:rsidRPr="00BC0107">
        <w:rPr>
          <w:rFonts w:asciiTheme="majorBidi" w:hAnsiTheme="majorBidi" w:cstheme="majorBidi"/>
          <w:sz w:val="18"/>
          <w:szCs w:val="18"/>
        </w:rPr>
        <w:t>82-83</w:t>
      </w:r>
    </w:p>
  </w:footnote>
  <w:footnote w:id="68">
    <w:p w14:paraId="3BEA6C56" w14:textId="7B6230CF" w:rsidR="008D372B" w:rsidRPr="00BC0107" w:rsidRDefault="008D372B" w:rsidP="0082570F">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82570F">
        <w:rPr>
          <w:rFonts w:asciiTheme="majorBidi" w:hAnsiTheme="majorBidi" w:cstheme="majorBidi"/>
          <w:sz w:val="18"/>
          <w:szCs w:val="18"/>
        </w:rPr>
        <w:instrText>ADDIN CSL_CITATION {"citationItems":[{"id":"ITEM-1","itemData":{"author":[{"dropping-particle":"","family":"Kadi Sukarna","given":"","non-dropping-particle":"","parse-names":false,"suffix":""}],"edition":"Cet 1","id":"ITEM-1","issued":{"date-parts":[["2016"]]},"number-of-pages":"344","publisher":"UnnesPress","publisher-place":"Semarang","title":"Alat Bukti Petunjuk Menurut KUHP Dalam Perspektif Teori Keadilan","type":"book"},"uris":["http://www.mendeley.com/documents/?uuid=15502d7d-77df-4c72-9503-d9814f2d7fb8"]}],"mendeley":{"formattedCitation":"Kadi Sukarna, &lt;i&gt;Alat Bukti Petunjuk Menurut KUHP Dalam Perspektif Teori Keadilan&lt;/i&gt;, Cet 1. (Semarang: UnnesPress, 2016).","manualFormatting":"Kadi Sukarna, Alat Bukti Petunjuk menurut KUHP dalam Perspektif Teori Keadilan, Cet 1. (Semarang: UnnesPress, 2016).","plainTextFormattedCitation":"Kadi Sukarna, Alat Bukti Petunjuk Menurut KUHP Dalam Perspektif Teori Keadilan, Cet 1. (Semarang: UnnesPress, 2016).","previouslyFormattedCitation":"Kadi Sukarna, &lt;i&gt;Alat Bukti Petunjuk Menurut KUHP Dalam Perspektif Teori Keadilan&lt;/i&gt;, Cet 1. (Semarang: UnnesPress, 2016)."},"properties":{"noteIndex":69},"schema":"https://github.com/citation-style-language/schema/raw/master/csl-citation.json"}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Kadi Sukarna, </w:t>
      </w:r>
      <w:r w:rsidRPr="00BC0107">
        <w:rPr>
          <w:rFonts w:asciiTheme="majorBidi" w:hAnsiTheme="majorBidi" w:cstheme="majorBidi"/>
          <w:i/>
          <w:noProof/>
          <w:sz w:val="18"/>
          <w:szCs w:val="18"/>
        </w:rPr>
        <w:t xml:space="preserve">Alat Bukti Petunjuk </w:t>
      </w:r>
      <w:r w:rsidR="0082570F">
        <w:rPr>
          <w:rFonts w:asciiTheme="majorBidi" w:hAnsiTheme="majorBidi" w:cstheme="majorBidi"/>
          <w:i/>
          <w:noProof/>
          <w:sz w:val="18"/>
          <w:szCs w:val="18"/>
        </w:rPr>
        <w:t>m</w:t>
      </w:r>
      <w:r w:rsidRPr="00BC0107">
        <w:rPr>
          <w:rFonts w:asciiTheme="majorBidi" w:hAnsiTheme="majorBidi" w:cstheme="majorBidi"/>
          <w:i/>
          <w:noProof/>
          <w:sz w:val="18"/>
          <w:szCs w:val="18"/>
        </w:rPr>
        <w:t xml:space="preserve">enurut KUHP </w:t>
      </w:r>
      <w:r>
        <w:rPr>
          <w:rFonts w:asciiTheme="majorBidi" w:hAnsiTheme="majorBidi" w:cstheme="majorBidi"/>
          <w:i/>
          <w:noProof/>
          <w:sz w:val="18"/>
          <w:szCs w:val="18"/>
        </w:rPr>
        <w:t>d</w:t>
      </w:r>
      <w:r w:rsidRPr="00BC0107">
        <w:rPr>
          <w:rFonts w:asciiTheme="majorBidi" w:hAnsiTheme="majorBidi" w:cstheme="majorBidi"/>
          <w:i/>
          <w:noProof/>
          <w:sz w:val="18"/>
          <w:szCs w:val="18"/>
        </w:rPr>
        <w:t>alam Perspektif Teori Keadilan</w:t>
      </w:r>
      <w:r w:rsidRPr="00BC0107">
        <w:rPr>
          <w:rFonts w:asciiTheme="majorBidi" w:hAnsiTheme="majorBidi" w:cstheme="majorBidi"/>
          <w:noProof/>
          <w:sz w:val="18"/>
          <w:szCs w:val="18"/>
        </w:rPr>
        <w:t>, Cet 1. (Semarang: Unnes</w:t>
      </w:r>
      <w:r w:rsidR="00F6343B">
        <w:rPr>
          <w:rFonts w:asciiTheme="majorBidi" w:hAnsiTheme="majorBidi" w:cstheme="majorBidi"/>
          <w:noProof/>
          <w:sz w:val="18"/>
          <w:szCs w:val="18"/>
        </w:rPr>
        <w:t xml:space="preserve"> </w:t>
      </w:r>
      <w:r w:rsidRPr="00BC0107">
        <w:rPr>
          <w:rFonts w:asciiTheme="majorBidi" w:hAnsiTheme="majorBidi" w:cstheme="majorBidi"/>
          <w:noProof/>
          <w:sz w:val="18"/>
          <w:szCs w:val="18"/>
        </w:rPr>
        <w:t>Press, 2016).</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 xml:space="preserve">, </w:t>
      </w:r>
      <w:r>
        <w:rPr>
          <w:rFonts w:asciiTheme="majorBidi" w:hAnsiTheme="majorBidi" w:cstheme="majorBidi"/>
          <w:sz w:val="18"/>
          <w:szCs w:val="18"/>
        </w:rPr>
        <w:t xml:space="preserve">hlm </w:t>
      </w:r>
      <w:r w:rsidRPr="00BC0107">
        <w:rPr>
          <w:rFonts w:asciiTheme="majorBidi" w:hAnsiTheme="majorBidi" w:cstheme="majorBidi"/>
          <w:sz w:val="18"/>
          <w:szCs w:val="18"/>
        </w:rPr>
        <w:t>278-279</w:t>
      </w:r>
    </w:p>
  </w:footnote>
  <w:footnote w:id="69">
    <w:p w14:paraId="2B4AFAE2" w14:textId="6E4D16E9" w:rsidR="008D372B" w:rsidRDefault="008D372B" w:rsidP="0082570F">
      <w:pPr>
        <w:pStyle w:val="FootnoteText"/>
        <w:ind w:firstLine="720"/>
        <w:jc w:val="both"/>
        <w:rPr>
          <w:rFonts w:asciiTheme="majorBidi" w:hAnsiTheme="majorBidi" w:cstheme="majorBidi"/>
          <w:noProof/>
          <w:sz w:val="18"/>
          <w:szCs w:val="18"/>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CA04C8">
        <w:rPr>
          <w:rFonts w:asciiTheme="majorBidi" w:hAnsiTheme="majorBidi" w:cstheme="majorBidi"/>
          <w:sz w:val="18"/>
          <w:szCs w:val="18"/>
        </w:rPr>
        <w:instrText>ADDIN CSL_CITATION {"citationItems":[{"id":"ITEM-1","itemData":{"URL":"https://www.hukumonline.com/klinik/a/kekuatan-pembuktian-pengakuan-terdakwa-di-persidangan-lt52e015b3902e6/","accessed":{"date-parts":[["2024","5","24"]]},"author":[{"dropping-particle":"","family":"Tri Jata Ayu Pramesti","given":"","non-dropping-particle":"","parse-names":false,"suffix":""}],"container-title":"Hukum Online.Com","id":"ITEM-1","issued":{"date-parts":[["2014"]]},"title":"Kekuatan Pembuktian Pengakuan Terdakwa di Persidangan","type":"webpage"},"uris":["http://www.mendeley.com/documents/?uuid=ba98cb2e-4cee-4957-a0d9-cebfbee3d18c"]}],"mendeley":{"formattedCitation":"Tri Jata Ayu Pramesti, “Kekuatan Pembuktian Pengakuan Terdakwa Di Persidangan,” &lt;i&gt;Hukum Online.Com&lt;/i&gt;, last modified 2014, accessed May 24, 2024, https://www.hukumonline.com/klinik/a/kekuatan-pembuktian-pengakuan-terdakwa-di-persidangan-lt52e015b3902e6/.","manualFormatting":"Tri Jata Ayu Pramesti, “Kekuatan Pembuktian Pengakuan Terdakwa Di Persidangan,” Hukum Online.Com, last modified 2014, accessed May 24, 2024, \rhttps://www.hukumonline.com/klinik/a/kekuatan-pembuktian-pengakuan-terdakwa-di-persidangan-lt52e015b3902e6/.","plainTextFormattedCitation":"Tri Jata Ayu Pramesti, “Kekuatan Pembuktian Pengakuan Terdakwa Di Persidangan,” Hukum Online.Com, last modified 2014, accessed May 24, 2024, https://www.hukumonline.com/klinik/a/kekuatan-pembuktian-pengakuan-terdakwa-di-persidangan-lt52e015b3902e6/.","previouslyFormattedCitation":"Tri Jata Ayu Pramesti, “Kekuatan Pembuktian Pengakuan Terdakwa Di Persidangan,” &lt;i&gt;Hukum Online.Com&lt;/i&gt;, last modified 2014, accessed May 24, 2024, https://www.hukumonline.com/klinik/a/kekuatan-pembuktian-pengakuan-terdakwa-di-persidangan-lt52e015b3902e6/."},"properties":{"noteIndex":70},"schema":"https://github.com/citation-style-language/schema/raw/master/csl-citation.json"}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Tri Jata Ayu Pramesti, “Kekuatan Pembuktian Pengakuan Terdakwa Di Persidangan,” </w:t>
      </w:r>
      <w:r w:rsidRPr="00BC0107">
        <w:rPr>
          <w:rFonts w:asciiTheme="majorBidi" w:hAnsiTheme="majorBidi" w:cstheme="majorBidi"/>
          <w:i/>
          <w:noProof/>
          <w:sz w:val="18"/>
          <w:szCs w:val="18"/>
        </w:rPr>
        <w:t>Hukum</w:t>
      </w:r>
      <w:r w:rsidR="00F6343B">
        <w:rPr>
          <w:rFonts w:asciiTheme="majorBidi" w:hAnsiTheme="majorBidi" w:cstheme="majorBidi"/>
          <w:i/>
          <w:noProof/>
          <w:sz w:val="18"/>
          <w:szCs w:val="18"/>
        </w:rPr>
        <w:t>o</w:t>
      </w:r>
      <w:r w:rsidRPr="00BC0107">
        <w:rPr>
          <w:rFonts w:asciiTheme="majorBidi" w:hAnsiTheme="majorBidi" w:cstheme="majorBidi"/>
          <w:i/>
          <w:noProof/>
          <w:sz w:val="18"/>
          <w:szCs w:val="18"/>
        </w:rPr>
        <w:t>nline.Com</w:t>
      </w:r>
      <w:r w:rsidRPr="00BC0107">
        <w:rPr>
          <w:rFonts w:asciiTheme="majorBidi" w:hAnsiTheme="majorBidi" w:cstheme="majorBidi"/>
          <w:noProof/>
          <w:sz w:val="18"/>
          <w:szCs w:val="18"/>
        </w:rPr>
        <w:t xml:space="preserve">, last modified 2014, accessed May 24, 2024, </w:t>
      </w:r>
    </w:p>
    <w:p w14:paraId="76876932" w14:textId="77777777" w:rsidR="008D372B" w:rsidRPr="00BC0107" w:rsidRDefault="008D372B" w:rsidP="0082570F">
      <w:pPr>
        <w:pStyle w:val="FootnoteText"/>
        <w:jc w:val="both"/>
        <w:rPr>
          <w:rFonts w:asciiTheme="majorBidi" w:hAnsiTheme="majorBidi" w:cstheme="majorBidi"/>
          <w:sz w:val="18"/>
          <w:szCs w:val="18"/>
          <w:lang w:val="en-US"/>
        </w:rPr>
      </w:pPr>
      <w:r w:rsidRPr="00BC0107">
        <w:rPr>
          <w:rFonts w:asciiTheme="majorBidi" w:hAnsiTheme="majorBidi" w:cstheme="majorBidi"/>
          <w:noProof/>
          <w:sz w:val="18"/>
          <w:szCs w:val="18"/>
        </w:rPr>
        <w:t>https://www.hukumonline.com/klinik/a/kekuatan-pembuktian-pengakuan-terdakwa-di-persidangan-lt52e015b3902e6/.</w:t>
      </w:r>
      <w:r w:rsidRPr="00BC0107">
        <w:rPr>
          <w:rFonts w:asciiTheme="majorBidi" w:hAnsiTheme="majorBidi" w:cstheme="majorBidi"/>
          <w:sz w:val="18"/>
          <w:szCs w:val="18"/>
        </w:rPr>
        <w:fldChar w:fldCharType="end"/>
      </w:r>
    </w:p>
  </w:footnote>
  <w:footnote w:id="70">
    <w:p w14:paraId="43DB8CBD" w14:textId="1FF88482" w:rsidR="008D372B" w:rsidRPr="00BC0107" w:rsidRDefault="008D372B" w:rsidP="0082570F">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Pr>
          <w:rFonts w:asciiTheme="majorBidi" w:hAnsiTheme="majorBidi" w:cstheme="majorBidi"/>
          <w:sz w:val="18"/>
          <w:szCs w:val="18"/>
        </w:rPr>
        <w:t xml:space="preserve">Lihat di Pasal 189, </w:t>
      </w:r>
      <w:r w:rsidRPr="00BC0107">
        <w:rPr>
          <w:rFonts w:asciiTheme="majorBidi" w:hAnsiTheme="majorBidi" w:cstheme="majorBidi"/>
          <w:sz w:val="18"/>
          <w:szCs w:val="18"/>
        </w:rPr>
        <w:fldChar w:fldCharType="begin" w:fldLock="1"/>
      </w:r>
      <w:r w:rsidR="00CA04C8">
        <w:rPr>
          <w:rFonts w:asciiTheme="majorBidi" w:hAnsiTheme="majorBidi" w:cstheme="majorBidi"/>
          <w:sz w:val="18"/>
          <w:szCs w:val="18"/>
        </w:rPr>
        <w:instrText>ADDIN CSL_CITATION {"citationItems":[{"id":"ITEM-1","itemData":{"ISBN":"978-979-518-141-5","author":[{"dropping-particle":"","family":"Andi Hamzah","given":"","non-dropping-particle":"","parse-names":false,"suffix":""}],"edition":"cet 20","id":"ITEM-1","issued":{"date-parts":[["2016"]]},"number-of-pages":"432","publisher":"Rineka Cipta","publisher-place":"Jakarta, Indonesia","title":"KUHP dan KUHAP","type":"book"},"uris":["http://www.mendeley.com/documents/?uuid=6a7acdc1-456e-4a33-9142-8886727b093c"]}],"mendeley":{"formattedCitation":"Andi Hamzah, &lt;i&gt;KUHP Dan KUHAP&lt;/i&gt;.","manualFormatting":"Andi Hamzah, KUHP dan KUHAP.","plainTextFormattedCitation":"Andi Hamzah, KUHP Dan KUHAP.","previouslyFormattedCitation":"Andi Hamzah, &lt;i&gt;KUHP Dan KUHAP&lt;/i&gt;."},"properties":{"noteIndex":71},"schema":"https://github.com/citation-style-language/schema/raw/master/csl-citation.json"}</w:instrText>
      </w:r>
      <w:r w:rsidRPr="00BC0107">
        <w:rPr>
          <w:rFonts w:asciiTheme="majorBidi" w:hAnsiTheme="majorBidi" w:cstheme="majorBidi"/>
          <w:sz w:val="18"/>
          <w:szCs w:val="18"/>
        </w:rPr>
        <w:fldChar w:fldCharType="separate"/>
      </w:r>
      <w:r w:rsidRPr="00BC541D">
        <w:rPr>
          <w:rFonts w:asciiTheme="majorBidi" w:hAnsiTheme="majorBidi" w:cstheme="majorBidi"/>
          <w:noProof/>
          <w:sz w:val="18"/>
          <w:szCs w:val="18"/>
        </w:rPr>
        <w:t xml:space="preserve">Andi Hamzah, </w:t>
      </w:r>
      <w:r w:rsidRPr="00BC541D">
        <w:rPr>
          <w:rFonts w:asciiTheme="majorBidi" w:hAnsiTheme="majorBidi" w:cstheme="majorBidi"/>
          <w:i/>
          <w:noProof/>
          <w:sz w:val="18"/>
          <w:szCs w:val="18"/>
        </w:rPr>
        <w:t xml:space="preserve">KUHP </w:t>
      </w:r>
      <w:r>
        <w:rPr>
          <w:rFonts w:asciiTheme="majorBidi" w:hAnsiTheme="majorBidi" w:cstheme="majorBidi"/>
          <w:i/>
          <w:noProof/>
          <w:sz w:val="18"/>
          <w:szCs w:val="18"/>
        </w:rPr>
        <w:t>d</w:t>
      </w:r>
      <w:r w:rsidRPr="00BC541D">
        <w:rPr>
          <w:rFonts w:asciiTheme="majorBidi" w:hAnsiTheme="majorBidi" w:cstheme="majorBidi"/>
          <w:i/>
          <w:noProof/>
          <w:sz w:val="18"/>
          <w:szCs w:val="18"/>
        </w:rPr>
        <w:t>an KUHAP</w:t>
      </w:r>
      <w:r w:rsidRPr="00BC541D">
        <w:rPr>
          <w:rFonts w:asciiTheme="majorBidi" w:hAnsiTheme="majorBidi" w:cstheme="majorBidi"/>
          <w:noProof/>
          <w:sz w:val="18"/>
          <w:szCs w:val="18"/>
        </w:rPr>
        <w:t>.</w:t>
      </w:r>
      <w:r w:rsidRPr="00BC0107">
        <w:rPr>
          <w:rFonts w:asciiTheme="majorBidi" w:hAnsiTheme="majorBidi" w:cstheme="majorBidi"/>
          <w:sz w:val="18"/>
          <w:szCs w:val="18"/>
        </w:rPr>
        <w:fldChar w:fldCharType="end"/>
      </w:r>
    </w:p>
  </w:footnote>
  <w:footnote w:id="71">
    <w:p w14:paraId="58B305F3" w14:textId="25A7EF00" w:rsidR="008D372B" w:rsidRPr="00BC0107" w:rsidRDefault="008D372B" w:rsidP="0082570F">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CA04C8">
        <w:rPr>
          <w:rFonts w:asciiTheme="majorBidi" w:hAnsiTheme="majorBidi" w:cstheme="majorBidi"/>
          <w:sz w:val="18"/>
          <w:szCs w:val="18"/>
        </w:rPr>
        <w:instrText>ADDIN CSL_CITATION {"citationItems":[{"id":"ITEM-1","itemData":{"author":[{"dropping-particle":"","family":"Hulman Panjaitan","given":"Daniel Suhardiman","non-dropping-particle":"","parse-names":false,"suffix":""}],"edition":"Cet 1","id":"ITEM-1","issued":{"date-parts":[["2020"]]},"number-of-pages":"226","publisher":"Rajawali Pers","publisher-place":"Depok","title":"Kemahiran Beracara Pidana","type":"book"},"uris":["http://www.mendeley.com/documents/?uuid=e6a30b8a-8d59-4c1a-8207-9af5bed5d8c0"]}],"mendeley":{"formattedCitation":"Hulman Panjaitan, &lt;i&gt;Kemahiran Beracara Pidana&lt;/i&gt;.","plainTextFormattedCitation":"Hulman Panjaitan, Kemahiran Beracara Pidana.","previouslyFormattedCitation":"Hulman Panjaitan, &lt;i&gt;Kemahiran Beracara Pidana&lt;/i&gt;."},"properties":{"noteIndex":72},"schema":"https://github.com/citation-style-language/schema/raw/master/csl-citation.json"}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Hulman Panjaitan, </w:t>
      </w:r>
      <w:r w:rsidRPr="00BC0107">
        <w:rPr>
          <w:rFonts w:asciiTheme="majorBidi" w:hAnsiTheme="majorBidi" w:cstheme="majorBidi"/>
          <w:i/>
          <w:noProof/>
          <w:sz w:val="18"/>
          <w:szCs w:val="18"/>
        </w:rPr>
        <w:t>Kemahiran Beracara Pidana</w:t>
      </w:r>
      <w:r w:rsidRPr="00BC0107">
        <w:rPr>
          <w:rFonts w:asciiTheme="majorBidi" w:hAnsiTheme="majorBidi" w:cstheme="majorBidi"/>
          <w:noProof/>
          <w:sz w:val="18"/>
          <w:szCs w:val="18"/>
        </w:rPr>
        <w:t>.</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 xml:space="preserve">, </w:t>
      </w:r>
      <w:r>
        <w:rPr>
          <w:rFonts w:asciiTheme="majorBidi" w:hAnsiTheme="majorBidi" w:cstheme="majorBidi"/>
          <w:sz w:val="18"/>
          <w:szCs w:val="18"/>
        </w:rPr>
        <w:t>h</w:t>
      </w:r>
      <w:r w:rsidRPr="00BC0107">
        <w:rPr>
          <w:rFonts w:asciiTheme="majorBidi" w:hAnsiTheme="majorBidi" w:cstheme="majorBidi"/>
          <w:sz w:val="18"/>
          <w:szCs w:val="18"/>
        </w:rPr>
        <w:t>lm 84</w:t>
      </w:r>
    </w:p>
  </w:footnote>
  <w:footnote w:id="72">
    <w:p w14:paraId="66F82C91" w14:textId="29790BA7" w:rsidR="008D372B" w:rsidRPr="00BC0107" w:rsidRDefault="008D372B" w:rsidP="0082570F">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82570F">
        <w:rPr>
          <w:rFonts w:asciiTheme="majorBidi" w:hAnsiTheme="majorBidi" w:cstheme="majorBidi"/>
          <w:sz w:val="18"/>
          <w:szCs w:val="18"/>
        </w:rPr>
        <w:instrText>ADDIN CSL_CITATION {"citationItems":[{"id":"ITEM-1","itemData":{"author":[{"dropping-particle":"","family":"Teguh Syuhada Lubis","given":"","non-dropping-particle":"","parse-names":false,"suffix":""}],"edition":"cet.1","editor":[{"dropping-particle":"","family":"Fajaruddin","given":"","non-dropping-particle":"","parse-names":false,"suffix":""}],"id":"ITEM-1","issued":{"date-parts":[["2021"]]},"number-of-pages":"295","publisher":"CV. Pustaka Prima","publisher-place":"Medan","title":"Hukum Pembuktian Dalam Peradilan di Indonesia","type":"book"},"uris":["http://www.mendeley.com/documents/?uuid=aa9a9dae-974e-4dde-9020-524fd4f6dbef"]}],"mendeley":{"formattedCitation":"Teguh Syuhada Lubis, &lt;i&gt;Hukum Pembuktian Dalam Peradilan Di Indonesia&lt;/i&gt;.","manualFormatting":"Teguh Syuhada Lubis, Hukum Pembuktian dalam Peradilan di Indonesia.","plainTextFormattedCitation":"Teguh Syuhada Lubis, Hukum Pembuktian Dalam Peradilan Di Indonesia.","previouslyFormattedCitation":"Teguh Syuhada Lubis, &lt;i&gt;Hukum Pembuktian Dalam Peradilan Di Indonesia&lt;/i&gt;."},"properties":{"noteIndex":73},"schema":"https://github.com/citation-style-language/schema/raw/master/csl-citation.json"}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Teguh Syuhada Lubis, </w:t>
      </w:r>
      <w:r w:rsidRPr="00BC0107">
        <w:rPr>
          <w:rFonts w:asciiTheme="majorBidi" w:hAnsiTheme="majorBidi" w:cstheme="majorBidi"/>
          <w:i/>
          <w:noProof/>
          <w:sz w:val="18"/>
          <w:szCs w:val="18"/>
        </w:rPr>
        <w:t xml:space="preserve">Hukum Pembuktian </w:t>
      </w:r>
      <w:r>
        <w:rPr>
          <w:rFonts w:asciiTheme="majorBidi" w:hAnsiTheme="majorBidi" w:cstheme="majorBidi"/>
          <w:i/>
          <w:noProof/>
          <w:sz w:val="18"/>
          <w:szCs w:val="18"/>
        </w:rPr>
        <w:t>d</w:t>
      </w:r>
      <w:r w:rsidRPr="00BC0107">
        <w:rPr>
          <w:rFonts w:asciiTheme="majorBidi" w:hAnsiTheme="majorBidi" w:cstheme="majorBidi"/>
          <w:i/>
          <w:noProof/>
          <w:sz w:val="18"/>
          <w:szCs w:val="18"/>
        </w:rPr>
        <w:t xml:space="preserve">alam Peradilan </w:t>
      </w:r>
      <w:r w:rsidR="0082570F">
        <w:rPr>
          <w:rFonts w:asciiTheme="majorBidi" w:hAnsiTheme="majorBidi" w:cstheme="majorBidi"/>
          <w:i/>
          <w:noProof/>
          <w:sz w:val="18"/>
          <w:szCs w:val="18"/>
        </w:rPr>
        <w:t>d</w:t>
      </w:r>
      <w:r w:rsidRPr="00BC0107">
        <w:rPr>
          <w:rFonts w:asciiTheme="majorBidi" w:hAnsiTheme="majorBidi" w:cstheme="majorBidi"/>
          <w:i/>
          <w:noProof/>
          <w:sz w:val="18"/>
          <w:szCs w:val="18"/>
        </w:rPr>
        <w:t>i Indonesia</w:t>
      </w:r>
      <w:r w:rsidRPr="00BC0107">
        <w:rPr>
          <w:rFonts w:asciiTheme="majorBidi" w:hAnsiTheme="majorBidi" w:cstheme="majorBidi"/>
          <w:noProof/>
          <w:sz w:val="18"/>
          <w:szCs w:val="18"/>
        </w:rPr>
        <w:t>.</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 xml:space="preserve">, </w:t>
      </w:r>
      <w:r>
        <w:rPr>
          <w:rFonts w:asciiTheme="majorBidi" w:hAnsiTheme="majorBidi" w:cstheme="majorBidi"/>
          <w:sz w:val="18"/>
          <w:szCs w:val="18"/>
        </w:rPr>
        <w:t>h</w:t>
      </w:r>
      <w:r w:rsidRPr="00BC0107">
        <w:rPr>
          <w:rFonts w:asciiTheme="majorBidi" w:hAnsiTheme="majorBidi" w:cstheme="majorBidi"/>
          <w:sz w:val="18"/>
          <w:szCs w:val="18"/>
        </w:rPr>
        <w:t>lm 71</w:t>
      </w:r>
    </w:p>
  </w:footnote>
  <w:footnote w:id="73">
    <w:p w14:paraId="59D2A917" w14:textId="35F4E527" w:rsidR="008D372B" w:rsidRPr="00BC0107" w:rsidRDefault="008D372B" w:rsidP="0082570F">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Pr>
          <w:rFonts w:asciiTheme="majorBidi" w:hAnsiTheme="majorBidi" w:cstheme="majorBidi"/>
          <w:sz w:val="18"/>
          <w:szCs w:val="18"/>
        </w:rPr>
        <w:t xml:space="preserve">Lihat di Pasal 1 Ayat 26, </w:t>
      </w:r>
      <w:r w:rsidRPr="00BC0107">
        <w:rPr>
          <w:rFonts w:asciiTheme="majorBidi" w:hAnsiTheme="majorBidi" w:cstheme="majorBidi"/>
          <w:sz w:val="18"/>
          <w:szCs w:val="18"/>
        </w:rPr>
        <w:fldChar w:fldCharType="begin" w:fldLock="1"/>
      </w:r>
      <w:r w:rsidR="00CA04C8">
        <w:rPr>
          <w:rFonts w:asciiTheme="majorBidi" w:hAnsiTheme="majorBidi" w:cstheme="majorBidi"/>
          <w:sz w:val="18"/>
          <w:szCs w:val="18"/>
        </w:rPr>
        <w:instrText>ADDIN CSL_CITATION {"citationItems":[{"id":"ITEM-1","itemData":{"ISBN":"978-979-518-141-5","author":[{"dropping-particle":"","family":"Andi Hamzah","given":"","non-dropping-particle":"","parse-names":false,"suffix":""}],"edition":"cet 20","id":"ITEM-1","issued":{"date-parts":[["2016"]]},"number-of-pages":"432","publisher":"Rineka Cipta","publisher-place":"Jakarta, Indonesia","title":"KUHP dan KUHAP","type":"book"},"uris":["http://www.mendeley.com/documents/?uuid=6a7acdc1-456e-4a33-9142-8886727b093c"]}],"mendeley":{"formattedCitation":"Andi Hamzah, &lt;i&gt;KUHP Dan KUHAP&lt;/i&gt;.","manualFormatting":"Andi Hamzah, KUHP dan KUHAP.","plainTextFormattedCitation":"Andi Hamzah, KUHP Dan KUHAP.","previouslyFormattedCitation":"Andi Hamzah, &lt;i&gt;KUHP Dan KUHAP&lt;/i&gt;."},"properties":{"noteIndex":74},"schema":"https://github.com/citation-style-language/schema/raw/master/csl-citation.json"}</w:instrText>
      </w:r>
      <w:r w:rsidRPr="00BC0107">
        <w:rPr>
          <w:rFonts w:asciiTheme="majorBidi" w:hAnsiTheme="majorBidi" w:cstheme="majorBidi"/>
          <w:sz w:val="18"/>
          <w:szCs w:val="18"/>
        </w:rPr>
        <w:fldChar w:fldCharType="separate"/>
      </w:r>
      <w:r w:rsidRPr="00BC541D">
        <w:rPr>
          <w:rFonts w:asciiTheme="majorBidi" w:hAnsiTheme="majorBidi" w:cstheme="majorBidi"/>
          <w:noProof/>
          <w:sz w:val="18"/>
          <w:szCs w:val="18"/>
        </w:rPr>
        <w:t xml:space="preserve">Andi Hamzah, </w:t>
      </w:r>
      <w:r w:rsidRPr="00BC541D">
        <w:rPr>
          <w:rFonts w:asciiTheme="majorBidi" w:hAnsiTheme="majorBidi" w:cstheme="majorBidi"/>
          <w:i/>
          <w:noProof/>
          <w:sz w:val="18"/>
          <w:szCs w:val="18"/>
        </w:rPr>
        <w:t xml:space="preserve">KUHP </w:t>
      </w:r>
      <w:r>
        <w:rPr>
          <w:rFonts w:asciiTheme="majorBidi" w:hAnsiTheme="majorBidi" w:cstheme="majorBidi"/>
          <w:i/>
          <w:noProof/>
          <w:sz w:val="18"/>
          <w:szCs w:val="18"/>
        </w:rPr>
        <w:t>d</w:t>
      </w:r>
      <w:r w:rsidRPr="00BC541D">
        <w:rPr>
          <w:rFonts w:asciiTheme="majorBidi" w:hAnsiTheme="majorBidi" w:cstheme="majorBidi"/>
          <w:i/>
          <w:noProof/>
          <w:sz w:val="18"/>
          <w:szCs w:val="18"/>
        </w:rPr>
        <w:t>an KUHAP</w:t>
      </w:r>
      <w:r w:rsidRPr="00BC541D">
        <w:rPr>
          <w:rFonts w:asciiTheme="majorBidi" w:hAnsiTheme="majorBidi" w:cstheme="majorBidi"/>
          <w:noProof/>
          <w:sz w:val="18"/>
          <w:szCs w:val="18"/>
        </w:rPr>
        <w:t>.</w:t>
      </w:r>
      <w:r w:rsidRPr="00BC0107">
        <w:rPr>
          <w:rFonts w:asciiTheme="majorBidi" w:hAnsiTheme="majorBidi" w:cstheme="majorBidi"/>
          <w:sz w:val="18"/>
          <w:szCs w:val="18"/>
        </w:rPr>
        <w:fldChar w:fldCharType="end"/>
      </w:r>
    </w:p>
  </w:footnote>
  <w:footnote w:id="74">
    <w:p w14:paraId="01ADBF36" w14:textId="3B895639" w:rsidR="008D372B" w:rsidRPr="00BC0107" w:rsidRDefault="008D372B" w:rsidP="0082570F">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CA04C8">
        <w:rPr>
          <w:rFonts w:asciiTheme="majorBidi" w:hAnsiTheme="majorBidi" w:cstheme="majorBidi"/>
          <w:sz w:val="18"/>
          <w:szCs w:val="18"/>
        </w:rPr>
        <w:instrText>ADDIN CSL_CITATION {"citationItems":[{"id":"ITEM-1","itemData":{"author":[{"dropping-particle":"","family":"Achmad Edi Subiyanto","given":"Oly Viana Agustine","non-dropping-particle":"","parse-names":false,"suffix":""}],"edition":"Cet 1","id":"ITEM-1","issued":{"date-parts":[["2019"]]},"number-of-pages":"232","publisher":"PT. Rajagrafindo Persada","publisher-place":"Depok","title":"Yurisprudensi Hukum Acara Pidana Dalam Putusan Mahkamah Konstitusi","type":"book"},"uris":["http://www.mendeley.com/documents/?uuid=8356ab4d-443e-4e0e-8dbf-2128b76abd91"]}],"mendeley":{"formattedCitation":"Oly Viana Agustine Achmad Edi Subiyanto, &lt;i&gt;Yurisprudensi Hukum Acara Pidana Dalam Putusan Mahkamah Konstitusi&lt;/i&gt;, Cet 1. (Depok: PT. Rajagrafindo Persada, 2019).","manualFormatting":"Oly Viana Agustine Achmad Edi Subiyanto, Yurisprudensi Hukum Acara Pidana dalam Putusan Mahkamah Konstitusi, Cet 1. (Depok: PT. Rajagrafindo Persada, 2019).","plainTextFormattedCitation":"Oly Viana Agustine Achmad Edi Subiyanto, Yurisprudensi Hukum Acara Pidana Dalam Putusan Mahkamah Konstitusi, Cet 1. (Depok: PT. Rajagrafindo Persada, 2019).","previouslyFormattedCitation":"Oly Viana Agustine Achmad Edi Subiyanto, &lt;i&gt;Yurisprudensi Hukum Acara Pidana Dalam Putusan Mahkamah Konstitusi&lt;/i&gt;, Cet 1. (Depok: PT. Rajagrafindo Persada, 2019)."},"properties":{"noteIndex":75},"schema":"https://github.com/citation-style-language/schema/raw/master/csl-citation.json"}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Oly Viana Agustine Achmad Edi Subiyanto, </w:t>
      </w:r>
      <w:r w:rsidRPr="00BC0107">
        <w:rPr>
          <w:rFonts w:asciiTheme="majorBidi" w:hAnsiTheme="majorBidi" w:cstheme="majorBidi"/>
          <w:i/>
          <w:noProof/>
          <w:sz w:val="18"/>
          <w:szCs w:val="18"/>
        </w:rPr>
        <w:t xml:space="preserve">Yurisprudensi Hukum Acara Pidana </w:t>
      </w:r>
      <w:r>
        <w:rPr>
          <w:rFonts w:asciiTheme="majorBidi" w:hAnsiTheme="majorBidi" w:cstheme="majorBidi"/>
          <w:i/>
          <w:noProof/>
          <w:sz w:val="18"/>
          <w:szCs w:val="18"/>
        </w:rPr>
        <w:t>d</w:t>
      </w:r>
      <w:r w:rsidRPr="00BC0107">
        <w:rPr>
          <w:rFonts w:asciiTheme="majorBidi" w:hAnsiTheme="majorBidi" w:cstheme="majorBidi"/>
          <w:i/>
          <w:noProof/>
          <w:sz w:val="18"/>
          <w:szCs w:val="18"/>
        </w:rPr>
        <w:t>alam Putusan Mahkamah Konstitusi</w:t>
      </w:r>
      <w:r w:rsidRPr="00BC0107">
        <w:rPr>
          <w:rFonts w:asciiTheme="majorBidi" w:hAnsiTheme="majorBidi" w:cstheme="majorBidi"/>
          <w:noProof/>
          <w:sz w:val="18"/>
          <w:szCs w:val="18"/>
        </w:rPr>
        <w:t>, Cet 1. (Depok: PT. Rajagrafindo Persada, 2019).</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 xml:space="preserve">, </w:t>
      </w:r>
      <w:r>
        <w:rPr>
          <w:rFonts w:asciiTheme="majorBidi" w:hAnsiTheme="majorBidi" w:cstheme="majorBidi"/>
          <w:sz w:val="18"/>
          <w:szCs w:val="18"/>
        </w:rPr>
        <w:t>h</w:t>
      </w:r>
      <w:r w:rsidRPr="00BC0107">
        <w:rPr>
          <w:rFonts w:asciiTheme="majorBidi" w:hAnsiTheme="majorBidi" w:cstheme="majorBidi"/>
          <w:sz w:val="18"/>
          <w:szCs w:val="18"/>
        </w:rPr>
        <w:t>lm 15</w:t>
      </w:r>
    </w:p>
  </w:footnote>
  <w:footnote w:id="75">
    <w:p w14:paraId="018D24A8" w14:textId="4BF2EDB3" w:rsidR="008D372B" w:rsidRPr="00BC0107" w:rsidRDefault="008D372B" w:rsidP="0082570F">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Pr>
          <w:rFonts w:asciiTheme="majorBidi" w:hAnsiTheme="majorBidi" w:cstheme="majorBidi"/>
          <w:sz w:val="18"/>
          <w:szCs w:val="18"/>
        </w:rPr>
        <w:t xml:space="preserve">Lihat </w:t>
      </w:r>
      <w:r w:rsidR="00E07EB5">
        <w:rPr>
          <w:rFonts w:asciiTheme="majorBidi" w:hAnsiTheme="majorBidi" w:cstheme="majorBidi"/>
          <w:sz w:val="18"/>
          <w:szCs w:val="18"/>
        </w:rPr>
        <w:t xml:space="preserve">pada </w:t>
      </w:r>
      <w:r>
        <w:rPr>
          <w:rFonts w:asciiTheme="majorBidi" w:hAnsiTheme="majorBidi" w:cstheme="majorBidi"/>
          <w:sz w:val="18"/>
          <w:szCs w:val="18"/>
        </w:rPr>
        <w:t xml:space="preserve">Putusan </w:t>
      </w:r>
      <w:r w:rsidR="0082570F">
        <w:rPr>
          <w:rFonts w:asciiTheme="majorBidi" w:hAnsiTheme="majorBidi" w:cstheme="majorBidi"/>
          <w:sz w:val="18"/>
          <w:szCs w:val="18"/>
        </w:rPr>
        <w:t xml:space="preserve">dalam </w:t>
      </w:r>
      <w:r w:rsidRPr="00BC0107">
        <w:rPr>
          <w:rFonts w:asciiTheme="majorBidi" w:hAnsiTheme="majorBidi" w:cstheme="majorBidi"/>
          <w:sz w:val="18"/>
          <w:szCs w:val="18"/>
        </w:rPr>
        <w:fldChar w:fldCharType="begin" w:fldLock="1"/>
      </w:r>
      <w:r w:rsidR="00CA04C8">
        <w:rPr>
          <w:rFonts w:asciiTheme="majorBidi" w:hAnsiTheme="majorBidi" w:cstheme="majorBidi"/>
          <w:sz w:val="18"/>
          <w:szCs w:val="18"/>
        </w:rPr>
        <w:instrText>ADDIN CSL_CITATION {"citationItems":[{"id":"ITEM-1","itemData":{"author":[{"dropping-particle":"","family":"Indonesia","given":"Mahkamah Konstitusi Republik","non-dropping-particle":"","parse-names":false,"suffix":""}],"id":"ITEM-1","issued":{"date-parts":[["2010"]]},"number":"Nomor 65/PUU-VIII/2010","page":"94","publisher-place":"Indonesia","title":"PUTUSAN Nomor 65/PUU-VIII/2010","type":"legislation"},"uris":["http://www.mendeley.com/documents/?uuid=8acac735-b6d7-41e1-ad34-615475f4959f"]}],"mendeley":{"formattedCitation":"Mahkamah Konstitusi Republik Indonesia, &lt;i&gt;PUTUSAN Nomor 65/PUU-VIII/2010&lt;/i&gt; (Indonesia, 2010).","plainTextFormattedCitation":"Mahkamah Konstitusi Republik Indonesia, PUTUSAN Nomor 65/PUU-VIII/2010 (Indonesia, 2010).","previouslyFormattedCitation":"Mahkamah Konstitusi Republik Indonesia, &lt;i&gt;PUTUSAN Nomor 65/PUU-VIII/2010&lt;/i&gt; (Indonesia, 2010)."},"properties":{"noteIndex":76},"schema":"https://github.com/citation-style-language/schema/raw/master/csl-citation.json"}</w:instrText>
      </w:r>
      <w:r w:rsidRPr="00BC0107">
        <w:rPr>
          <w:rFonts w:asciiTheme="majorBidi" w:hAnsiTheme="majorBidi" w:cstheme="majorBidi"/>
          <w:sz w:val="18"/>
          <w:szCs w:val="18"/>
        </w:rPr>
        <w:fldChar w:fldCharType="separate"/>
      </w:r>
      <w:r w:rsidRPr="00BC541D">
        <w:rPr>
          <w:rFonts w:asciiTheme="majorBidi" w:hAnsiTheme="majorBidi" w:cstheme="majorBidi"/>
          <w:noProof/>
          <w:sz w:val="18"/>
          <w:szCs w:val="18"/>
        </w:rPr>
        <w:t xml:space="preserve">Mahkamah Konstitusi Republik Indonesia, </w:t>
      </w:r>
      <w:r w:rsidR="00350FBA" w:rsidRPr="00BC541D">
        <w:rPr>
          <w:rFonts w:asciiTheme="majorBidi" w:hAnsiTheme="majorBidi" w:cstheme="majorBidi"/>
          <w:i/>
          <w:noProof/>
          <w:sz w:val="18"/>
          <w:szCs w:val="18"/>
        </w:rPr>
        <w:t>Putusan</w:t>
      </w:r>
      <w:r w:rsidRPr="00BC541D">
        <w:rPr>
          <w:rFonts w:asciiTheme="majorBidi" w:hAnsiTheme="majorBidi" w:cstheme="majorBidi"/>
          <w:i/>
          <w:noProof/>
          <w:sz w:val="18"/>
          <w:szCs w:val="18"/>
        </w:rPr>
        <w:t xml:space="preserve"> Nomor 65/PUU-VIII/2010</w:t>
      </w:r>
      <w:r w:rsidRPr="00BC541D">
        <w:rPr>
          <w:rFonts w:asciiTheme="majorBidi" w:hAnsiTheme="majorBidi" w:cstheme="majorBidi"/>
          <w:noProof/>
          <w:sz w:val="18"/>
          <w:szCs w:val="18"/>
        </w:rPr>
        <w:t xml:space="preserve"> (Indonesia, 2010).</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 xml:space="preserve">, Tentang Perluasan Definisi Saksi Pada Pasal 1 angka 26 dan angka 27; Pasal 65; Pasal 116 ayat (3) dan ayat (4); serta Pasal 184 ayat (1) huruf a Undang-Undang Nomor 8 Tahun 1981 tentang Hukum Acara Pidana (Lembaran Negara Republik Indonesia Tahun 1981 Nomor 76 dan Tambahan Lembaran Negara Republik Indonesia Nomor 3209. </w:t>
      </w:r>
    </w:p>
  </w:footnote>
  <w:footnote w:id="76">
    <w:p w14:paraId="1EC3F0B1" w14:textId="263E577C" w:rsidR="008D372B" w:rsidRPr="00BC0107" w:rsidRDefault="008D372B" w:rsidP="0082570F">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CA04C8">
        <w:rPr>
          <w:rFonts w:asciiTheme="majorBidi" w:hAnsiTheme="majorBidi" w:cstheme="majorBidi"/>
          <w:sz w:val="18"/>
          <w:szCs w:val="18"/>
        </w:rPr>
        <w:instrText>ADDIN CSL_CITATION {"citationItems":[{"id":"ITEM-1","itemData":{"author":[{"dropping-particle":"","family":"Achmad Edi Subiyanto","given":"Oly Viana Agustine","non-dropping-particle":"","parse-names":false,"suffix":""}],"edition":"Cet 1","id":"ITEM-1","issued":{"date-parts":[["2019"]]},"number-of-pages":"232","publisher":"PT. Rajagrafindo Persada","publisher-place":"Depok","title":"Yurisprudensi Hukum Acara Pidana Dalam Putusan Mahkamah Konstitusi","type":"book"},"uris":["http://www.mendeley.com/documents/?uuid=8356ab4d-443e-4e0e-8dbf-2128b76abd91"]}],"mendeley":{"formattedCitation":"Achmad Edi Subiyanto, &lt;i&gt;Yurisprudensi Hukum Acara Pidana Dalam Putusan Mahkamah Konstitusi&lt;/i&gt;.","manualFormatting":"Achmad Edi Subiyanto, Yurisprudensi Hukum Acara Pidana dalam Putusan Mahkamah Konstitusi.","plainTextFormattedCitation":"Achmad Edi Subiyanto, Yurisprudensi Hukum Acara Pidana Dalam Putusan Mahkamah Konstitusi.","previouslyFormattedCitation":"Achmad Edi Subiyanto, &lt;i&gt;Yurisprudensi Hukum Acara Pidana Dalam Putusan Mahkamah Konstitusi&lt;/i&gt;."},"properties":{"noteIndex":77},"schema":"https://github.com/citation-style-language/schema/raw/master/csl-citation.json"}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Achmad Edi Subiyanto, </w:t>
      </w:r>
      <w:r w:rsidRPr="00BC0107">
        <w:rPr>
          <w:rFonts w:asciiTheme="majorBidi" w:hAnsiTheme="majorBidi" w:cstheme="majorBidi"/>
          <w:i/>
          <w:noProof/>
          <w:sz w:val="18"/>
          <w:szCs w:val="18"/>
        </w:rPr>
        <w:t xml:space="preserve">Yurisprudensi Hukum Acara Pidana </w:t>
      </w:r>
      <w:r>
        <w:rPr>
          <w:rFonts w:asciiTheme="majorBidi" w:hAnsiTheme="majorBidi" w:cstheme="majorBidi"/>
          <w:i/>
          <w:noProof/>
          <w:sz w:val="18"/>
          <w:szCs w:val="18"/>
        </w:rPr>
        <w:t>d</w:t>
      </w:r>
      <w:r w:rsidRPr="00BC0107">
        <w:rPr>
          <w:rFonts w:asciiTheme="majorBidi" w:hAnsiTheme="majorBidi" w:cstheme="majorBidi"/>
          <w:i/>
          <w:noProof/>
          <w:sz w:val="18"/>
          <w:szCs w:val="18"/>
        </w:rPr>
        <w:t>alam Putusan Mahkamah Konstitusi</w:t>
      </w:r>
      <w:r w:rsidRPr="00BC0107">
        <w:rPr>
          <w:rFonts w:asciiTheme="majorBidi" w:hAnsiTheme="majorBidi" w:cstheme="majorBidi"/>
          <w:noProof/>
          <w:sz w:val="18"/>
          <w:szCs w:val="18"/>
        </w:rPr>
        <w:t>.</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,16</w:t>
      </w:r>
    </w:p>
  </w:footnote>
  <w:footnote w:id="77">
    <w:p w14:paraId="7434B70E" w14:textId="1E74E537" w:rsidR="00C1066E" w:rsidRPr="00C1066E" w:rsidRDefault="00C1066E" w:rsidP="0082570F">
      <w:pPr>
        <w:pStyle w:val="FootnoteText"/>
        <w:ind w:firstLine="720"/>
        <w:rPr>
          <w:rFonts w:asciiTheme="majorBidi" w:hAnsiTheme="majorBidi" w:cstheme="majorBidi"/>
          <w:sz w:val="18"/>
          <w:szCs w:val="18"/>
          <w:lang w:val="en-US"/>
        </w:rPr>
      </w:pPr>
      <w:r w:rsidRPr="00C1066E">
        <w:rPr>
          <w:rStyle w:val="FootnoteReference"/>
          <w:rFonts w:asciiTheme="majorBidi" w:hAnsiTheme="majorBidi" w:cstheme="majorBidi"/>
          <w:sz w:val="18"/>
          <w:szCs w:val="18"/>
        </w:rPr>
        <w:footnoteRef/>
      </w:r>
      <w:r w:rsidRPr="00C1066E">
        <w:rPr>
          <w:rFonts w:asciiTheme="majorBidi" w:hAnsiTheme="majorBidi" w:cstheme="majorBidi"/>
          <w:sz w:val="18"/>
          <w:szCs w:val="18"/>
        </w:rPr>
        <w:t xml:space="preserve"> </w:t>
      </w:r>
      <w:r>
        <w:rPr>
          <w:rFonts w:asciiTheme="majorBidi" w:hAnsiTheme="majorBidi" w:cstheme="majorBidi"/>
          <w:sz w:val="18"/>
          <w:szCs w:val="18"/>
        </w:rPr>
        <w:t xml:space="preserve">Lihat Pasal 1 angka 6 dalam </w:t>
      </w:r>
      <w:r w:rsidRPr="00C1066E">
        <w:rPr>
          <w:rFonts w:asciiTheme="majorBidi" w:hAnsiTheme="majorBidi" w:cstheme="majorBidi"/>
          <w:sz w:val="18"/>
          <w:szCs w:val="18"/>
          <w:lang w:val="en-US"/>
        </w:rPr>
        <w:fldChar w:fldCharType="begin" w:fldLock="1"/>
      </w:r>
      <w:r w:rsidR="00CA04C8">
        <w:rPr>
          <w:rFonts w:asciiTheme="majorBidi" w:hAnsiTheme="majorBidi" w:cstheme="majorBidi"/>
          <w:sz w:val="18"/>
          <w:szCs w:val="18"/>
          <w:lang w:val="en-US"/>
        </w:rPr>
        <w:instrText>ADDIN CSL_CITATION {"citationItems":[{"id":"ITEM-1","itemData":{"author":[{"dropping-particle":"","family":"Presiden Republik Indonesi","given":"","non-dropping-particle":"","parse-names":false,"suffix":""}],"id":"ITEM-1","issued":{"date-parts":[["2022"]]},"page":"84","publisher-place":"Indonesia","title":"Undang-Undang Nomor 12 Tahun 2022 tentang Tindak Pidana Kekerasan Seksual","type":"legislation"},"uris":["http://www.mendeley.com/documents/?uuid=f87944ef-6e56-486b-869c-2abfc10d50be"]}],"mendeley":{"formattedCitation":"Presiden Republik Indonesi, &lt;i&gt;Undang-Undang Nomor 12 Tahun 2022 Tentang Tindak Pidana Kekerasan Seksual&lt;/i&gt;.","plainTextFormattedCitation":"Presiden Republik Indonesi, Undang-Undang Nomor 12 Tahun 2022 Tentang Tindak Pidana Kekerasan Seksual.","previouslyFormattedCitation":"Presiden Republik Indonesi, &lt;i&gt;Undang-Undang Nomor 12 Tahun 2022 Tentang Tindak Pidana Kekerasan Seksual&lt;/i&gt;."},"properties":{"noteIndex":78},"schema":"https://github.com/citation-style-language/schema/raw/master/csl-citation.json"}</w:instrText>
      </w:r>
      <w:r w:rsidRPr="00C1066E">
        <w:rPr>
          <w:rFonts w:asciiTheme="majorBidi" w:hAnsiTheme="majorBidi" w:cstheme="majorBidi"/>
          <w:sz w:val="18"/>
          <w:szCs w:val="18"/>
          <w:lang w:val="en-US"/>
        </w:rPr>
        <w:fldChar w:fldCharType="separate"/>
      </w:r>
      <w:r w:rsidRPr="00C1066E">
        <w:rPr>
          <w:rFonts w:asciiTheme="majorBidi" w:hAnsiTheme="majorBidi" w:cstheme="majorBidi"/>
          <w:noProof/>
          <w:sz w:val="18"/>
          <w:szCs w:val="18"/>
          <w:lang w:val="en-US"/>
        </w:rPr>
        <w:t>Presiden Republik Indonesi</w:t>
      </w:r>
      <w:r w:rsidR="00F6343B">
        <w:rPr>
          <w:rFonts w:asciiTheme="majorBidi" w:hAnsiTheme="majorBidi" w:cstheme="majorBidi"/>
          <w:noProof/>
          <w:sz w:val="18"/>
          <w:szCs w:val="18"/>
          <w:lang w:val="en-US"/>
        </w:rPr>
        <w:t>a</w:t>
      </w:r>
      <w:r w:rsidRPr="00C1066E">
        <w:rPr>
          <w:rFonts w:asciiTheme="majorBidi" w:hAnsiTheme="majorBidi" w:cstheme="majorBidi"/>
          <w:noProof/>
          <w:sz w:val="18"/>
          <w:szCs w:val="18"/>
          <w:lang w:val="en-US"/>
        </w:rPr>
        <w:t>, Undang-Undang Nomor 12 Tahun 2022 Tentang Tindak Pidana Kekerasan Seksual.</w:t>
      </w:r>
      <w:r w:rsidRPr="00C1066E">
        <w:rPr>
          <w:rFonts w:asciiTheme="majorBidi" w:hAnsiTheme="majorBidi" w:cstheme="majorBidi"/>
          <w:sz w:val="18"/>
          <w:szCs w:val="18"/>
          <w:lang w:val="en-US"/>
        </w:rPr>
        <w:fldChar w:fldCharType="end"/>
      </w:r>
    </w:p>
  </w:footnote>
  <w:footnote w:id="78">
    <w:p w14:paraId="2B9CA750" w14:textId="20AEBCD8" w:rsidR="008D372B" w:rsidRPr="0082570F" w:rsidRDefault="008D372B" w:rsidP="0082570F">
      <w:pPr>
        <w:pStyle w:val="FootnoteText"/>
        <w:ind w:firstLine="720"/>
        <w:jc w:val="both"/>
        <w:rPr>
          <w:rFonts w:asciiTheme="majorBidi" w:hAnsiTheme="majorBidi" w:cstheme="majorBidi"/>
          <w:noProof/>
          <w:sz w:val="18"/>
          <w:szCs w:val="18"/>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A Sadidah dalam </w:t>
      </w:r>
      <w:r w:rsidRPr="00BC0107">
        <w:rPr>
          <w:rFonts w:asciiTheme="majorBidi" w:hAnsiTheme="majorBidi" w:cstheme="majorBidi"/>
          <w:sz w:val="18"/>
          <w:szCs w:val="18"/>
        </w:rPr>
        <w:fldChar w:fldCharType="begin" w:fldLock="1"/>
      </w:r>
      <w:r w:rsidR="0082570F">
        <w:rPr>
          <w:rFonts w:asciiTheme="majorBidi" w:hAnsiTheme="majorBidi" w:cstheme="majorBidi"/>
          <w:sz w:val="18"/>
          <w:szCs w:val="18"/>
        </w:rPr>
        <w:instrText>ADDIN CSL_CITATION {"citationItems":[{"id":"ITEM-1","itemData":{"URL":"https://www.hukumonline.com/berita/a/mengenal-8-jenis-saksi-dalam-hukum-acara-pidana-lt629444af59b56/?page=2","accessed":{"date-parts":[["2024","5","27"]]},"author":[{"dropping-particle":"","family":"Tim Hukumonline","given":"","non-dropping-particle":"","parse-names":false,"suffix":""}],"container-title":"Hukum Online.Com","id":"ITEM-1","issued":{"date-parts":[["2023"]]},"title":"Mengenal 8 Jenis Saksi dalam Hukum Acara Pidana","type":"webpage"},"uris":["http://www.mendeley.com/documents/?uuid=25b07c25-ae2b-4870-bbbb-9c60764cc2f1"]}],"mendeley":{"formattedCitation":"Tim Hukumonline, “Mengenal 8 Jenis Saksi Dalam Hukum Acara Pidana,” &lt;i&gt;Hukum Online.Com&lt;/i&gt;, last modified 2023, accessed May 27, 2024, https://www.hukumonline.com/berita/a/mengenal-8-jenis-saksi-dalam-hukum-acara-pidana-lt629444af59b56/?page=2.","manualFormatting":"Tim Hukumonline, “Mengenal 8 Jenis Saksi dalam Hukum Acara Pidana,” Hukum Online.Com, last modified 2023, accessed May 27, 2024, https://www.hukumonline.com/berita/a/mengenal-8-jenis-saksi-dalam-hukum-acara-pidana-lt629444af59b56/?page=2.","plainTextFormattedCitation":"Tim Hukumonline, “Mengenal 8 Jenis Saksi Dalam Hukum Acara Pidana,” Hukum Online.Com, last modified 2023, accessed May 27, 2024, https://www.hukumonline.com/berita/a/mengenal-8-jenis-saksi-dalam-hukum-acara-pidana-lt629444af59b56/?page=2.","previouslyFormattedCitation":"Tim Hukumonline, “Mengenal 8 Jenis Saksi Dalam Hukum Acara Pidana,” &lt;i&gt;Hukum Online.Com&lt;/i&gt;, last modified 2023, accessed May 27, 2024, https://www.hukumonline.com/berita/a/mengenal-8-jenis-saksi-dalam-hukum-acara-pidana-lt629444af59b56/?page=2."},"properties":{"noteIndex":79},"schema":"https://github.com/citation-style-language/schema/raw/master/csl-citation.json"}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Tim Hukumonline, “Mengenal 8 Jenis Saksi </w:t>
      </w:r>
      <w:r>
        <w:rPr>
          <w:rFonts w:asciiTheme="majorBidi" w:hAnsiTheme="majorBidi" w:cstheme="majorBidi"/>
          <w:noProof/>
          <w:sz w:val="18"/>
          <w:szCs w:val="18"/>
        </w:rPr>
        <w:t>d</w:t>
      </w:r>
      <w:r w:rsidRPr="00BC0107">
        <w:rPr>
          <w:rFonts w:asciiTheme="majorBidi" w:hAnsiTheme="majorBidi" w:cstheme="majorBidi"/>
          <w:noProof/>
          <w:sz w:val="18"/>
          <w:szCs w:val="18"/>
        </w:rPr>
        <w:t xml:space="preserve">alam Hukum Acara Pidana,” </w:t>
      </w:r>
      <w:r w:rsidRPr="00BC0107">
        <w:rPr>
          <w:rFonts w:asciiTheme="majorBidi" w:hAnsiTheme="majorBidi" w:cstheme="majorBidi"/>
          <w:i/>
          <w:noProof/>
          <w:sz w:val="18"/>
          <w:szCs w:val="18"/>
        </w:rPr>
        <w:t>Hukum</w:t>
      </w:r>
      <w:r w:rsidR="00F6343B">
        <w:rPr>
          <w:rFonts w:asciiTheme="majorBidi" w:hAnsiTheme="majorBidi" w:cstheme="majorBidi"/>
          <w:i/>
          <w:noProof/>
          <w:sz w:val="18"/>
          <w:szCs w:val="18"/>
        </w:rPr>
        <w:t>o</w:t>
      </w:r>
      <w:r w:rsidRPr="00BC0107">
        <w:rPr>
          <w:rFonts w:asciiTheme="majorBidi" w:hAnsiTheme="majorBidi" w:cstheme="majorBidi"/>
          <w:i/>
          <w:noProof/>
          <w:sz w:val="18"/>
          <w:szCs w:val="18"/>
        </w:rPr>
        <w:t>nline.Com</w:t>
      </w:r>
      <w:r w:rsidRPr="00BC0107">
        <w:rPr>
          <w:rFonts w:asciiTheme="majorBidi" w:hAnsiTheme="majorBidi" w:cstheme="majorBidi"/>
          <w:noProof/>
          <w:sz w:val="18"/>
          <w:szCs w:val="18"/>
        </w:rPr>
        <w:t>, last modified 2023, accessed May 27, 2024, https://www.hukumonline.com/berita/a/mengenal-8-jenis-saksi-dalam-hukum-acara-pidana-lt629444af59b56/?page=2.</w:t>
      </w:r>
      <w:r w:rsidRPr="00BC0107">
        <w:rPr>
          <w:rFonts w:asciiTheme="majorBidi" w:hAnsiTheme="majorBidi" w:cstheme="majorBidi"/>
          <w:sz w:val="18"/>
          <w:szCs w:val="18"/>
        </w:rPr>
        <w:fldChar w:fldCharType="end"/>
      </w:r>
    </w:p>
  </w:footnote>
  <w:footnote w:id="79">
    <w:p w14:paraId="33CB6774" w14:textId="2256124F" w:rsidR="008D372B" w:rsidRPr="00BC0107" w:rsidRDefault="008D372B" w:rsidP="0082570F">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CA04C8">
        <w:rPr>
          <w:rFonts w:asciiTheme="majorBidi" w:hAnsiTheme="majorBidi" w:cstheme="majorBidi"/>
          <w:sz w:val="18"/>
          <w:szCs w:val="18"/>
        </w:rPr>
        <w:instrText>ADDIN CSL_CITATION {"citationItems":[{"id":"ITEM-1","itemData":{"author":[{"dropping-particle":"","family":"Andi Sofyan","given":"","non-dropping-particle":"","parse-names":false,"suffix":""}],"id":"ITEM-1","issued":{"date-parts":[["2014"]]},"publisher":"Kencana Prenadamedia Group","publisher-place":"Jakarta","title":"Hukum Acara Pidana: Suatu Pengantar","type":"book"},"uris":["http://www.mendeley.com/documents/?uuid=856be085-73d0-4e5a-8d78-257360497d76"]}],"mendeley":{"formattedCitation":"Andi Sofyan, &lt;i&gt;Hukum Acara Pidana: Suatu Pengantar&lt;/i&gt; (Jakarta: Kencana Prenadamedia Group, 2014).","plainTextFormattedCitation":"Andi Sofyan, Hukum Acara Pidana: Suatu Pengantar (Jakarta: Kencana Prenadamedia Group, 2014).","previouslyFormattedCitation":"Andi Sofyan, &lt;i&gt;Hukum Acara Pidana: Suatu Pengantar&lt;/i&gt; (Jakarta: Kencana Prenadamedia Group, 2014)."},"properties":{"noteIndex":80},"schema":"https://github.com/citation-style-language/schema/raw/master/csl-citation.json"}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Andi Sofyan, </w:t>
      </w:r>
      <w:r w:rsidRPr="00BC0107">
        <w:rPr>
          <w:rFonts w:asciiTheme="majorBidi" w:hAnsiTheme="majorBidi" w:cstheme="majorBidi"/>
          <w:i/>
          <w:noProof/>
          <w:sz w:val="18"/>
          <w:szCs w:val="18"/>
        </w:rPr>
        <w:t>Hukum Acara Pidana: Suatu Pengantar</w:t>
      </w:r>
      <w:r w:rsidRPr="00BC0107">
        <w:rPr>
          <w:rFonts w:asciiTheme="majorBidi" w:hAnsiTheme="majorBidi" w:cstheme="majorBidi"/>
          <w:noProof/>
          <w:sz w:val="18"/>
          <w:szCs w:val="18"/>
        </w:rPr>
        <w:t xml:space="preserve"> (Jakarta: Kencana Prenada</w:t>
      </w:r>
      <w:r w:rsidR="00F6343B">
        <w:rPr>
          <w:rFonts w:asciiTheme="majorBidi" w:hAnsiTheme="majorBidi" w:cstheme="majorBidi"/>
          <w:noProof/>
          <w:sz w:val="18"/>
          <w:szCs w:val="18"/>
        </w:rPr>
        <w:t xml:space="preserve"> M</w:t>
      </w:r>
      <w:r w:rsidRPr="00BC0107">
        <w:rPr>
          <w:rFonts w:asciiTheme="majorBidi" w:hAnsiTheme="majorBidi" w:cstheme="majorBidi"/>
          <w:noProof/>
          <w:sz w:val="18"/>
          <w:szCs w:val="18"/>
        </w:rPr>
        <w:t>edia Group, 2014).</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w:t>
      </w:r>
      <w:r>
        <w:rPr>
          <w:rFonts w:asciiTheme="majorBidi" w:hAnsiTheme="majorBidi" w:cstheme="majorBidi"/>
          <w:sz w:val="18"/>
          <w:szCs w:val="18"/>
        </w:rPr>
        <w:t xml:space="preserve">hlm </w:t>
      </w:r>
      <w:r w:rsidRPr="00BC0107">
        <w:rPr>
          <w:rFonts w:asciiTheme="majorBidi" w:hAnsiTheme="majorBidi" w:cstheme="majorBidi"/>
          <w:sz w:val="18"/>
          <w:szCs w:val="18"/>
        </w:rPr>
        <w:t>242</w:t>
      </w:r>
    </w:p>
  </w:footnote>
  <w:footnote w:id="80">
    <w:p w14:paraId="1EC612D8" w14:textId="1F7FA658" w:rsidR="008D372B" w:rsidRPr="0082570F" w:rsidRDefault="008D372B" w:rsidP="0082570F">
      <w:pPr>
        <w:pStyle w:val="FootnoteText"/>
        <w:ind w:firstLine="720"/>
        <w:jc w:val="both"/>
        <w:rPr>
          <w:rFonts w:asciiTheme="majorBidi" w:hAnsiTheme="majorBidi" w:cstheme="majorBidi"/>
          <w:noProof/>
          <w:sz w:val="18"/>
          <w:szCs w:val="18"/>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82570F">
        <w:rPr>
          <w:rFonts w:asciiTheme="majorBidi" w:hAnsiTheme="majorBidi" w:cstheme="majorBidi"/>
          <w:sz w:val="18"/>
          <w:szCs w:val="18"/>
        </w:rPr>
        <w:instrText>ADDIN CSL_CITATION {"citationItems":[{"id":"ITEM-1","itemData":{"author":[{"dropping-particle":"","family":"Lisa Wahyuni","given":"Fatria Khairo","non-dropping-particle":"","parse-names":false,"suffix":""}],"container-title":"Lex Stricta: Jurnal Ilmu Hukum","id":"ITEM-1","issued":{"date-parts":[["2022"]]},"page":"12","title":"Saksi A de Charge Dalam Persidangan Tindak Pidana Korupsi","type":"article-journal","volume":"Volume 1 N"},"uris":["http://www.mendeley.com/documents/?uuid=9b0c0012-40f0-43d2-81db-c7d82e669eba"]}],"mendeley":{"formattedCitation":"Fatria Khairo Lisa Wahyuni, “Saksi A de Charge Dalam Persidangan Tindak Pidana Korupsi,” &lt;i&gt;Lex Stricta: Jurnal Ilmu Hukum&lt;/i&gt; Volume 1 N (2022): 12, https://lexstricta.stihpada.ac.id/index.php/S2/article/download/4/3.","manualFormatting":"Fatria Khairo Lisa Wahyuni, “Saksi A de Charge dalam Persidangan Tindak Pidana Korupsi,” Lex Stricta: Jurnal Ilmu Hukum Volume 1 N (2022): 12, https://lexstricta.stihpada.ac.id/index.php/S2/article/download/4/3.","plainTextFormattedCitation":"Fatria Khairo Lisa Wahyuni, “Saksi A de Charge Dalam Persidangan Tindak Pidana Korupsi,” Lex Stricta: Jurnal Ilmu Hukum Volume 1 N (2022): 12, https://lexstricta.stihpada.ac.id/index.php/S2/article/download/4/3.","previouslyFormattedCitation":"Fatria Khairo Lisa Wahyuni, “Saksi A de Charge Dalam Persidangan Tindak Pidana Korupsi,” &lt;i&gt;Lex Stricta: Jurnal Ilmu Hukum&lt;/i&gt; Volume 1 N (2022): 12, https://lexstricta.stihpada.ac.id/index.php/S2/article/download/4/3."},"properties":{"noteIndex":81},"schema":"https://github.com/citation-style-language/schema/raw/master/csl-citation.json"}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Fatria Khairo Lisa Wahyuni, “Saksi A de Charge </w:t>
      </w:r>
      <w:r>
        <w:rPr>
          <w:rFonts w:asciiTheme="majorBidi" w:hAnsiTheme="majorBidi" w:cstheme="majorBidi"/>
          <w:noProof/>
          <w:sz w:val="18"/>
          <w:szCs w:val="18"/>
        </w:rPr>
        <w:t>d</w:t>
      </w:r>
      <w:r w:rsidRPr="00BC0107">
        <w:rPr>
          <w:rFonts w:asciiTheme="majorBidi" w:hAnsiTheme="majorBidi" w:cstheme="majorBidi"/>
          <w:noProof/>
          <w:sz w:val="18"/>
          <w:szCs w:val="18"/>
        </w:rPr>
        <w:t xml:space="preserve">alam Persidangan Tindak Pidana Korupsi,” </w:t>
      </w:r>
      <w:r w:rsidRPr="00BC0107">
        <w:rPr>
          <w:rFonts w:asciiTheme="majorBidi" w:hAnsiTheme="majorBidi" w:cstheme="majorBidi"/>
          <w:i/>
          <w:noProof/>
          <w:sz w:val="18"/>
          <w:szCs w:val="18"/>
        </w:rPr>
        <w:t>Lex Stricta: Jurnal Ilmu Hukum</w:t>
      </w:r>
      <w:r w:rsidRPr="00BC0107">
        <w:rPr>
          <w:rFonts w:asciiTheme="majorBidi" w:hAnsiTheme="majorBidi" w:cstheme="majorBidi"/>
          <w:noProof/>
          <w:sz w:val="18"/>
          <w:szCs w:val="18"/>
        </w:rPr>
        <w:t xml:space="preserve"> Volume 1 N (2022): 12, https://lexstricta.stihpada.ac.id/index.php/S2/article/download/4/3.</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 xml:space="preserve">, </w:t>
      </w:r>
      <w:r>
        <w:rPr>
          <w:rFonts w:asciiTheme="majorBidi" w:hAnsiTheme="majorBidi" w:cstheme="majorBidi"/>
          <w:sz w:val="18"/>
          <w:szCs w:val="18"/>
        </w:rPr>
        <w:t>h</w:t>
      </w:r>
      <w:r w:rsidRPr="00BC0107">
        <w:rPr>
          <w:rFonts w:asciiTheme="majorBidi" w:hAnsiTheme="majorBidi" w:cstheme="majorBidi"/>
          <w:sz w:val="18"/>
          <w:szCs w:val="18"/>
        </w:rPr>
        <w:t>lm 31</w:t>
      </w:r>
    </w:p>
  </w:footnote>
  <w:footnote w:id="81">
    <w:p w14:paraId="7F545407" w14:textId="617293D2" w:rsidR="008D372B" w:rsidRPr="0082570F" w:rsidRDefault="008D372B" w:rsidP="0082570F">
      <w:pPr>
        <w:pStyle w:val="FootnoteText"/>
        <w:ind w:firstLine="720"/>
        <w:jc w:val="both"/>
        <w:rPr>
          <w:rFonts w:asciiTheme="majorBidi" w:hAnsiTheme="majorBidi" w:cstheme="majorBidi"/>
          <w:noProof/>
          <w:sz w:val="18"/>
          <w:szCs w:val="18"/>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82570F">
        <w:rPr>
          <w:rFonts w:asciiTheme="majorBidi" w:hAnsiTheme="majorBidi" w:cstheme="majorBidi"/>
          <w:sz w:val="18"/>
          <w:szCs w:val="18"/>
        </w:rPr>
        <w:instrText>ADDIN CSL_CITATION {"citationItems":[{"id":"ITEM-1","itemData":{"author":[{"dropping-particle":"","family":"Elsa Syafira Destiana","given":"Sri Wahyuningsih Yulianti","non-dropping-particle":"","parse-names":false,"suffix":""}],"container-title":"Jurnal Verstek Universitas Sebelas Maret","id":"ITEM-1","issued":{"date-parts":[["2021"]]},"page":"10","title":"Telaah Nilai Pembuktian Dan Kekuatan Pembuktian Atas Perluasan Keterangan Saksi Testimonium De Auditu","type":"article-journal","volume":"Vol. 9 No."},"uris":["http://www.mendeley.com/documents/?uuid=302a8a7d-b99f-4bd3-a4d7-52b4606d3525"]}],"mendeley":{"formattedCitation":"Sri Wahyuningsih Yulianti Elsa Syafira Destiana, “Telaah Nilai Pembuktian Dan Kekuatan Pembuktian Atas Perluasan Keterangan Saksi Testimonium De Auditu,” &lt;i&gt;Jurnal Verstek Universitas Sebelas Maret&lt;/i&gt; Vol. 9 No. (2021): 10, https://jurnal.uns.ac.id/verstek/article/download/51071/31685.","manualFormatting":"Sri Wahyuningsih Yulianti Elsa Syafira Destiana, “Telaah Nilai Pembuktian dan Kekuatan Pembuktian Atas Perluasan Keterangan Saksi Testimonium De Auditu,” Jurnal Verstek Universitas Sebelas Maret Vol. 9 No. (2021): 10, https://jurnal.uns.ac.id/verstek/article/download/51071/31685.","plainTextFormattedCitation":"Sri Wahyuningsih Yulianti Elsa Syafira Destiana, “Telaah Nilai Pembuktian Dan Kekuatan Pembuktian Atas Perluasan Keterangan Saksi Testimonium De Auditu,” Jurnal Verstek Universitas Sebelas Maret Vol. 9 No. (2021): 10, https://jurnal.uns.ac.id/verstek/article/download/51071/31685.","previouslyFormattedCitation":"Sri Wahyuningsih Yulianti Elsa Syafira Destiana, “Telaah Nilai Pembuktian Dan Kekuatan Pembuktian Atas Perluasan Keterangan Saksi Testimonium De Auditu,” &lt;i&gt;Jurnal Verstek Universitas Sebelas Maret&lt;/i&gt; Vol. 9 No. (2021): 10, https://jurnal.uns.ac.id/verstek/article/download/51071/31685."},"properties":{"noteIndex":82},"schema":"https://github.com/citation-style-language/schema/raw/master/csl-citation.json"}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Sri Wahyuningsih Yulianti Elsa Syafira Destiana, “Telaah Nilai Pembuktian </w:t>
      </w:r>
      <w:r>
        <w:rPr>
          <w:rFonts w:asciiTheme="majorBidi" w:hAnsiTheme="majorBidi" w:cstheme="majorBidi"/>
          <w:noProof/>
          <w:sz w:val="18"/>
          <w:szCs w:val="18"/>
        </w:rPr>
        <w:t>d</w:t>
      </w:r>
      <w:r w:rsidRPr="00BC0107">
        <w:rPr>
          <w:rFonts w:asciiTheme="majorBidi" w:hAnsiTheme="majorBidi" w:cstheme="majorBidi"/>
          <w:noProof/>
          <w:sz w:val="18"/>
          <w:szCs w:val="18"/>
        </w:rPr>
        <w:t xml:space="preserve">an Kekuatan Pembuktian Atas Perluasan Keterangan Saksi Testimonium De Auditu,” </w:t>
      </w:r>
      <w:r w:rsidRPr="00BC0107">
        <w:rPr>
          <w:rFonts w:asciiTheme="majorBidi" w:hAnsiTheme="majorBidi" w:cstheme="majorBidi"/>
          <w:i/>
          <w:noProof/>
          <w:sz w:val="18"/>
          <w:szCs w:val="18"/>
        </w:rPr>
        <w:t>Jurnal Verstek Universitas Sebelas Maret</w:t>
      </w:r>
      <w:r w:rsidRPr="00BC0107">
        <w:rPr>
          <w:rFonts w:asciiTheme="majorBidi" w:hAnsiTheme="majorBidi" w:cstheme="majorBidi"/>
          <w:noProof/>
          <w:sz w:val="18"/>
          <w:szCs w:val="18"/>
        </w:rPr>
        <w:t xml:space="preserve"> Vol. 9 No. (2021): 10, https://jurnal.uns.ac.id/verstek/article/download/51071/31685.</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w:t>
      </w:r>
      <w:r>
        <w:rPr>
          <w:rFonts w:asciiTheme="majorBidi" w:hAnsiTheme="majorBidi" w:cstheme="majorBidi"/>
          <w:sz w:val="18"/>
          <w:szCs w:val="18"/>
        </w:rPr>
        <w:t>h</w:t>
      </w:r>
      <w:r w:rsidRPr="00BC0107">
        <w:rPr>
          <w:rFonts w:asciiTheme="majorBidi" w:hAnsiTheme="majorBidi" w:cstheme="majorBidi"/>
          <w:sz w:val="18"/>
          <w:szCs w:val="18"/>
        </w:rPr>
        <w:t>lm 266</w:t>
      </w:r>
    </w:p>
  </w:footnote>
  <w:footnote w:id="82">
    <w:p w14:paraId="612899E3" w14:textId="353EC158" w:rsidR="008D372B" w:rsidRPr="00BC0107" w:rsidRDefault="008D372B" w:rsidP="0082570F">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82570F">
        <w:rPr>
          <w:rFonts w:asciiTheme="majorBidi" w:hAnsiTheme="majorBidi" w:cstheme="majorBidi"/>
          <w:sz w:val="18"/>
          <w:szCs w:val="18"/>
        </w:rPr>
        <w:instrText>ADDIN CSL_CITATION {"citationItems":[{"id":"ITEM-1","itemData":{"author":[{"dropping-particle":"","family":"Saulus Suradi","given":"","non-dropping-particle":"","parse-names":false,"suffix":""}],"container-title":"Justice Pro: Jurnal Ilmu Hukum","id":"ITEM-1","issued":{"date-parts":[["2019"]]},"page":"11","title":"Perlindungan Hukum Terhadap Saksi Pelapor Dalam Tindak Pidana Korupsi Dikaitkan Dengan Undang-Undang Nomor 13 Tahun 2006 Tentang Perlindungan Saksi Dan Korban","type":"article-journal","volume":"Volume 3 N"},"uris":["http://www.mendeley.com/documents/?uuid=9f5cf045-e8c6-4359-8a7f-3d260cf3dffd"]}],"mendeley":{"formattedCitation":"Saulus Suradi, “Perlindungan Hukum Terhadap Saksi Pelapor Dalam Tindak Pidana Korupsi Dikaitkan Dengan Undang-Undang Nomor 13 Tahun 2006 Tentang Perlindungan Saksi Dan Korban,” &lt;i&gt;Justice Pro: Jurnal Ilmu Hukum&lt;/i&gt; Volume 3 N (2019): 11.","manualFormatting":"Saulus Suradi, “Perlindungan Hukum Terhadap Saksi Pelapor dalam Tindak Pidana Korupsi Dikaitkan Dengan Undang-Undang Nomor 13 Tahun 2006 tentang Perlindungan Saksi dan Korban,” Justice Pro: Jurnal Ilmu Hukum Volume 3 N (2019): 11.","plainTextFormattedCitation":"Saulus Suradi, “Perlindungan Hukum Terhadap Saksi Pelapor Dalam Tindak Pidana Korupsi Dikaitkan Dengan Undang-Undang Nomor 13 Tahun 2006 Tentang Perlindungan Saksi Dan Korban,” Justice Pro: Jurnal Ilmu Hukum Volume 3 N (2019): 11.","previouslyFormattedCitation":"Saulus Suradi, “Perlindungan Hukum Terhadap Saksi Pelapor Dalam Tindak Pidana Korupsi Dikaitkan Dengan Undang-Undang Nomor 13 Tahun 2006 Tentang Perlindungan Saksi Dan Korban,” &lt;i&gt;Justice Pro: Jurnal Ilmu Hukum&lt;/i&gt; Volume 3 N (2019): 11."},"properties":{"noteIndex":83},"schema":"https://github.com/citation-style-language/schema/raw/master/csl-citation.json"}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Saulus Suradi, “Perlindungan Hukum Terhadap Saksi Pelapor </w:t>
      </w:r>
      <w:r>
        <w:rPr>
          <w:rFonts w:asciiTheme="majorBidi" w:hAnsiTheme="majorBidi" w:cstheme="majorBidi"/>
          <w:noProof/>
          <w:sz w:val="18"/>
          <w:szCs w:val="18"/>
        </w:rPr>
        <w:t>d</w:t>
      </w:r>
      <w:r w:rsidRPr="00BC0107">
        <w:rPr>
          <w:rFonts w:asciiTheme="majorBidi" w:hAnsiTheme="majorBidi" w:cstheme="majorBidi"/>
          <w:noProof/>
          <w:sz w:val="18"/>
          <w:szCs w:val="18"/>
        </w:rPr>
        <w:t xml:space="preserve">alam Tindak Pidana Korupsi </w:t>
      </w:r>
      <w:r w:rsidR="00350FBA">
        <w:rPr>
          <w:rFonts w:asciiTheme="majorBidi" w:hAnsiTheme="majorBidi" w:cstheme="majorBidi"/>
          <w:noProof/>
          <w:sz w:val="18"/>
          <w:szCs w:val="18"/>
        </w:rPr>
        <w:t>d</w:t>
      </w:r>
      <w:r w:rsidRPr="00BC0107">
        <w:rPr>
          <w:rFonts w:asciiTheme="majorBidi" w:hAnsiTheme="majorBidi" w:cstheme="majorBidi"/>
          <w:noProof/>
          <w:sz w:val="18"/>
          <w:szCs w:val="18"/>
        </w:rPr>
        <w:t xml:space="preserve">ikaitkan </w:t>
      </w:r>
      <w:r w:rsidR="00350FBA">
        <w:rPr>
          <w:rFonts w:asciiTheme="majorBidi" w:hAnsiTheme="majorBidi" w:cstheme="majorBidi"/>
          <w:noProof/>
          <w:sz w:val="18"/>
          <w:szCs w:val="18"/>
        </w:rPr>
        <w:t>d</w:t>
      </w:r>
      <w:r w:rsidRPr="00BC0107">
        <w:rPr>
          <w:rFonts w:asciiTheme="majorBidi" w:hAnsiTheme="majorBidi" w:cstheme="majorBidi"/>
          <w:noProof/>
          <w:sz w:val="18"/>
          <w:szCs w:val="18"/>
        </w:rPr>
        <w:t xml:space="preserve">engan Undang-Undang Nomor 13 Tahun 2006 </w:t>
      </w:r>
      <w:r w:rsidR="0082570F">
        <w:rPr>
          <w:rFonts w:asciiTheme="majorBidi" w:hAnsiTheme="majorBidi" w:cstheme="majorBidi"/>
          <w:noProof/>
          <w:sz w:val="18"/>
          <w:szCs w:val="18"/>
        </w:rPr>
        <w:t>t</w:t>
      </w:r>
      <w:r w:rsidRPr="00BC0107">
        <w:rPr>
          <w:rFonts w:asciiTheme="majorBidi" w:hAnsiTheme="majorBidi" w:cstheme="majorBidi"/>
          <w:noProof/>
          <w:sz w:val="18"/>
          <w:szCs w:val="18"/>
        </w:rPr>
        <w:t xml:space="preserve">entang Perlindungan Saksi </w:t>
      </w:r>
      <w:r w:rsidR="0082570F">
        <w:rPr>
          <w:rFonts w:asciiTheme="majorBidi" w:hAnsiTheme="majorBidi" w:cstheme="majorBidi"/>
          <w:noProof/>
          <w:sz w:val="18"/>
          <w:szCs w:val="18"/>
        </w:rPr>
        <w:t>d</w:t>
      </w:r>
      <w:r w:rsidRPr="00BC0107">
        <w:rPr>
          <w:rFonts w:asciiTheme="majorBidi" w:hAnsiTheme="majorBidi" w:cstheme="majorBidi"/>
          <w:noProof/>
          <w:sz w:val="18"/>
          <w:szCs w:val="18"/>
        </w:rPr>
        <w:t xml:space="preserve">an Korban,” </w:t>
      </w:r>
      <w:r w:rsidRPr="00BC0107">
        <w:rPr>
          <w:rFonts w:asciiTheme="majorBidi" w:hAnsiTheme="majorBidi" w:cstheme="majorBidi"/>
          <w:i/>
          <w:noProof/>
          <w:sz w:val="18"/>
          <w:szCs w:val="18"/>
        </w:rPr>
        <w:t>Justice Pro: Jurnal Ilmu Hukum</w:t>
      </w:r>
      <w:r w:rsidRPr="00BC0107">
        <w:rPr>
          <w:rFonts w:asciiTheme="majorBidi" w:hAnsiTheme="majorBidi" w:cstheme="majorBidi"/>
          <w:noProof/>
          <w:sz w:val="18"/>
          <w:szCs w:val="18"/>
        </w:rPr>
        <w:t xml:space="preserve"> Volume 3 N (2019): 11.</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 xml:space="preserve">, </w:t>
      </w:r>
      <w:r>
        <w:rPr>
          <w:rFonts w:asciiTheme="majorBidi" w:hAnsiTheme="majorBidi" w:cstheme="majorBidi"/>
          <w:sz w:val="18"/>
          <w:szCs w:val="18"/>
        </w:rPr>
        <w:t>h</w:t>
      </w:r>
      <w:r w:rsidRPr="00BC0107">
        <w:rPr>
          <w:rFonts w:asciiTheme="majorBidi" w:hAnsiTheme="majorBidi" w:cstheme="majorBidi"/>
          <w:sz w:val="18"/>
          <w:szCs w:val="18"/>
        </w:rPr>
        <w:t>lm 59</w:t>
      </w:r>
    </w:p>
  </w:footnote>
  <w:footnote w:id="83">
    <w:p w14:paraId="589D8C5E" w14:textId="79AC1957" w:rsidR="008D372B" w:rsidRPr="0082570F" w:rsidRDefault="008D372B" w:rsidP="0082570F">
      <w:pPr>
        <w:pStyle w:val="FootnoteText"/>
        <w:ind w:firstLine="720"/>
        <w:jc w:val="both"/>
        <w:rPr>
          <w:rFonts w:asciiTheme="majorBidi" w:hAnsiTheme="majorBidi" w:cstheme="majorBidi"/>
          <w:noProof/>
          <w:sz w:val="18"/>
          <w:szCs w:val="18"/>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82570F">
        <w:rPr>
          <w:rFonts w:asciiTheme="majorBidi" w:hAnsiTheme="majorBidi" w:cstheme="majorBidi"/>
          <w:sz w:val="18"/>
          <w:szCs w:val="18"/>
        </w:rPr>
        <w:instrText>ADDIN CSL_CITATION {"citationItems":[{"id":"ITEM-1","itemData":{"author":[{"dropping-particle":"","family":"Ida Ayu Kade Cinthia Dewi, Anak Agung Sagung Laksmi Dewi","given":"I Made Minggu Widyantara","non-dropping-particle":"","parse-names":false,"suffix":""}],"container-title":"Jurnal Preferensi Hukum","id":"ITEM-1","issued":{"date-parts":[["2023"]]},"title":"Kedudukan Saksi Mahkota Dalam Proses Pembuktian Tindak Pidana di Indonesia","type":"article-journal","volume":"Vol. 4, No"},"uris":["http://www.mendeley.com/documents/?uuid=47894df7-420c-4cd2-84a3-40c512e6417e"]}],"mendeley":{"formattedCitation":"I Made Minggu Widyantara Ida Ayu Kade Cinthia Dewi, Anak Agung Sagung Laksmi Dewi, “Kedudukan Saksi Mahkota Dalam Proses Pembuktian Tindak Pidana Di Indonesia,” &lt;i&gt;Jurnal Preferensi Hukum&lt;/i&gt; Vol. 4, No (2023), https://www.ejournal.warmadewa.ac.id/index.php/juprehum/article/download/6589/4541/.","manualFormatting":"I Made Minggu Widyantara Ida Ayu Kade Cinthia Dewi, Anak Agung Sagung Laksmi Dewi, “Kedudukan Saksi Mahkota dalam Proses Pembuktian Tindak Pidana di Indonesia,” Jurnal Preferensi Hukum Vol. 4, No (2023),  https://www.ejournal.warmadewa.ac.id/index.php/juprehum/article/download/6589/4541/.","plainTextFormattedCitation":"I Made Minggu Widyantara Ida Ayu Kade Cinthia Dewi, Anak Agung Sagung Laksmi Dewi, “Kedudukan Saksi Mahkota Dalam Proses Pembuktian Tindak Pidana Di Indonesia,” Jurnal Preferensi Hukum Vol. 4, No (2023), https://www.ejournal.warmadewa.ac.id/index.php/juprehum/article/download/6589/4541/.","previouslyFormattedCitation":"I Made Minggu Widyantara Ida Ayu Kade Cinthia Dewi, Anak Agung Sagung Laksmi Dewi, “Kedudukan Saksi Mahkota Dalam Proses Pembuktian Tindak Pidana Di Indonesia,” &lt;i&gt;Jurnal Preferensi Hukum&lt;/i&gt; Vol. 4, No (2023), https://www.ejournal.warmadewa.ac.id/index.php/juprehum/article/download/6589/4541/."},"properties":{"noteIndex":84},"schema":"https://github.com/citation-style-language/schema/raw/master/csl-citation.json"}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I Made Minggu Widyantara Ida Ayu Kade Cinthia Dewi, Anak Agung Sagung Laksmi Dewi, “Kedudukan Saksi Mahkota </w:t>
      </w:r>
      <w:r>
        <w:rPr>
          <w:rFonts w:asciiTheme="majorBidi" w:hAnsiTheme="majorBidi" w:cstheme="majorBidi"/>
          <w:noProof/>
          <w:sz w:val="18"/>
          <w:szCs w:val="18"/>
        </w:rPr>
        <w:t>d</w:t>
      </w:r>
      <w:r w:rsidRPr="00BC0107">
        <w:rPr>
          <w:rFonts w:asciiTheme="majorBidi" w:hAnsiTheme="majorBidi" w:cstheme="majorBidi"/>
          <w:noProof/>
          <w:sz w:val="18"/>
          <w:szCs w:val="18"/>
        </w:rPr>
        <w:t xml:space="preserve">alam Proses Pembuktian Tindak Pidana </w:t>
      </w:r>
      <w:r>
        <w:rPr>
          <w:rFonts w:asciiTheme="majorBidi" w:hAnsiTheme="majorBidi" w:cstheme="majorBidi"/>
          <w:noProof/>
          <w:sz w:val="18"/>
          <w:szCs w:val="18"/>
        </w:rPr>
        <w:t>d</w:t>
      </w:r>
      <w:r w:rsidRPr="00BC0107">
        <w:rPr>
          <w:rFonts w:asciiTheme="majorBidi" w:hAnsiTheme="majorBidi" w:cstheme="majorBidi"/>
          <w:noProof/>
          <w:sz w:val="18"/>
          <w:szCs w:val="18"/>
        </w:rPr>
        <w:t xml:space="preserve">i Indonesia,” </w:t>
      </w:r>
      <w:r w:rsidRPr="00BC0107">
        <w:rPr>
          <w:rFonts w:asciiTheme="majorBidi" w:hAnsiTheme="majorBidi" w:cstheme="majorBidi"/>
          <w:i/>
          <w:noProof/>
          <w:sz w:val="18"/>
          <w:szCs w:val="18"/>
        </w:rPr>
        <w:t>Jurnal Preferensi Hukum</w:t>
      </w:r>
      <w:r w:rsidRPr="00BC0107">
        <w:rPr>
          <w:rFonts w:asciiTheme="majorBidi" w:hAnsiTheme="majorBidi" w:cstheme="majorBidi"/>
          <w:noProof/>
          <w:sz w:val="18"/>
          <w:szCs w:val="18"/>
        </w:rPr>
        <w:t xml:space="preserve"> Vol. 4, No (2023), </w:t>
      </w:r>
      <w:r w:rsidR="0082570F">
        <w:rPr>
          <w:rFonts w:asciiTheme="majorBidi" w:hAnsiTheme="majorBidi" w:cstheme="majorBidi"/>
          <w:noProof/>
          <w:sz w:val="18"/>
          <w:szCs w:val="18"/>
        </w:rPr>
        <w:t xml:space="preserve"> </w:t>
      </w:r>
      <w:r w:rsidRPr="00BC0107">
        <w:rPr>
          <w:rFonts w:asciiTheme="majorBidi" w:hAnsiTheme="majorBidi" w:cstheme="majorBidi"/>
          <w:noProof/>
          <w:sz w:val="18"/>
          <w:szCs w:val="18"/>
        </w:rPr>
        <w:t>https://www.ejournal.warmadewa.ac.id/index.php/juprehum/article/download/6589/4541/.</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w:t>
      </w:r>
      <w:r>
        <w:rPr>
          <w:rFonts w:asciiTheme="majorBidi" w:hAnsiTheme="majorBidi" w:cstheme="majorBidi"/>
          <w:sz w:val="18"/>
          <w:szCs w:val="18"/>
        </w:rPr>
        <w:t>h</w:t>
      </w:r>
      <w:r w:rsidRPr="00BC0107">
        <w:rPr>
          <w:rFonts w:asciiTheme="majorBidi" w:hAnsiTheme="majorBidi" w:cstheme="majorBidi"/>
          <w:sz w:val="18"/>
          <w:szCs w:val="18"/>
        </w:rPr>
        <w:t>lm 126</w:t>
      </w:r>
    </w:p>
  </w:footnote>
  <w:footnote w:id="84">
    <w:p w14:paraId="2F1EE9F6" w14:textId="56BD17FF" w:rsidR="008D372B" w:rsidRPr="00BC0107" w:rsidRDefault="008D372B" w:rsidP="0082570F">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82570F">
        <w:rPr>
          <w:rFonts w:asciiTheme="majorBidi" w:hAnsiTheme="majorBidi" w:cstheme="majorBidi"/>
          <w:sz w:val="18"/>
          <w:szCs w:val="18"/>
        </w:rPr>
        <w:instrText>ADDIN CSL_CITATION {"citationItems":[{"id":"ITEM-1","itemData":{"author":[{"dropping-particle":"","family":"Wijaya","given":"Gede Pradana Arta","non-dropping-particle":"","parse-names":false,"suffix":""},{"dropping-particle":"","family":"Mangku","given":"Dewa Gede Sudika","non-dropping-particle":"","parse-names":false,"suffix":""},{"dropping-particle":"","family":"Hartono","given":"Made Sugi","non-dropping-particle":"","parse-names":false,"suffix":""}],"container-title":"e-Journal Komunikasi Yustisia Universitas Pendidikan Ganesha Program Studi Ilmu Hukum","id":"ITEM-1","issued":{"date-parts":[["2022"]]},"page":"11","title":"Pemeriksaan Saksi Korban Dalam Proses Persidangan Berdasarkan Pasal 160 Ayat 1 Huruf B KUHAP (Studi Kasus Putusan Pengadilan Negeri Singaraja dalam Perkara Nomor 95/Pid.Sus/2020/PN.Sgr)","type":"article-journal","volume":"Volume 5 N"},"uris":["http://www.mendeley.com/documents/?uuid=3f9d9c06-5779-4906-9e78-45f5aa186c2d"]}],"mendeley":{"formattedCitation":"Gede Pradana Arta Wijaya, Dewa Gede Sudika Mangku, and Made Sugi Hartono, “Pemeriksaan Saksi Korban Dalam Proses Persidangan Berdasarkan Pasal 160 Ayat 1 Huruf B KUHAP (Studi Kasus Putusan Pengadilan Negeri Singaraja Dalam Perkara Nomor 95/Pid.Sus/2020/PN.Sgr),” &lt;i&gt;e-Journal Komunikasi Yustisia Universitas Pendidikan Ganesha Program Studi Ilmu Hukum&lt;/i&gt; Volume 5 N (2022): 11.","manualFormatting":"Gede Pradana Arta Wijaya, Dewa Gede Sudika Mangku, and Made Sugi Hartono, “Pemeriksaan Saksi Korban dalam Proses Persidangan Berdasarkan Pasal 160 Ayat 1 Huruf b KUHAP (Studi Kasus Putusan Pengadilan Negeri Singaraja dalam Perkara Nomor 95/Pid.Sus/2020/PN.Sgr),” e-Journal Komunikasi Yustisia Universitas Pendidikan Ganesha Program Studi Ilmu Hukum Volume 5 N (2022): 11.","plainTextFormattedCitation":"Gede Pradana Arta Wijaya, Dewa Gede Sudika Mangku, and Made Sugi Hartono, “Pemeriksaan Saksi Korban Dalam Proses Persidangan Berdasarkan Pasal 160 Ayat 1 Huruf B KUHAP (Studi Kasus Putusan Pengadilan Negeri Singaraja Dalam Perkara Nomor 95/Pid.Sus/2020/PN.Sgr),” e-Journal Komunikasi Yustisia Universitas Pendidikan Ganesha Program Studi Ilmu Hukum Volume 5 N (2022): 11.","previouslyFormattedCitation":"Gede Pradana Arta Wijaya, Dewa Gede Sudika Mangku, and Made Sugi Hartono, “Pemeriksaan Saksi Korban Dalam Proses Persidangan Berdasarkan Pasal 160 Ayat 1 Huruf B KUHAP (Studi Kasus Putusan Pengadilan Negeri Singaraja Dalam Perkara Nomor 95/Pid.Sus/2020/PN.Sgr),” &lt;i&gt;e-Journal Komunikasi Yustisia Universitas Pendidikan Ganesha Program Studi Ilmu Hukum&lt;/i&gt; Volume 5 N (2022): 11."},"properties":{"noteIndex":85},"schema":"https://github.com/citation-style-language/schema/raw/master/csl-citation.json"}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Gede Pradana Arta Wijaya, Dewa Gede Sudika Mangku, and Made Sugi Hartono, “Pemeriksaan Saksi Korban </w:t>
      </w:r>
      <w:r>
        <w:rPr>
          <w:rFonts w:asciiTheme="majorBidi" w:hAnsiTheme="majorBidi" w:cstheme="majorBidi"/>
          <w:noProof/>
          <w:sz w:val="18"/>
          <w:szCs w:val="18"/>
        </w:rPr>
        <w:t>d</w:t>
      </w:r>
      <w:r w:rsidRPr="00BC0107">
        <w:rPr>
          <w:rFonts w:asciiTheme="majorBidi" w:hAnsiTheme="majorBidi" w:cstheme="majorBidi"/>
          <w:noProof/>
          <w:sz w:val="18"/>
          <w:szCs w:val="18"/>
        </w:rPr>
        <w:t xml:space="preserve">alam Proses Persidangan Berdasarkan Pasal 160 Ayat 1 Huruf </w:t>
      </w:r>
      <w:r w:rsidR="0082570F">
        <w:rPr>
          <w:rFonts w:asciiTheme="majorBidi" w:hAnsiTheme="majorBidi" w:cstheme="majorBidi"/>
          <w:noProof/>
          <w:sz w:val="18"/>
          <w:szCs w:val="18"/>
        </w:rPr>
        <w:t>b</w:t>
      </w:r>
      <w:r w:rsidRPr="00BC0107">
        <w:rPr>
          <w:rFonts w:asciiTheme="majorBidi" w:hAnsiTheme="majorBidi" w:cstheme="majorBidi"/>
          <w:noProof/>
          <w:sz w:val="18"/>
          <w:szCs w:val="18"/>
        </w:rPr>
        <w:t xml:space="preserve"> KUHAP (Studi Kasus Putusan Pengadilan Negeri Singaraja </w:t>
      </w:r>
      <w:r>
        <w:rPr>
          <w:rFonts w:asciiTheme="majorBidi" w:hAnsiTheme="majorBidi" w:cstheme="majorBidi"/>
          <w:noProof/>
          <w:sz w:val="18"/>
          <w:szCs w:val="18"/>
        </w:rPr>
        <w:t>d</w:t>
      </w:r>
      <w:r w:rsidRPr="00BC0107">
        <w:rPr>
          <w:rFonts w:asciiTheme="majorBidi" w:hAnsiTheme="majorBidi" w:cstheme="majorBidi"/>
          <w:noProof/>
          <w:sz w:val="18"/>
          <w:szCs w:val="18"/>
        </w:rPr>
        <w:t xml:space="preserve">alam Perkara Nomor 95/Pid.Sus/2020/PN.Sgr),” </w:t>
      </w:r>
      <w:r w:rsidRPr="00BC0107">
        <w:rPr>
          <w:rFonts w:asciiTheme="majorBidi" w:hAnsiTheme="majorBidi" w:cstheme="majorBidi"/>
          <w:i/>
          <w:noProof/>
          <w:sz w:val="18"/>
          <w:szCs w:val="18"/>
        </w:rPr>
        <w:t>e-Journal Komunikasi Yustisia Universitas Pendidikan Ganesha Program Studi Ilmu Hukum</w:t>
      </w:r>
      <w:r w:rsidRPr="00BC0107">
        <w:rPr>
          <w:rFonts w:asciiTheme="majorBidi" w:hAnsiTheme="majorBidi" w:cstheme="majorBidi"/>
          <w:noProof/>
          <w:sz w:val="18"/>
          <w:szCs w:val="18"/>
        </w:rPr>
        <w:t xml:space="preserve"> Volume 5 N (2022): 11.</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 xml:space="preserve">, </w:t>
      </w:r>
      <w:r>
        <w:rPr>
          <w:rFonts w:asciiTheme="majorBidi" w:hAnsiTheme="majorBidi" w:cstheme="majorBidi"/>
          <w:sz w:val="18"/>
          <w:szCs w:val="18"/>
        </w:rPr>
        <w:t>h</w:t>
      </w:r>
      <w:r w:rsidRPr="00BC0107">
        <w:rPr>
          <w:rFonts w:asciiTheme="majorBidi" w:hAnsiTheme="majorBidi" w:cstheme="majorBidi"/>
          <w:sz w:val="18"/>
          <w:szCs w:val="18"/>
        </w:rPr>
        <w:t>lm 535</w:t>
      </w:r>
    </w:p>
  </w:footnote>
  <w:footnote w:id="85">
    <w:p w14:paraId="500246DA" w14:textId="1EDA6F05" w:rsidR="008D372B" w:rsidRPr="00BC0107" w:rsidRDefault="008D372B" w:rsidP="0082570F">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82570F">
        <w:rPr>
          <w:rFonts w:asciiTheme="majorBidi" w:hAnsiTheme="majorBidi" w:cstheme="majorBidi"/>
          <w:sz w:val="18"/>
          <w:szCs w:val="18"/>
        </w:rPr>
        <w:instrText>ADDIN CSL_CITATION {"citationItems":[{"id":"ITEM-1","itemData":{"author":[{"dropping-particle":"","family":"Eddy Suwito","given":"","non-dropping-particle":"","parse-names":false,"suffix":""}],"container-title":"Momentum Jurnal Sosial dan Keagamaan","id":"ITEM-1","issued":{"date-parts":[["2020"]]},"title":"Tinjauan Yuridis Keberadaan Saksi Sebagai Whistleblower dan Justice Collaborators Pada Tindak Pidana Korupsi","type":"article-journal","volume":"Volume 09 "},"uris":["http://www.mendeley.com/documents/?uuid=6bca53cf-f6fb-420f-9fb8-f88ec76efd5b"]}],"mendeley":{"formattedCitation":"Eddy Suwito, “Tinjauan Yuridis Keberadaan Saksi Sebagai Whistleblower Dan Justice Collaborators Pada Tindak Pidana Korupsi,” &lt;i&gt;Momentum Jurnal Sosial dan Keagamaan&lt;/i&gt; Volume 09 (2020).","manualFormatting":"Eddy Suwito, “Tinjauan Yuridis Keberadaan Saksi Sebagai Whistleblower dan Justice Collaborators pada Tindak Pidana Korupsi,” Momentum Jurnal Sosial dan Keagamaan Volume 09 (2020).","plainTextFormattedCitation":"Eddy Suwito, “Tinjauan Yuridis Keberadaan Saksi Sebagai Whistleblower Dan Justice Collaborators Pada Tindak Pidana Korupsi,” Momentum Jurnal Sosial dan Keagamaan Volume 09 (2020).","previouslyFormattedCitation":"Eddy Suwito, “Tinjauan Yuridis Keberadaan Saksi Sebagai Whistleblower Dan Justice Collaborators Pada Tindak Pidana Korupsi,” &lt;i&gt;Momentum Jurnal Sosial dan Keagamaan&lt;/i&gt; Volume 09 (2020)."},"properties":{"noteIndex":86},"schema":"https://github.com/citation-style-language/schema/raw/master/csl-citation.json"}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Eddy Suwito, “Tinjauan Yuridis Keberadaan Saksi Sebagai Whistleblower </w:t>
      </w:r>
      <w:r>
        <w:rPr>
          <w:rFonts w:asciiTheme="majorBidi" w:hAnsiTheme="majorBidi" w:cstheme="majorBidi"/>
          <w:noProof/>
          <w:sz w:val="18"/>
          <w:szCs w:val="18"/>
        </w:rPr>
        <w:t>d</w:t>
      </w:r>
      <w:r w:rsidRPr="00BC0107">
        <w:rPr>
          <w:rFonts w:asciiTheme="majorBidi" w:hAnsiTheme="majorBidi" w:cstheme="majorBidi"/>
          <w:noProof/>
          <w:sz w:val="18"/>
          <w:szCs w:val="18"/>
        </w:rPr>
        <w:t xml:space="preserve">an Justice Collaborators </w:t>
      </w:r>
      <w:r w:rsidR="0082570F">
        <w:rPr>
          <w:rFonts w:asciiTheme="majorBidi" w:hAnsiTheme="majorBidi" w:cstheme="majorBidi"/>
          <w:noProof/>
          <w:sz w:val="18"/>
          <w:szCs w:val="18"/>
        </w:rPr>
        <w:t>p</w:t>
      </w:r>
      <w:r w:rsidRPr="00BC0107">
        <w:rPr>
          <w:rFonts w:asciiTheme="majorBidi" w:hAnsiTheme="majorBidi" w:cstheme="majorBidi"/>
          <w:noProof/>
          <w:sz w:val="18"/>
          <w:szCs w:val="18"/>
        </w:rPr>
        <w:t xml:space="preserve">ada Tindak Pidana Korupsi,” </w:t>
      </w:r>
      <w:r w:rsidRPr="00BC0107">
        <w:rPr>
          <w:rFonts w:asciiTheme="majorBidi" w:hAnsiTheme="majorBidi" w:cstheme="majorBidi"/>
          <w:i/>
          <w:noProof/>
          <w:sz w:val="18"/>
          <w:szCs w:val="18"/>
        </w:rPr>
        <w:t>Momentum Jurnal Sosial dan Keagamaan</w:t>
      </w:r>
      <w:r w:rsidRPr="00BC0107">
        <w:rPr>
          <w:rFonts w:asciiTheme="majorBidi" w:hAnsiTheme="majorBidi" w:cstheme="majorBidi"/>
          <w:noProof/>
          <w:sz w:val="18"/>
          <w:szCs w:val="18"/>
        </w:rPr>
        <w:t xml:space="preserve"> Volume 09 (2020).</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 xml:space="preserve">, </w:t>
      </w:r>
      <w:r>
        <w:rPr>
          <w:rFonts w:asciiTheme="majorBidi" w:hAnsiTheme="majorBidi" w:cstheme="majorBidi"/>
          <w:sz w:val="18"/>
          <w:szCs w:val="18"/>
        </w:rPr>
        <w:t>h</w:t>
      </w:r>
      <w:r w:rsidRPr="00BC0107">
        <w:rPr>
          <w:rFonts w:asciiTheme="majorBidi" w:hAnsiTheme="majorBidi" w:cstheme="majorBidi"/>
          <w:sz w:val="18"/>
          <w:szCs w:val="18"/>
        </w:rPr>
        <w:t>lm 85</w:t>
      </w:r>
    </w:p>
  </w:footnote>
  <w:footnote w:id="86">
    <w:p w14:paraId="0264F3CA" w14:textId="50790A84" w:rsidR="008D372B" w:rsidRPr="00BC0107" w:rsidRDefault="008D372B" w:rsidP="0082570F">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CA04C8">
        <w:rPr>
          <w:rFonts w:asciiTheme="majorBidi" w:hAnsiTheme="majorBidi" w:cstheme="majorBidi"/>
          <w:sz w:val="18"/>
          <w:szCs w:val="18"/>
        </w:rPr>
        <w:instrText>ADDIN CSL_CITATION {"citationItems":[{"id":"ITEM-1","itemData":{"author":[{"dropping-particle":"","family":"Khafifah Nuzia Arini","given":"Herman Sujarwo","non-dropping-particle":"","parse-names":false,"suffix":""}],"container-title":"Syariati Jurnal Studi Al quran dan Hukum","id":"ITEM-1","issued":{"date-parts":[["2021"]]},"title":"Kedudukan Saksi Ahli Dalam Persidangan Perkara Pidana","type":"article-journal","volume":"Vol. VII N"},"uris":["http://www.mendeley.com/documents/?uuid=6b49ca44-57c8-4242-9b82-aaa780cd2f34"]}],"mendeley":{"formattedCitation":"Herman Sujarwo Khafifah Nuzia Arini, “Kedudukan Saksi Ahli Dalam Persidangan Perkara Pidana,” &lt;i&gt;Syariati Jurnal Studi Al quran dan Hukum&lt;/i&gt; Vol. VII N (2021).","manualFormatting":"Herman Sujarwo Khafifah Nuzia Arini, “Kedudukan Saksi Ahli dalam Persidangan Perkara Pidana,” Syariati Jurnal Studi Al quran dan Hukum Vol. VII N (2021).","plainTextFormattedCitation":"Herman Sujarwo Khafifah Nuzia Arini, “Kedudukan Saksi Ahli Dalam Persidangan Perkara Pidana,” Syariati Jurnal Studi Al quran dan Hukum Vol. VII N (2021).","previouslyFormattedCitation":"Herman Sujarwo Khafifah Nuzia Arini, “Kedudukan Saksi Ahli Dalam Persidangan Perkara Pidana,” &lt;i&gt;Syariati Jurnal Studi Al quran dan Hukum&lt;/i&gt; Vol. VII N (2021)."},"properties":{"noteIndex":87},"schema":"https://github.com/citation-style-language/schema/raw/master/csl-citation.json"}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Herman Sujarwo Khafifah Nuzia Arini, “Kedudukan Saksi Ahli </w:t>
      </w:r>
      <w:r>
        <w:rPr>
          <w:rFonts w:asciiTheme="majorBidi" w:hAnsiTheme="majorBidi" w:cstheme="majorBidi"/>
          <w:noProof/>
          <w:sz w:val="18"/>
          <w:szCs w:val="18"/>
        </w:rPr>
        <w:t>d</w:t>
      </w:r>
      <w:r w:rsidRPr="00BC0107">
        <w:rPr>
          <w:rFonts w:asciiTheme="majorBidi" w:hAnsiTheme="majorBidi" w:cstheme="majorBidi"/>
          <w:noProof/>
          <w:sz w:val="18"/>
          <w:szCs w:val="18"/>
        </w:rPr>
        <w:t xml:space="preserve">alam Persidangan Perkara Pidana,” </w:t>
      </w:r>
      <w:r w:rsidRPr="00BC0107">
        <w:rPr>
          <w:rFonts w:asciiTheme="majorBidi" w:hAnsiTheme="majorBidi" w:cstheme="majorBidi"/>
          <w:i/>
          <w:noProof/>
          <w:sz w:val="18"/>
          <w:szCs w:val="18"/>
        </w:rPr>
        <w:t>Syariati Jurnal Studi Al quran dan Hukum</w:t>
      </w:r>
      <w:r w:rsidRPr="00BC0107">
        <w:rPr>
          <w:rFonts w:asciiTheme="majorBidi" w:hAnsiTheme="majorBidi" w:cstheme="majorBidi"/>
          <w:noProof/>
          <w:sz w:val="18"/>
          <w:szCs w:val="18"/>
        </w:rPr>
        <w:t xml:space="preserve"> Vol. VII N (2021).</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 xml:space="preserve">, </w:t>
      </w:r>
      <w:r>
        <w:rPr>
          <w:rFonts w:asciiTheme="majorBidi" w:hAnsiTheme="majorBidi" w:cstheme="majorBidi"/>
          <w:sz w:val="18"/>
          <w:szCs w:val="18"/>
        </w:rPr>
        <w:t>h</w:t>
      </w:r>
      <w:r w:rsidRPr="00BC0107">
        <w:rPr>
          <w:rFonts w:asciiTheme="majorBidi" w:hAnsiTheme="majorBidi" w:cstheme="majorBidi"/>
          <w:sz w:val="18"/>
          <w:szCs w:val="18"/>
        </w:rPr>
        <w:t>lm 249</w:t>
      </w:r>
    </w:p>
  </w:footnote>
  <w:footnote w:id="87">
    <w:p w14:paraId="75E930A5" w14:textId="2830FCD3" w:rsidR="008D372B" w:rsidRPr="00BC0107" w:rsidRDefault="008D372B" w:rsidP="0082570F">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CA04C8">
        <w:rPr>
          <w:rFonts w:asciiTheme="majorBidi" w:hAnsiTheme="majorBidi" w:cstheme="majorBidi"/>
          <w:sz w:val="18"/>
          <w:szCs w:val="18"/>
        </w:rPr>
        <w:instrText>ADDIN CSL_CITATION {"citationItems":[{"id":"ITEM-1","itemData":{"author":[{"dropping-particle":"","family":"Sisika Lia Sulistiani","given":"","non-dropping-particle":"","parse-names":false,"suffix":""}],"edition":"Cet 1","editor":[{"dropping-particle":"","family":"Kurniawan Ahmad","given":"","non-dropping-particle":"","parse-names":false,"suffix":""}],"id":"ITEM-1","issued":{"date-parts":[["2020"]]},"number-of-pages":"204","publisher":"Sinar Grafika","publisher-place":"Jakarta","title":"Peradilan Islam","type":"book"},"uris":["http://www.mendeley.com/documents/?uuid=77d99538-dba5-4e12-b033-538b80855667"]}],"mendeley":{"formattedCitation":"Sisika Lia Sulistiani, &lt;i&gt;Peradilan Islam&lt;/i&gt;, ed. Kurniawan Ahmad, Cet 1. (Jakarta: Sinar Grafika, 2020).","plainTextFormattedCitation":"Sisika Lia Sulistiani, Peradilan Islam, ed. Kurniawan Ahmad, Cet 1. (Jakarta: Sinar Grafika, 2020).","previouslyFormattedCitation":"Sisika Lia Sulistiani, &lt;i&gt;Peradilan Islam&lt;/i&gt;, ed. Kurniawan Ahmad, Cet 1. (Jakarta: Sinar Grafika, 2020)."},"properties":{"noteIndex":88},"schema":"https://github.com/citation-style-language/schema/raw/master/csl-citation.json"}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Sisika Lia Sulistiani, </w:t>
      </w:r>
      <w:r w:rsidRPr="00BC0107">
        <w:rPr>
          <w:rFonts w:asciiTheme="majorBidi" w:hAnsiTheme="majorBidi" w:cstheme="majorBidi"/>
          <w:i/>
          <w:noProof/>
          <w:sz w:val="18"/>
          <w:szCs w:val="18"/>
        </w:rPr>
        <w:t>Peradilan Islam</w:t>
      </w:r>
      <w:r w:rsidRPr="00BC0107">
        <w:rPr>
          <w:rFonts w:asciiTheme="majorBidi" w:hAnsiTheme="majorBidi" w:cstheme="majorBidi"/>
          <w:noProof/>
          <w:sz w:val="18"/>
          <w:szCs w:val="18"/>
        </w:rPr>
        <w:t>, ed. Kurniawan Ahmad, Cet 1. (Jakarta: Sinar Grafika, 2020).</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 xml:space="preserve">, </w:t>
      </w:r>
      <w:r>
        <w:rPr>
          <w:rFonts w:asciiTheme="majorBidi" w:hAnsiTheme="majorBidi" w:cstheme="majorBidi"/>
          <w:sz w:val="18"/>
          <w:szCs w:val="18"/>
        </w:rPr>
        <w:t>h</w:t>
      </w:r>
      <w:r w:rsidRPr="00BC0107">
        <w:rPr>
          <w:rFonts w:asciiTheme="majorBidi" w:hAnsiTheme="majorBidi" w:cstheme="majorBidi"/>
          <w:sz w:val="18"/>
          <w:szCs w:val="18"/>
        </w:rPr>
        <w:t>lm 111</w:t>
      </w:r>
    </w:p>
  </w:footnote>
  <w:footnote w:id="88">
    <w:p w14:paraId="0DFC26DA" w14:textId="7F23F44E" w:rsidR="008D372B" w:rsidRPr="00BC0107" w:rsidRDefault="008D372B" w:rsidP="00F6343B">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CA04C8">
        <w:rPr>
          <w:rFonts w:asciiTheme="majorBidi" w:hAnsiTheme="majorBidi" w:cstheme="majorBidi"/>
          <w:sz w:val="18"/>
          <w:szCs w:val="18"/>
        </w:rPr>
        <w:instrText>ADDIN CSL_CITATION {"citationItems":[{"id":"ITEM-1","itemData":{"author":[{"dropping-particle":"","family":"Sisika Lia Sulistiani","given":"","non-dropping-particle":"","parse-names":false,"suffix":""}],"edition":"Cet 1","editor":[{"dropping-particle":"","family":"Kurniawan Ahmad","given":"","non-dropping-particle":"","parse-names":false,"suffix":""}],"id":"ITEM-1","issued":{"date-parts":[["2020"]]},"number-of-pages":"204","publisher":"Sinar Grafika","publisher-place":"Jakarta","title":"Peradilan Islam","type":"book"},"uris":["http://www.mendeley.com/documents/?uuid=77d99538-dba5-4e12-b033-538b80855667"]}],"mendeley":{"formattedCitation":"Ibid.","plainTextFormattedCitation":"Ibid.","previouslyFormattedCitation":"Ibid."},"properties":{"noteIndex":89},"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Ibid.</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 xml:space="preserve">, </w:t>
      </w:r>
      <w:r>
        <w:rPr>
          <w:rFonts w:asciiTheme="majorBidi" w:hAnsiTheme="majorBidi" w:cstheme="majorBidi"/>
          <w:sz w:val="18"/>
          <w:szCs w:val="18"/>
        </w:rPr>
        <w:t>h</w:t>
      </w:r>
      <w:r w:rsidRPr="00BC0107">
        <w:rPr>
          <w:rFonts w:asciiTheme="majorBidi" w:hAnsiTheme="majorBidi" w:cstheme="majorBidi"/>
          <w:sz w:val="18"/>
          <w:szCs w:val="18"/>
        </w:rPr>
        <w:t>lm 111</w:t>
      </w:r>
    </w:p>
  </w:footnote>
  <w:footnote w:id="89">
    <w:p w14:paraId="1D6B3BCF" w14:textId="11C6D630" w:rsidR="008D372B" w:rsidRPr="00BC0107" w:rsidRDefault="008D372B" w:rsidP="009017FC">
      <w:pPr>
        <w:pStyle w:val="FootnoteText"/>
        <w:ind w:left="720"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CA04C8">
        <w:rPr>
          <w:rFonts w:asciiTheme="majorBidi" w:hAnsiTheme="majorBidi" w:cstheme="majorBidi"/>
          <w:sz w:val="18"/>
          <w:szCs w:val="18"/>
        </w:rPr>
        <w:instrText>ADDIN CSL_CITATION {"citationItems":[{"id":"ITEM-1","itemData":{"author":[{"dropping-particle":"","family":"Syamsuri, Abdul Basit Junaidy, Nur Lailatul Musyafa'ah","given":"Moh. Mufid","non-dropping-particle":"","parse-names":false,"suffix":""}],"edition":"cet 1","editor":[{"dropping-particle":"","family":"Wahyono Abdul Ghofur","given":"Iklilah Muzayyanah Dini Fajriyah","non-dropping-particle":"","parse-names":false,"suffix":""}],"id":"ITEM-1","issued":{"date-parts":[["2020"]]},"number-of-pages":"426","publisher":"PT Rajawali Buana Pustaka","publisher-place":"Depok","title":"Hukum Pidana Islam","type":"book"},"uris":["http://www.mendeley.com/documents/?uuid=3974180b-66a1-4556-9eb0-87dc8d8afc15"]}],"mendeley":{"formattedCitation":"Syamsuri, Abdul Basit Junaidy, Nur Lailatul Musyafa’ah, &lt;i&gt;Hukum Pidana Islam&lt;/i&gt;.","plainTextFormattedCitation":"Syamsuri, Abdul Basit Junaidy, Nur Lailatul Musyafa’ah, Hukum Pidana Islam.","previouslyFormattedCitation":"Syamsuri, Abdul Basit Junaidy, Nur Lailatul Musyafa’ah, &lt;i&gt;Hukum Pidana Islam&lt;/i&gt;."},"properties":{"noteIndex":90},"schema":"https://github.com/citation-style-language/schema/raw/master/csl-citation.json"}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Syamsuri, Abdul Basit Junaidy, Nur Lailatul Musyafa’ah, </w:t>
      </w:r>
      <w:r w:rsidRPr="00BC0107">
        <w:rPr>
          <w:rFonts w:asciiTheme="majorBidi" w:hAnsiTheme="majorBidi" w:cstheme="majorBidi"/>
          <w:i/>
          <w:noProof/>
          <w:sz w:val="18"/>
          <w:szCs w:val="18"/>
        </w:rPr>
        <w:t>Hukum Pidana Islam</w:t>
      </w:r>
      <w:r w:rsidRPr="00BC0107">
        <w:rPr>
          <w:rFonts w:asciiTheme="majorBidi" w:hAnsiTheme="majorBidi" w:cstheme="majorBidi"/>
          <w:noProof/>
          <w:sz w:val="18"/>
          <w:szCs w:val="18"/>
        </w:rPr>
        <w:t>.</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 xml:space="preserve">, </w:t>
      </w:r>
      <w:r>
        <w:rPr>
          <w:rFonts w:asciiTheme="majorBidi" w:hAnsiTheme="majorBidi" w:cstheme="majorBidi"/>
          <w:sz w:val="18"/>
          <w:szCs w:val="18"/>
        </w:rPr>
        <w:t>h</w:t>
      </w:r>
      <w:r w:rsidRPr="00BC0107">
        <w:rPr>
          <w:rFonts w:asciiTheme="majorBidi" w:hAnsiTheme="majorBidi" w:cstheme="majorBidi"/>
          <w:sz w:val="18"/>
          <w:szCs w:val="18"/>
        </w:rPr>
        <w:t>lm 140</w:t>
      </w:r>
    </w:p>
  </w:footnote>
  <w:footnote w:id="90">
    <w:p w14:paraId="35E23A09" w14:textId="5B091BAB" w:rsidR="008D372B" w:rsidRPr="00BC0107" w:rsidRDefault="008D372B" w:rsidP="009017FC">
      <w:pPr>
        <w:pStyle w:val="FootnoteText"/>
        <w:ind w:left="720"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Pr>
          <w:rFonts w:asciiTheme="majorBidi" w:hAnsiTheme="majorBidi" w:cstheme="majorBidi"/>
          <w:sz w:val="18"/>
          <w:szCs w:val="18"/>
        </w:rPr>
        <w:t xml:space="preserve">Lihat di website, </w:t>
      </w:r>
      <w:r w:rsidRPr="00BC0107">
        <w:rPr>
          <w:rFonts w:asciiTheme="majorBidi" w:hAnsiTheme="majorBidi" w:cstheme="majorBidi"/>
          <w:sz w:val="18"/>
          <w:szCs w:val="18"/>
        </w:rPr>
        <w:fldChar w:fldCharType="begin" w:fldLock="1"/>
      </w:r>
      <w:r w:rsidR="00CA04C8">
        <w:rPr>
          <w:rFonts w:asciiTheme="majorBidi" w:hAnsiTheme="majorBidi" w:cstheme="majorBidi"/>
          <w:sz w:val="18"/>
          <w:szCs w:val="18"/>
        </w:rPr>
        <w:instrText>ADDIN CSL_CITATION {"citationItems":[{"id":"ITEM-1","itemData":{"URL":"https://quran.nu.or.id","accessed":{"date-parts":[["2024","2","10"]]},"author":[{"dropping-particle":"","family":"Quran.nu.or.i","given":"","non-dropping-particle":"","parse-names":false,"suffix":""}],"container-title":"https://quran.nu.or.id","id":"ITEM-1","issued":{"date-parts":[["0"]]},"title":"Al Quran","type":"webpage"},"uris":["http://www.mendeley.com/documents/?uuid=0d70ed8d-7f51-438b-b545-36b39f4bc4a9"]}],"mendeley":{"formattedCitation":"Quran.nu.or.i, “Al Quran.”","plainTextFormattedCitation":"Quran.nu.or.i, “Al Quran.”","previouslyFormattedCitation":"Quran.nu.or.i, “Al Quran.”"},"properties":{"noteIndex":91},"schema":"https://github.com/citation-style-language/schema/raw/master/csl-citation.json"}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Quran.nu.or.i, “Al Quran.”</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 Q</w:t>
      </w:r>
      <w:r>
        <w:rPr>
          <w:rFonts w:asciiTheme="majorBidi" w:hAnsiTheme="majorBidi" w:cstheme="majorBidi"/>
          <w:sz w:val="18"/>
          <w:szCs w:val="18"/>
        </w:rPr>
        <w:t>.S</w:t>
      </w:r>
      <w:r w:rsidRPr="00BC0107">
        <w:rPr>
          <w:rFonts w:asciiTheme="majorBidi" w:hAnsiTheme="majorBidi" w:cstheme="majorBidi"/>
          <w:sz w:val="18"/>
          <w:szCs w:val="18"/>
        </w:rPr>
        <w:t xml:space="preserve"> Al-M</w:t>
      </w:r>
      <w:r>
        <w:rPr>
          <w:rFonts w:asciiTheme="majorBidi" w:hAnsiTheme="majorBidi" w:cstheme="majorBidi"/>
          <w:sz w:val="18"/>
          <w:szCs w:val="18"/>
        </w:rPr>
        <w:t>a’</w:t>
      </w:r>
      <w:r w:rsidRPr="00BC0107">
        <w:rPr>
          <w:rFonts w:asciiTheme="majorBidi" w:hAnsiTheme="majorBidi" w:cstheme="majorBidi"/>
          <w:sz w:val="18"/>
          <w:szCs w:val="18"/>
        </w:rPr>
        <w:t>idah ayat 106.</w:t>
      </w:r>
    </w:p>
  </w:footnote>
  <w:footnote w:id="91">
    <w:p w14:paraId="5886A39E" w14:textId="44ADAEED" w:rsidR="0082570F" w:rsidRPr="001C7526" w:rsidRDefault="0082570F" w:rsidP="001C7526">
      <w:pPr>
        <w:pStyle w:val="FootnoteText"/>
        <w:ind w:left="720"/>
        <w:rPr>
          <w:rFonts w:asciiTheme="majorBidi" w:hAnsiTheme="majorBidi" w:cstheme="majorBidi"/>
          <w:sz w:val="18"/>
          <w:szCs w:val="18"/>
          <w:lang w:val="en-US"/>
        </w:rPr>
      </w:pPr>
      <w:r w:rsidRPr="001C7526">
        <w:rPr>
          <w:rStyle w:val="FootnoteReference"/>
          <w:rFonts w:asciiTheme="majorBidi" w:hAnsiTheme="majorBidi" w:cstheme="majorBidi"/>
          <w:sz w:val="18"/>
          <w:szCs w:val="18"/>
        </w:rPr>
        <w:footnoteRef/>
      </w:r>
      <w:r w:rsidRPr="001C7526">
        <w:rPr>
          <w:rFonts w:asciiTheme="majorBidi" w:hAnsiTheme="majorBidi" w:cstheme="majorBidi"/>
          <w:sz w:val="18"/>
          <w:szCs w:val="18"/>
        </w:rPr>
        <w:t xml:space="preserve"> </w:t>
      </w:r>
      <w:r w:rsidRPr="001C7526">
        <w:rPr>
          <w:rFonts w:asciiTheme="majorBidi" w:hAnsiTheme="majorBidi" w:cstheme="majorBidi"/>
          <w:sz w:val="18"/>
          <w:szCs w:val="18"/>
        </w:rPr>
        <w:fldChar w:fldCharType="begin" w:fldLock="1"/>
      </w:r>
      <w:r w:rsidR="0094546B">
        <w:rPr>
          <w:rFonts w:asciiTheme="majorBidi" w:hAnsiTheme="majorBidi" w:cstheme="majorBidi"/>
          <w:sz w:val="18"/>
          <w:szCs w:val="18"/>
        </w:rPr>
        <w:instrText>ADDIN CSL_CITATION {"citationItems":[{"id":"ITEM-1","itemData":{"URL":"https://quran.nu.or.id","accessed":{"date-parts":[["2024","2","10"]]},"author":[{"dropping-particle":"","family":"Quran.nu.or.i","given":"","non-dropping-particle":"","parse-names":false,"suffix":""}],"container-title":"https://quran.nu.or.id","id":"ITEM-1","issued":{"date-parts":[["0"]]},"title":"Al Quran","type":"webpage"},"uris":["http://www.mendeley.com/documents/?uuid=0d70ed8d-7f51-438b-b545-36b39f4bc4a9"]}],"mendeley":{"formattedCitation":"Ibid.","plainTextFormattedCitation":"Ibid.","previouslyFormattedCitation":"Ibid."},"properties":{"noteIndex":92},"schema":"https://github.com/citation-style-language/schema/raw/master/csl-citation.json"}</w:instrText>
      </w:r>
      <w:r w:rsidRPr="001C7526">
        <w:rPr>
          <w:rFonts w:asciiTheme="majorBidi" w:hAnsiTheme="majorBidi" w:cstheme="majorBidi"/>
          <w:sz w:val="18"/>
          <w:szCs w:val="18"/>
        </w:rPr>
        <w:fldChar w:fldCharType="separate"/>
      </w:r>
      <w:r w:rsidRPr="001C7526">
        <w:rPr>
          <w:rFonts w:asciiTheme="majorBidi" w:hAnsiTheme="majorBidi" w:cstheme="majorBidi"/>
          <w:noProof/>
          <w:sz w:val="18"/>
          <w:szCs w:val="18"/>
        </w:rPr>
        <w:t>Ibid.</w:t>
      </w:r>
      <w:r w:rsidRPr="001C7526">
        <w:rPr>
          <w:rFonts w:asciiTheme="majorBidi" w:hAnsiTheme="majorBidi" w:cstheme="majorBidi"/>
          <w:sz w:val="18"/>
          <w:szCs w:val="18"/>
        </w:rPr>
        <w:fldChar w:fldCharType="end"/>
      </w:r>
      <w:r w:rsidR="001C7526">
        <w:rPr>
          <w:rFonts w:asciiTheme="majorBidi" w:hAnsiTheme="majorBidi" w:cstheme="majorBidi"/>
          <w:sz w:val="18"/>
          <w:szCs w:val="18"/>
        </w:rPr>
        <w:t xml:space="preserve"> Terjemahan </w:t>
      </w:r>
      <w:r w:rsidR="001C7526" w:rsidRPr="001C7526">
        <w:rPr>
          <w:rFonts w:asciiTheme="majorBidi" w:hAnsiTheme="majorBidi" w:cstheme="majorBidi"/>
          <w:sz w:val="18"/>
          <w:szCs w:val="18"/>
        </w:rPr>
        <w:t>(Q.S Al-Ma’idah:106)</w:t>
      </w:r>
    </w:p>
  </w:footnote>
  <w:footnote w:id="92">
    <w:p w14:paraId="42D929D6" w14:textId="5F6A24AF" w:rsidR="008D372B" w:rsidRPr="00BC0107" w:rsidRDefault="008D372B" w:rsidP="001C7526">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82570F">
        <w:rPr>
          <w:rFonts w:asciiTheme="majorBidi" w:hAnsiTheme="majorBidi" w:cstheme="majorBidi"/>
          <w:sz w:val="18"/>
          <w:szCs w:val="18"/>
        </w:rPr>
        <w:instrText>ADDIN CSL_CITATION {"citationItems":[{"id":"ITEM-1","itemData":{"author":[{"dropping-particle":"","family":"Zulkarnain Lubis","given":"Bakti Ritonga","non-dropping-particle":"","parse-names":false,"suffix":""}],"edition":"Cet 1","editor":[{"dropping-particle":"","family":"Rendy","given":"","non-dropping-particle":"","parse-names":false,"suffix":""}],"id":"ITEM-1","issued":{"date-parts":[["2016"]]},"number-of-pages":"258","publisher":"Kencana Prenada Media Group","publisher-place":"Jakarta","title":"Dasar Dasar Hukum Acara Jinayat","type":"book"},"uris":["http://www.mendeley.com/documents/?uuid=338e14ed-bec1-4781-b0c2-080dedfc4a3e"]}],"mendeley":{"formattedCitation":"Bakti Ritonga Zulkarnain Lubis, &lt;i&gt;Dasar Dasar Hukum Acara Jinayat&lt;/i&gt;, ed. Rendy, Cet 1. (Jakarta: Kencana Prenada Media Group, 2016).","plainTextFormattedCitation":"Bakti Ritonga Zulkarnain Lubis, Dasar Dasar Hukum Acara Jinayat, ed. Rendy, Cet 1. (Jakarta: Kencana Prenada Media Group, 2016).","previouslyFormattedCitation":"Bakti Ritonga Zulkarnain Lubis, &lt;i&gt;Dasar Dasar Hukum Acara Jinayat&lt;/i&gt;, ed. Rendy, Cet 1. (Jakarta: Kencana Prenada Media Group, 2016)."},"properties":{"noteIndex":93},"schema":"https://github.com/citation-style-language/schema/raw/master/csl-citation.json"}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Bakti Ritonga Zulkarnain Lubis, </w:t>
      </w:r>
      <w:r w:rsidRPr="00BC0107">
        <w:rPr>
          <w:rFonts w:asciiTheme="majorBidi" w:hAnsiTheme="majorBidi" w:cstheme="majorBidi"/>
          <w:i/>
          <w:noProof/>
          <w:sz w:val="18"/>
          <w:szCs w:val="18"/>
        </w:rPr>
        <w:t>Dasar Dasar Hukum Acara Jinayat</w:t>
      </w:r>
      <w:r w:rsidRPr="00BC0107">
        <w:rPr>
          <w:rFonts w:asciiTheme="majorBidi" w:hAnsiTheme="majorBidi" w:cstheme="majorBidi"/>
          <w:noProof/>
          <w:sz w:val="18"/>
          <w:szCs w:val="18"/>
        </w:rPr>
        <w:t>, ed. Rendy, Cet 1. (Jakarta: Kencana Prenada Media Group, 2016).</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 xml:space="preserve">, </w:t>
      </w:r>
      <w:r>
        <w:rPr>
          <w:rFonts w:asciiTheme="majorBidi" w:hAnsiTheme="majorBidi" w:cstheme="majorBidi"/>
          <w:sz w:val="18"/>
          <w:szCs w:val="18"/>
        </w:rPr>
        <w:t>h</w:t>
      </w:r>
      <w:r w:rsidRPr="00BC0107">
        <w:rPr>
          <w:rFonts w:asciiTheme="majorBidi" w:hAnsiTheme="majorBidi" w:cstheme="majorBidi"/>
          <w:sz w:val="18"/>
          <w:szCs w:val="18"/>
        </w:rPr>
        <w:t>lm 22</w:t>
      </w:r>
    </w:p>
  </w:footnote>
  <w:footnote w:id="93">
    <w:p w14:paraId="2026C3EC" w14:textId="4ACB9EE6" w:rsidR="008D372B" w:rsidRPr="00BC0107" w:rsidRDefault="008D372B" w:rsidP="001C7526">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82570F">
        <w:rPr>
          <w:rFonts w:asciiTheme="majorBidi" w:hAnsiTheme="majorBidi" w:cstheme="majorBidi"/>
          <w:sz w:val="18"/>
          <w:szCs w:val="18"/>
        </w:rPr>
        <w:instrText>ADDIN CSL_CITATION {"citationItems":[{"id":"ITEM-1","itemData":{"author":[{"dropping-particle":"","family":"Syamsuri, Abdul Basit Junaidy, Nur Lailatul Musyafa'ah","given":"Moh. Mufid","non-dropping-particle":"","parse-names":false,"suffix":""}],"edition":"cet 1","editor":[{"dropping-particle":"","family":"Wahyono Abdul Ghofur","given":"Iklilah Muzayyanah Dini Fajriyah","non-dropping-particle":"","parse-names":false,"suffix":""}],"id":"ITEM-1","issued":{"date-parts":[["2020"]]},"number-of-pages":"426","publisher":"PT Rajawali Buana Pustaka","publisher-place":"Depok","title":"Hukum Pidana Islam","type":"book"},"uris":["http://www.mendeley.com/documents/?uuid=3974180b-66a1-4556-9eb0-87dc8d8afc15"]}],"mendeley":{"formattedCitation":"Syamsuri, Abdul Basit Junaidy, Nur Lailatul Musyafa’ah, &lt;i&gt;Hukum Pidana Islam&lt;/i&gt;.","plainTextFormattedCitation":"Syamsuri, Abdul Basit Junaidy, Nur Lailatul Musyafa’ah, Hukum Pidana Islam.","previouslyFormattedCitation":"Syamsuri, Abdul Basit Junaidy, Nur Lailatul Musyafa’ah, &lt;i&gt;Hukum Pidana Islam&lt;/i&gt;."},"properties":{"noteIndex":94},"schema":"https://github.com/citation-style-language/schema/raw/master/csl-citation.json"}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Syamsuri, Abdul Basit Junaidy, Nur Lailatul Musyafa’ah, </w:t>
      </w:r>
      <w:r w:rsidRPr="00BC0107">
        <w:rPr>
          <w:rFonts w:asciiTheme="majorBidi" w:hAnsiTheme="majorBidi" w:cstheme="majorBidi"/>
          <w:i/>
          <w:noProof/>
          <w:sz w:val="18"/>
          <w:szCs w:val="18"/>
        </w:rPr>
        <w:t>Hukum Pidana Islam</w:t>
      </w:r>
      <w:r w:rsidRPr="00BC0107">
        <w:rPr>
          <w:rFonts w:asciiTheme="majorBidi" w:hAnsiTheme="majorBidi" w:cstheme="majorBidi"/>
          <w:noProof/>
          <w:sz w:val="18"/>
          <w:szCs w:val="18"/>
        </w:rPr>
        <w:t>.</w:t>
      </w:r>
      <w:r w:rsidRPr="00BC0107">
        <w:rPr>
          <w:rFonts w:asciiTheme="majorBidi" w:hAnsiTheme="majorBidi" w:cstheme="majorBidi"/>
          <w:sz w:val="18"/>
          <w:szCs w:val="18"/>
        </w:rPr>
        <w:fldChar w:fldCharType="end"/>
      </w:r>
      <w:r w:rsidRPr="00BC0107">
        <w:rPr>
          <w:rFonts w:asciiTheme="majorBidi" w:hAnsiTheme="majorBidi" w:cstheme="majorBidi"/>
          <w:sz w:val="18"/>
          <w:szCs w:val="18"/>
          <w:lang w:val="en-US"/>
        </w:rPr>
        <w:t xml:space="preserve">, </w:t>
      </w:r>
      <w:r>
        <w:rPr>
          <w:rFonts w:asciiTheme="majorBidi" w:hAnsiTheme="majorBidi" w:cstheme="majorBidi"/>
          <w:sz w:val="18"/>
          <w:szCs w:val="18"/>
          <w:lang w:val="en-US"/>
        </w:rPr>
        <w:t>h</w:t>
      </w:r>
      <w:r w:rsidRPr="00BC0107">
        <w:rPr>
          <w:rFonts w:asciiTheme="majorBidi" w:hAnsiTheme="majorBidi" w:cstheme="majorBidi"/>
          <w:sz w:val="18"/>
          <w:szCs w:val="18"/>
          <w:lang w:val="en-US"/>
        </w:rPr>
        <w:t>lm 143</w:t>
      </w:r>
    </w:p>
  </w:footnote>
  <w:footnote w:id="94">
    <w:p w14:paraId="0A36EBA9" w14:textId="07774717" w:rsidR="008D372B" w:rsidRPr="00BC0107" w:rsidRDefault="008D372B" w:rsidP="001C7526">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82570F">
        <w:rPr>
          <w:rFonts w:asciiTheme="majorBidi" w:hAnsiTheme="majorBidi" w:cstheme="majorBidi"/>
          <w:sz w:val="18"/>
          <w:szCs w:val="18"/>
        </w:rPr>
        <w:instrText>ADDIN CSL_CITATION {"citationItems":[{"id":"ITEM-1","itemData":{"author":[{"dropping-particle":"","family":"Tengku Muhammad Hasbi Ash Shiddieq","given":"","non-dropping-particle":"","parse-names":false,"suffix":""}],"edition":"Cet 1","id":"ITEM-1","issued":{"date-parts":[["1997"]]},"number-of-pages":"184","publisher":"PT. Pustaka Rizki Putra","publisher-place":"Semarang","title":"Peradilan Dan Hukum Acara Islam","type":"book"},"uris":["http://www.mendeley.com/documents/?uuid=477875c8-16ca-4c63-9c99-3b3c94f6bb47"]}],"mendeley":{"formattedCitation":"Tengku Muhammad Hasbi Ash Shiddieq, &lt;i&gt;Peradilan Dan Hukum Acara Islam&lt;/i&gt;, Cet 1. (Semarang: PT. Pustaka Rizki Putra, 1997).","manualFormatting":"Tengku Muhammad Hasbi Ash Shiddieq, Peradilan dan Hukum Acara Islam, Cet 1. (Semarang: PT. Pustaka Rizki Putra, 1997).","plainTextFormattedCitation":"Tengku Muhammad Hasbi Ash Shiddieq, Peradilan Dan Hukum Acara Islam, Cet 1. (Semarang: PT. Pustaka Rizki Putra, 1997).","previouslyFormattedCitation":"Tengku Muhammad Hasbi Ash Shiddieq, &lt;i&gt;Peradilan Dan Hukum Acara Islam&lt;/i&gt;, Cet 1. (Semarang: PT. Pustaka Rizki Putra, 1997)."},"properties":{"noteIndex":95},"schema":"https://github.com/citation-style-language/schema/raw/master/csl-citation.json"}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Tengku Muhammad Hasbi Ash Shiddieq</w:t>
      </w:r>
      <w:r w:rsidR="00F6343B">
        <w:rPr>
          <w:rFonts w:asciiTheme="majorBidi" w:hAnsiTheme="majorBidi" w:cstheme="majorBidi"/>
          <w:noProof/>
          <w:sz w:val="18"/>
          <w:szCs w:val="18"/>
        </w:rPr>
        <w:t>y</w:t>
      </w:r>
      <w:r w:rsidRPr="00BC0107">
        <w:rPr>
          <w:rFonts w:asciiTheme="majorBidi" w:hAnsiTheme="majorBidi" w:cstheme="majorBidi"/>
          <w:noProof/>
          <w:sz w:val="18"/>
          <w:szCs w:val="18"/>
        </w:rPr>
        <w:t xml:space="preserve">, </w:t>
      </w:r>
      <w:r w:rsidRPr="00BC0107">
        <w:rPr>
          <w:rFonts w:asciiTheme="majorBidi" w:hAnsiTheme="majorBidi" w:cstheme="majorBidi"/>
          <w:i/>
          <w:noProof/>
          <w:sz w:val="18"/>
          <w:szCs w:val="18"/>
        </w:rPr>
        <w:t xml:space="preserve">Peradilan </w:t>
      </w:r>
      <w:r>
        <w:rPr>
          <w:rFonts w:asciiTheme="majorBidi" w:hAnsiTheme="majorBidi" w:cstheme="majorBidi"/>
          <w:i/>
          <w:noProof/>
          <w:sz w:val="18"/>
          <w:szCs w:val="18"/>
        </w:rPr>
        <w:t>d</w:t>
      </w:r>
      <w:r w:rsidRPr="00BC0107">
        <w:rPr>
          <w:rFonts w:asciiTheme="majorBidi" w:hAnsiTheme="majorBidi" w:cstheme="majorBidi"/>
          <w:i/>
          <w:noProof/>
          <w:sz w:val="18"/>
          <w:szCs w:val="18"/>
        </w:rPr>
        <w:t>an Hukum Acara Islam</w:t>
      </w:r>
      <w:r w:rsidRPr="00BC0107">
        <w:rPr>
          <w:rFonts w:asciiTheme="majorBidi" w:hAnsiTheme="majorBidi" w:cstheme="majorBidi"/>
          <w:noProof/>
          <w:sz w:val="18"/>
          <w:szCs w:val="18"/>
        </w:rPr>
        <w:t>, Cet 1. (Semarang: PT. Pustaka Rizki Putra, 1997).</w:t>
      </w:r>
      <w:r w:rsidRPr="00BC0107">
        <w:rPr>
          <w:rFonts w:asciiTheme="majorBidi" w:hAnsiTheme="majorBidi" w:cstheme="majorBidi"/>
          <w:sz w:val="18"/>
          <w:szCs w:val="18"/>
        </w:rPr>
        <w:fldChar w:fldCharType="end"/>
      </w:r>
    </w:p>
  </w:footnote>
  <w:footnote w:id="95">
    <w:p w14:paraId="77FB6B56" w14:textId="474A0CE8" w:rsidR="008D372B" w:rsidRPr="00BC0107" w:rsidRDefault="008D372B" w:rsidP="001C7526">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Ibnu Rus</w:t>
      </w:r>
      <w:r w:rsidR="008752B4">
        <w:rPr>
          <w:rFonts w:asciiTheme="majorBidi" w:hAnsiTheme="majorBidi" w:cstheme="majorBidi"/>
          <w:sz w:val="18"/>
          <w:szCs w:val="18"/>
        </w:rPr>
        <w:t>y</w:t>
      </w:r>
      <w:r w:rsidRPr="00BC0107">
        <w:rPr>
          <w:rFonts w:asciiTheme="majorBidi" w:hAnsiTheme="majorBidi" w:cstheme="majorBidi"/>
          <w:sz w:val="18"/>
          <w:szCs w:val="18"/>
        </w:rPr>
        <w:t xml:space="preserve">d  dalam </w:t>
      </w:r>
      <w:r w:rsidRPr="00BC0107">
        <w:rPr>
          <w:rFonts w:asciiTheme="majorBidi" w:hAnsiTheme="majorBidi" w:cstheme="majorBidi"/>
          <w:sz w:val="18"/>
          <w:szCs w:val="18"/>
        </w:rPr>
        <w:fldChar w:fldCharType="begin" w:fldLock="1"/>
      </w:r>
      <w:r w:rsidR="0082570F">
        <w:rPr>
          <w:rFonts w:asciiTheme="majorBidi" w:hAnsiTheme="majorBidi" w:cstheme="majorBidi"/>
          <w:sz w:val="18"/>
          <w:szCs w:val="18"/>
        </w:rPr>
        <w:instrText>ADDIN CSL_CITATION {"citationItems":[{"id":"ITEM-1","itemData":{"author":[{"dropping-particle":"","family":"Syamsuri, Abdul Basit Junaidy, Nur Lailatul Musyafa'ah","given":"Moh. Mufid","non-dropping-particle":"","parse-names":false,"suffix":""}],"edition":"cet 1","editor":[{"dropping-particle":"","family":"Wahyono Abdul Ghofur","given":"Iklilah Muzayyanah Dini Fajriyah","non-dropping-particle":"","parse-names":false,"suffix":""}],"id":"ITEM-1","issued":{"date-parts":[["2020"]]},"number-of-pages":"426","publisher":"PT Rajawali Buana Pustaka","publisher-place":"Depok","title":"Hukum Pidana Islam","type":"book"},"uris":["http://www.mendeley.com/documents/?uuid=3974180b-66a1-4556-9eb0-87dc8d8afc15"]}],"mendeley":{"formattedCitation":"Syamsuri, Abdul Basit Junaidy, Nur Lailatul Musyafa’ah, &lt;i&gt;Hukum Pidana Islam&lt;/i&gt;.","plainTextFormattedCitation":"Syamsuri, Abdul Basit Junaidy, Nur Lailatul Musyafa’ah, Hukum Pidana Islam.","previouslyFormattedCitation":"Syamsuri, Abdul Basit Junaidy, Nur Lailatul Musyafa’ah, &lt;i&gt;Hukum Pidana Islam&lt;/i&gt;."},"properties":{"noteIndex":96},"schema":"https://github.com/citation-style-language/schema/raw/master/csl-citation.json"}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Syamsuri, Abdul Basit Junaidy, Nur Lailatul Musyafa’ah, </w:t>
      </w:r>
      <w:r w:rsidRPr="00BC0107">
        <w:rPr>
          <w:rFonts w:asciiTheme="majorBidi" w:hAnsiTheme="majorBidi" w:cstheme="majorBidi"/>
          <w:i/>
          <w:noProof/>
          <w:sz w:val="18"/>
          <w:szCs w:val="18"/>
        </w:rPr>
        <w:t>Hukum Pidana Islam</w:t>
      </w:r>
      <w:r w:rsidRPr="00BC0107">
        <w:rPr>
          <w:rFonts w:asciiTheme="majorBidi" w:hAnsiTheme="majorBidi" w:cstheme="majorBidi"/>
          <w:noProof/>
          <w:sz w:val="18"/>
          <w:szCs w:val="18"/>
        </w:rPr>
        <w:t>.</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 xml:space="preserve">, </w:t>
      </w:r>
      <w:r>
        <w:rPr>
          <w:rFonts w:asciiTheme="majorBidi" w:hAnsiTheme="majorBidi" w:cstheme="majorBidi"/>
          <w:sz w:val="18"/>
          <w:szCs w:val="18"/>
        </w:rPr>
        <w:t>h</w:t>
      </w:r>
      <w:r w:rsidRPr="00BC0107">
        <w:rPr>
          <w:rFonts w:asciiTheme="majorBidi" w:hAnsiTheme="majorBidi" w:cstheme="majorBidi"/>
          <w:sz w:val="18"/>
          <w:szCs w:val="18"/>
        </w:rPr>
        <w:t>lm 144</w:t>
      </w:r>
    </w:p>
  </w:footnote>
  <w:footnote w:id="96">
    <w:p w14:paraId="0351C43F" w14:textId="58F230F1" w:rsidR="008D372B" w:rsidRPr="00BC0107" w:rsidRDefault="008D372B" w:rsidP="001C7526">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Ahmad Fathi Bahansi  dalam </w:t>
      </w:r>
      <w:r w:rsidRPr="00BC0107">
        <w:rPr>
          <w:rFonts w:asciiTheme="majorBidi" w:hAnsiTheme="majorBidi" w:cstheme="majorBidi"/>
          <w:sz w:val="18"/>
          <w:szCs w:val="18"/>
        </w:rPr>
        <w:fldChar w:fldCharType="begin" w:fldLock="1"/>
      </w:r>
      <w:r w:rsidR="0082570F">
        <w:rPr>
          <w:rFonts w:asciiTheme="majorBidi" w:hAnsiTheme="majorBidi" w:cstheme="majorBidi"/>
          <w:sz w:val="18"/>
          <w:szCs w:val="18"/>
        </w:rPr>
        <w:instrText>ADDIN CSL_CITATION {"citationItems":[{"id":"ITEM-1","itemData":{"author":[{"dropping-particle":"","family":"Syamsuri, Abdul Basit Junaidy, Nur Lailatul Musyafa'ah","given":"Moh. Mufid","non-dropping-particle":"","parse-names":false,"suffix":""}],"edition":"cet 1","editor":[{"dropping-particle":"","family":"Wahyono Abdul Ghofur","given":"Iklilah Muzayyanah Dini Fajriyah","non-dropping-particle":"","parse-names":false,"suffix":""}],"id":"ITEM-1","issued":{"date-parts":[["2020"]]},"number-of-pages":"426","publisher":"PT Rajawali Buana Pustaka","publisher-place":"Depok","title":"Hukum Pidana Islam","type":"book"},"uris":["http://www.mendeley.com/documents/?uuid=3974180b-66a1-4556-9eb0-87dc8d8afc15"]}],"mendeley":{"formattedCitation":"Ibid.","plainTextFormattedCitation":"Ibid.","previouslyFormattedCitation":"Ibid."},"properties":{"noteIndex":97},"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Ibid.</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 xml:space="preserve">, </w:t>
      </w:r>
      <w:r>
        <w:rPr>
          <w:rFonts w:asciiTheme="majorBidi" w:hAnsiTheme="majorBidi" w:cstheme="majorBidi"/>
          <w:sz w:val="18"/>
          <w:szCs w:val="18"/>
        </w:rPr>
        <w:t>h</w:t>
      </w:r>
      <w:r w:rsidRPr="00BC0107">
        <w:rPr>
          <w:rFonts w:asciiTheme="majorBidi" w:hAnsiTheme="majorBidi" w:cstheme="majorBidi"/>
          <w:sz w:val="18"/>
          <w:szCs w:val="18"/>
        </w:rPr>
        <w:t>lm 144</w:t>
      </w:r>
    </w:p>
  </w:footnote>
  <w:footnote w:id="97">
    <w:p w14:paraId="72E25E0E" w14:textId="26FC0FFA" w:rsidR="008D372B" w:rsidRPr="00BC541D" w:rsidRDefault="008D372B" w:rsidP="001C7526">
      <w:pPr>
        <w:pStyle w:val="FootnoteText"/>
        <w:ind w:firstLine="720"/>
        <w:jc w:val="both"/>
        <w:rPr>
          <w:lang w:val="en-US"/>
        </w:rPr>
      </w:pPr>
      <w:r>
        <w:rPr>
          <w:rStyle w:val="FootnoteReference"/>
        </w:rPr>
        <w:footnoteRef/>
      </w:r>
      <w:r w:rsidRPr="00BC541D">
        <w:rPr>
          <w:rFonts w:asciiTheme="majorBidi" w:hAnsiTheme="majorBidi" w:cstheme="majorBidi"/>
          <w:sz w:val="18"/>
          <w:szCs w:val="18"/>
        </w:rPr>
        <w:t xml:space="preserve"> </w:t>
      </w:r>
      <w:r>
        <w:rPr>
          <w:rFonts w:asciiTheme="majorBidi" w:hAnsiTheme="majorBidi" w:cstheme="majorBidi"/>
          <w:sz w:val="18"/>
          <w:szCs w:val="18"/>
        </w:rPr>
        <w:t xml:space="preserve"> Lihat Pasal 18, </w:t>
      </w:r>
      <w:r w:rsidRPr="00BC541D">
        <w:rPr>
          <w:rFonts w:asciiTheme="majorBidi" w:hAnsiTheme="majorBidi" w:cstheme="majorBidi"/>
          <w:sz w:val="18"/>
          <w:szCs w:val="18"/>
        </w:rPr>
        <w:fldChar w:fldCharType="begin" w:fldLock="1"/>
      </w:r>
      <w:r w:rsidR="0094546B">
        <w:rPr>
          <w:rFonts w:asciiTheme="majorBidi" w:hAnsiTheme="majorBidi" w:cstheme="majorBidi"/>
          <w:sz w:val="18"/>
          <w:szCs w:val="18"/>
        </w:rPr>
        <w:instrText>ADDIN CSL_CITATION {"citationItems":[{"id":"ITEM-1","itemData":{"author":[{"dropping-particle":"","family":"Gubernur Provinsi Aceh","given":"","non-dropping-particle":"","parse-names":false,"suffix":""}],"id":"ITEM-1","issued":{"date-parts":[["2013"]]},"page":"112","publisher-place":"Indonesia","title":"Qanun Aceh Nomor 7 tahun 2013 Tentang Hukum Acara Jinayat","type":"legislation"},"uris":["http://www.mendeley.com/documents/?uuid=dcdd0077-68a6-4123-980f-f0586d8c5b75"]}],"mendeley":{"formattedCitation":"Gubernur Provinsi Aceh, &lt;i&gt;Qanun Aceh Nomor 7 Tahun 2013 Tentang Hukum Acara Jinayat&lt;/i&gt;.","manualFormatting":"Gubernur Provinsi Aceh, Qanun Aceh Nomor 7 Tahun 2013 tentang Hukum Acara Jinayat.","plainTextFormattedCitation":"Gubernur Provinsi Aceh, Qanun Aceh Nomor 7 Tahun 2013 Tentang Hukum Acara Jinayat.","previouslyFormattedCitation":"Gubernur Provinsi Aceh, &lt;i&gt;Qanun Aceh Nomor 7 Tahun 2013 Tentang Hukum Acara Jinayat&lt;/i&gt;."},"properties":{"noteIndex":98},"schema":"https://github.com/citation-style-language/schema/raw/master/csl-citation.json"}</w:instrText>
      </w:r>
      <w:r w:rsidRPr="00BC541D">
        <w:rPr>
          <w:rFonts w:asciiTheme="majorBidi" w:hAnsiTheme="majorBidi" w:cstheme="majorBidi"/>
          <w:sz w:val="18"/>
          <w:szCs w:val="18"/>
        </w:rPr>
        <w:fldChar w:fldCharType="separate"/>
      </w:r>
      <w:r w:rsidR="006E4E41" w:rsidRPr="006E4E41">
        <w:rPr>
          <w:rFonts w:asciiTheme="majorBidi" w:hAnsiTheme="majorBidi" w:cstheme="majorBidi"/>
          <w:noProof/>
          <w:sz w:val="18"/>
          <w:szCs w:val="18"/>
        </w:rPr>
        <w:t xml:space="preserve">Gubernur Provinsi Aceh, </w:t>
      </w:r>
      <w:r w:rsidR="006E4E41" w:rsidRPr="006E4E41">
        <w:rPr>
          <w:rFonts w:asciiTheme="majorBidi" w:hAnsiTheme="majorBidi" w:cstheme="majorBidi"/>
          <w:i/>
          <w:noProof/>
          <w:sz w:val="18"/>
          <w:szCs w:val="18"/>
        </w:rPr>
        <w:t xml:space="preserve">Qanun Aceh Nomor 7 Tahun 2013 </w:t>
      </w:r>
      <w:r w:rsidR="008752B4">
        <w:rPr>
          <w:rFonts w:asciiTheme="majorBidi" w:hAnsiTheme="majorBidi" w:cstheme="majorBidi"/>
          <w:i/>
          <w:noProof/>
          <w:sz w:val="18"/>
          <w:szCs w:val="18"/>
        </w:rPr>
        <w:t>T</w:t>
      </w:r>
      <w:r w:rsidR="006E4E41" w:rsidRPr="006E4E41">
        <w:rPr>
          <w:rFonts w:asciiTheme="majorBidi" w:hAnsiTheme="majorBidi" w:cstheme="majorBidi"/>
          <w:i/>
          <w:noProof/>
          <w:sz w:val="18"/>
          <w:szCs w:val="18"/>
        </w:rPr>
        <w:t>entang Hukum Acara Jinayat</w:t>
      </w:r>
      <w:r w:rsidR="006E4E41" w:rsidRPr="006E4E41">
        <w:rPr>
          <w:rFonts w:asciiTheme="majorBidi" w:hAnsiTheme="majorBidi" w:cstheme="majorBidi"/>
          <w:noProof/>
          <w:sz w:val="18"/>
          <w:szCs w:val="18"/>
        </w:rPr>
        <w:t>.</w:t>
      </w:r>
      <w:r w:rsidRPr="00BC541D">
        <w:rPr>
          <w:rFonts w:asciiTheme="majorBidi" w:hAnsiTheme="majorBidi" w:cstheme="majorBidi"/>
          <w:sz w:val="18"/>
          <w:szCs w:val="18"/>
        </w:rPr>
        <w:fldChar w:fldCharType="end"/>
      </w:r>
    </w:p>
  </w:footnote>
  <w:footnote w:id="98">
    <w:p w14:paraId="713F2FA1" w14:textId="42880B86" w:rsidR="008D372B" w:rsidRPr="00BC0107" w:rsidRDefault="008D372B" w:rsidP="001C7526">
      <w:pPr>
        <w:pStyle w:val="FootnoteText"/>
        <w:ind w:left="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82570F">
        <w:rPr>
          <w:rFonts w:asciiTheme="majorBidi" w:hAnsiTheme="majorBidi" w:cstheme="majorBidi"/>
          <w:sz w:val="18"/>
          <w:szCs w:val="18"/>
        </w:rPr>
        <w:instrText>ADDIN CSL_CITATION {"citationItems":[{"id":"ITEM-1","itemData":{"author":[{"dropping-particle":"","family":"Wahbah Az-Zuhaili","given":"","non-dropping-particle":"","parse-names":false,"suffix":""}],"id":"ITEM-1","issued":{"date-parts":[["2011"]]},"number-of-pages":"540","publisher":"Gema Insani Press","publisher-place":"Jakarta","title":"Fiqih Islam Wa Adillatuhu Jilid 8","type":"book"},"uris":["http://www.mendeley.com/documents/?uuid=5904bb3d-6276-4c5b-a218-86871b0c479d"]}],"mendeley":{"formattedCitation":"Wahbah Az-Zuhaili, &lt;i&gt;Fiqih Islam Wa Adillatuhu Jilid 8&lt;/i&gt;.","plainTextFormattedCitation":"Wahbah Az-Zuhaili, Fiqih Islam Wa Adillatuhu Jilid 8.","previouslyFormattedCitation":"Wahbah Az-Zuhaili, &lt;i&gt;Fiqih Islam Wa Adillatuhu Jilid 8&lt;/i&gt;."},"properties":{"noteIndex":99},"schema":"https://github.com/citation-style-language/schema/raw/master/csl-citation.json"}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Wahbah Az-Zuhaili, </w:t>
      </w:r>
      <w:r w:rsidRPr="00BC0107">
        <w:rPr>
          <w:rFonts w:asciiTheme="majorBidi" w:hAnsiTheme="majorBidi" w:cstheme="majorBidi"/>
          <w:i/>
          <w:noProof/>
          <w:sz w:val="18"/>
          <w:szCs w:val="18"/>
        </w:rPr>
        <w:t>Fiqih Islam Wa Adillatuhu Jilid 8</w:t>
      </w:r>
      <w:r w:rsidRPr="00BC0107">
        <w:rPr>
          <w:rFonts w:asciiTheme="majorBidi" w:hAnsiTheme="majorBidi" w:cstheme="majorBidi"/>
          <w:noProof/>
          <w:sz w:val="18"/>
          <w:szCs w:val="18"/>
        </w:rPr>
        <w:t>.</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 xml:space="preserve">, </w:t>
      </w:r>
      <w:r>
        <w:rPr>
          <w:rFonts w:asciiTheme="majorBidi" w:hAnsiTheme="majorBidi" w:cstheme="majorBidi"/>
          <w:sz w:val="18"/>
          <w:szCs w:val="18"/>
        </w:rPr>
        <w:t>h</w:t>
      </w:r>
      <w:r w:rsidRPr="00BC0107">
        <w:rPr>
          <w:rFonts w:asciiTheme="majorBidi" w:hAnsiTheme="majorBidi" w:cstheme="majorBidi"/>
          <w:sz w:val="18"/>
          <w:szCs w:val="18"/>
        </w:rPr>
        <w:t>lm 175</w:t>
      </w:r>
    </w:p>
  </w:footnote>
  <w:footnote w:id="99">
    <w:p w14:paraId="20131DAA" w14:textId="7E5DB27D" w:rsidR="008D372B" w:rsidRPr="00BC0107" w:rsidRDefault="008D372B" w:rsidP="001C7526">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82570F">
        <w:rPr>
          <w:rFonts w:asciiTheme="majorBidi" w:hAnsiTheme="majorBidi" w:cstheme="majorBidi"/>
          <w:sz w:val="18"/>
          <w:szCs w:val="18"/>
        </w:rPr>
        <w:instrText>ADDIN CSL_CITATION {"citationItems":[{"id":"ITEM-1","itemData":{"author":[{"dropping-particle":"","family":"Basid Djalil","given":"","non-dropping-particle":"","parse-names":false,"suffix":""}],"edition":"Cet 1","editor":[{"dropping-particle":"","family":"Achamd Zirzis","given":"Siti Farida Nur Laili","non-dropping-particle":"","parse-names":false,"suffix":""}],"id":"ITEM-1","issued":{"date-parts":[["2012"]]},"number-of-pages":"426","publisher":"Amzah","publisher-place":"Jakarta","title":"Peradialn Islam","type":"book"},"uris":["http://www.mendeley.com/documents/?uuid=de37d7d5-91fb-4ced-9d4b-acd988596ca6"]}],"mendeley":{"formattedCitation":"Basid Djalil, &lt;i&gt;Peradialn Islam&lt;/i&gt;, ed. Siti Farida Nur Laili Achamd Zirzis, Cet 1. (Jakarta: Amzah, 2012).","plainTextFormattedCitation":"Basid Djalil, Peradialn Islam, ed. Siti Farida Nur Laili Achamd Zirzis, Cet 1. (Jakarta: Amzah, 2012).","previouslyFormattedCitation":"Basid Djalil, &lt;i&gt;Peradialn Islam&lt;/i&gt;, ed. Siti Farida Nur Laili Achamd Zirzis, Cet 1. (Jakarta: Amzah, 2012)."},"properties":{"noteIndex":100},"schema":"https://github.com/citation-style-language/schema/raw/master/csl-citation.json"}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Basid Djalil, </w:t>
      </w:r>
      <w:r w:rsidRPr="00BC0107">
        <w:rPr>
          <w:rFonts w:asciiTheme="majorBidi" w:hAnsiTheme="majorBidi" w:cstheme="majorBidi"/>
          <w:i/>
          <w:noProof/>
          <w:sz w:val="18"/>
          <w:szCs w:val="18"/>
        </w:rPr>
        <w:t>Peradi</w:t>
      </w:r>
      <w:r w:rsidR="008752B4">
        <w:rPr>
          <w:rFonts w:asciiTheme="majorBidi" w:hAnsiTheme="majorBidi" w:cstheme="majorBidi"/>
          <w:i/>
          <w:noProof/>
          <w:sz w:val="18"/>
          <w:szCs w:val="18"/>
        </w:rPr>
        <w:t>la</w:t>
      </w:r>
      <w:r w:rsidRPr="00BC0107">
        <w:rPr>
          <w:rFonts w:asciiTheme="majorBidi" w:hAnsiTheme="majorBidi" w:cstheme="majorBidi"/>
          <w:i/>
          <w:noProof/>
          <w:sz w:val="18"/>
          <w:szCs w:val="18"/>
        </w:rPr>
        <w:t>n Islam</w:t>
      </w:r>
      <w:r w:rsidRPr="00BC0107">
        <w:rPr>
          <w:rFonts w:asciiTheme="majorBidi" w:hAnsiTheme="majorBidi" w:cstheme="majorBidi"/>
          <w:noProof/>
          <w:sz w:val="18"/>
          <w:szCs w:val="18"/>
        </w:rPr>
        <w:t>, ed. Siti Farida Nur Laili Achamd Zirzis, Cet 1. (Jakarta: Amzah, 2012).</w:t>
      </w:r>
      <w:r w:rsidRPr="00BC0107">
        <w:rPr>
          <w:rFonts w:asciiTheme="majorBidi" w:hAnsiTheme="majorBidi" w:cstheme="majorBidi"/>
          <w:sz w:val="18"/>
          <w:szCs w:val="18"/>
        </w:rPr>
        <w:fldChar w:fldCharType="end"/>
      </w:r>
    </w:p>
  </w:footnote>
  <w:footnote w:id="100">
    <w:p w14:paraId="1865C512" w14:textId="53874783" w:rsidR="008D372B" w:rsidRPr="008960F8" w:rsidRDefault="008D372B" w:rsidP="001C7526">
      <w:pPr>
        <w:pStyle w:val="FootnoteText"/>
        <w:ind w:firstLine="720"/>
        <w:jc w:val="both"/>
        <w:rPr>
          <w:rFonts w:asciiTheme="majorBidi" w:hAnsiTheme="majorBidi" w:cstheme="majorBidi"/>
          <w:sz w:val="18"/>
          <w:szCs w:val="18"/>
          <w:lang w:val="en-US"/>
        </w:rPr>
      </w:pPr>
      <w:r w:rsidRPr="008960F8">
        <w:rPr>
          <w:rStyle w:val="FootnoteReference"/>
          <w:rFonts w:asciiTheme="majorBidi" w:hAnsiTheme="majorBidi" w:cstheme="majorBidi"/>
          <w:sz w:val="18"/>
          <w:szCs w:val="18"/>
        </w:rPr>
        <w:footnoteRef/>
      </w:r>
      <w:r w:rsidRPr="008960F8">
        <w:rPr>
          <w:rFonts w:asciiTheme="majorBidi" w:hAnsiTheme="majorBidi" w:cstheme="majorBidi"/>
          <w:sz w:val="18"/>
          <w:szCs w:val="18"/>
        </w:rPr>
        <w:t xml:space="preserve"> </w:t>
      </w:r>
      <w:r>
        <w:rPr>
          <w:rFonts w:asciiTheme="majorBidi" w:hAnsiTheme="majorBidi" w:cstheme="majorBidi"/>
          <w:sz w:val="18"/>
          <w:szCs w:val="18"/>
        </w:rPr>
        <w:t xml:space="preserve">Lihat Pasal 31 QHAJ, </w:t>
      </w:r>
      <w:r w:rsidRPr="008960F8">
        <w:rPr>
          <w:rFonts w:asciiTheme="majorBidi" w:hAnsiTheme="majorBidi" w:cstheme="majorBidi"/>
          <w:sz w:val="18"/>
          <w:szCs w:val="18"/>
        </w:rPr>
        <w:fldChar w:fldCharType="begin" w:fldLock="1"/>
      </w:r>
      <w:r w:rsidR="0094546B">
        <w:rPr>
          <w:rFonts w:asciiTheme="majorBidi" w:hAnsiTheme="majorBidi" w:cstheme="majorBidi"/>
          <w:sz w:val="18"/>
          <w:szCs w:val="18"/>
        </w:rPr>
        <w:instrText>ADDIN CSL_CITATION {"citationItems":[{"id":"ITEM-1","itemData":{"author":[{"dropping-particle":"","family":"Gubernur Provinsi Aceh","given":"","non-dropping-particle":"","parse-names":false,"suffix":""}],"id":"ITEM-1","issued":{"date-parts":[["2013"]]},"page":"112","publisher-place":"Indonesia","title":"Qanun Aceh Nomor 7 tahun 2013 Tentang Hukum Acara Jinayat","type":"legislation"},"uris":["http://www.mendeley.com/documents/?uuid=dcdd0077-68a6-4123-980f-f0586d8c5b75"]}],"mendeley":{"formattedCitation":"Gubernur Provinsi Aceh, &lt;i&gt;Qanun Aceh Nomor 7 Tahun 2013 Tentang Hukum Acara Jinayat&lt;/i&gt;.","manualFormatting":"Gubernur Provinsi Aceh, Qanun Aceh Nomor 7 Tahun 2013 tentang Hukum Acara Jinayat.","plainTextFormattedCitation":"Gubernur Provinsi Aceh, Qanun Aceh Nomor 7 Tahun 2013 Tentang Hukum Acara Jinayat.","previouslyFormattedCitation":"Gubernur Provinsi Aceh, &lt;i&gt;Qanun Aceh Nomor 7 Tahun 2013 Tentang Hukum Acara Jinayat&lt;/i&gt;."},"properties":{"noteIndex":101},"schema":"https://github.com/citation-style-language/schema/raw/master/csl-citation.json"}</w:instrText>
      </w:r>
      <w:r w:rsidRPr="008960F8">
        <w:rPr>
          <w:rFonts w:asciiTheme="majorBidi" w:hAnsiTheme="majorBidi" w:cstheme="majorBidi"/>
          <w:sz w:val="18"/>
          <w:szCs w:val="18"/>
        </w:rPr>
        <w:fldChar w:fldCharType="separate"/>
      </w:r>
      <w:r w:rsidRPr="008960F8">
        <w:rPr>
          <w:rFonts w:asciiTheme="majorBidi" w:hAnsiTheme="majorBidi" w:cstheme="majorBidi"/>
          <w:noProof/>
          <w:sz w:val="18"/>
          <w:szCs w:val="18"/>
        </w:rPr>
        <w:t xml:space="preserve">Gubernur Provinsi Aceh, </w:t>
      </w:r>
      <w:r w:rsidRPr="008960F8">
        <w:rPr>
          <w:rFonts w:asciiTheme="majorBidi" w:hAnsiTheme="majorBidi" w:cstheme="majorBidi"/>
          <w:i/>
          <w:noProof/>
          <w:sz w:val="18"/>
          <w:szCs w:val="18"/>
        </w:rPr>
        <w:t xml:space="preserve">Qanun Aceh Nomor 7 Tahun 2013 </w:t>
      </w:r>
      <w:r w:rsidR="001C7526">
        <w:rPr>
          <w:rFonts w:asciiTheme="majorBidi" w:hAnsiTheme="majorBidi" w:cstheme="majorBidi"/>
          <w:i/>
          <w:noProof/>
          <w:sz w:val="18"/>
          <w:szCs w:val="18"/>
        </w:rPr>
        <w:t>t</w:t>
      </w:r>
      <w:r w:rsidRPr="008960F8">
        <w:rPr>
          <w:rFonts w:asciiTheme="majorBidi" w:hAnsiTheme="majorBidi" w:cstheme="majorBidi"/>
          <w:i/>
          <w:noProof/>
          <w:sz w:val="18"/>
          <w:szCs w:val="18"/>
        </w:rPr>
        <w:t>entang Hukum Acara Jinayat</w:t>
      </w:r>
      <w:r w:rsidRPr="008960F8">
        <w:rPr>
          <w:rFonts w:asciiTheme="majorBidi" w:hAnsiTheme="majorBidi" w:cstheme="majorBidi"/>
          <w:noProof/>
          <w:sz w:val="18"/>
          <w:szCs w:val="18"/>
        </w:rPr>
        <w:t>.</w:t>
      </w:r>
      <w:r w:rsidRPr="008960F8">
        <w:rPr>
          <w:rFonts w:asciiTheme="majorBidi" w:hAnsiTheme="majorBidi" w:cstheme="majorBidi"/>
          <w:sz w:val="18"/>
          <w:szCs w:val="18"/>
        </w:rPr>
        <w:fldChar w:fldCharType="end"/>
      </w:r>
    </w:p>
  </w:footnote>
  <w:footnote w:id="101">
    <w:p w14:paraId="134613DE" w14:textId="509D1F66" w:rsidR="008D372B" w:rsidRPr="00043230" w:rsidRDefault="008D372B" w:rsidP="001C7526">
      <w:pPr>
        <w:pStyle w:val="FootnoteText"/>
        <w:ind w:firstLine="720"/>
        <w:jc w:val="both"/>
        <w:rPr>
          <w:rFonts w:asciiTheme="majorBidi" w:hAnsiTheme="majorBidi" w:cstheme="majorBidi"/>
          <w:sz w:val="18"/>
          <w:szCs w:val="18"/>
          <w:lang w:val="en-US"/>
        </w:rPr>
      </w:pPr>
      <w:r w:rsidRPr="00043230">
        <w:rPr>
          <w:rStyle w:val="FootnoteReference"/>
          <w:rFonts w:asciiTheme="majorBidi" w:hAnsiTheme="majorBidi" w:cstheme="majorBidi"/>
          <w:sz w:val="18"/>
          <w:szCs w:val="18"/>
        </w:rPr>
        <w:footnoteRef/>
      </w:r>
      <w:r w:rsidRPr="00043230">
        <w:rPr>
          <w:rFonts w:asciiTheme="majorBidi" w:hAnsiTheme="majorBidi" w:cstheme="majorBidi"/>
          <w:sz w:val="18"/>
          <w:szCs w:val="18"/>
        </w:rPr>
        <w:t xml:space="preserve"> </w:t>
      </w:r>
      <w:r w:rsidRPr="00043230">
        <w:rPr>
          <w:rFonts w:asciiTheme="majorBidi" w:hAnsiTheme="majorBidi" w:cstheme="majorBidi"/>
          <w:sz w:val="18"/>
          <w:szCs w:val="18"/>
        </w:rPr>
        <w:fldChar w:fldCharType="begin" w:fldLock="1"/>
      </w:r>
      <w:r w:rsidR="0082570F">
        <w:rPr>
          <w:rFonts w:asciiTheme="majorBidi" w:hAnsiTheme="majorBidi" w:cstheme="majorBidi"/>
          <w:sz w:val="18"/>
          <w:szCs w:val="18"/>
        </w:rPr>
        <w:instrText>ADDIN CSL_CITATION {"citationItems":[{"id":"ITEM-1","itemData":{"author":[{"dropping-particle":"","family":"Zulkarnain Lubis","given":"Bakti Ritonga","non-dropping-particle":"","parse-names":false,"suffix":""}],"edition":"Cet 1","editor":[{"dropping-particle":"","family":"Rendy","given":"","non-dropping-particle":"","parse-names":false,"suffix":""}],"id":"ITEM-1","issued":{"date-parts":[["2016"]]},"number-of-pages":"258","publisher":"Kencana Prenada Media Group","publisher-place":"Jakarta","title":"Dasar Dasar Hukum Acara Jinayat","type":"book"},"uris":["http://www.mendeley.com/documents/?uuid=338e14ed-bec1-4781-b0c2-080dedfc4a3e"]}],"mendeley":{"formattedCitation":"Zulkarnain Lubis, &lt;i&gt;Dasar Dasar Hukum Acara Jinayat&lt;/i&gt;.","plainTextFormattedCitation":"Zulkarnain Lubis, Dasar Dasar Hukum Acara Jinayat.","previouslyFormattedCitation":"Zulkarnain Lubis, &lt;i&gt;Dasar Dasar Hukum Acara Jinayat&lt;/i&gt;."},"properties":{"noteIndex":102},"schema":"https://github.com/citation-style-language/schema/raw/master/csl-citation.json"}</w:instrText>
      </w:r>
      <w:r w:rsidRPr="00043230">
        <w:rPr>
          <w:rFonts w:asciiTheme="majorBidi" w:hAnsiTheme="majorBidi" w:cstheme="majorBidi"/>
          <w:sz w:val="18"/>
          <w:szCs w:val="18"/>
        </w:rPr>
        <w:fldChar w:fldCharType="separate"/>
      </w:r>
      <w:r w:rsidRPr="00043230">
        <w:rPr>
          <w:rFonts w:asciiTheme="majorBidi" w:hAnsiTheme="majorBidi" w:cstheme="majorBidi"/>
          <w:noProof/>
          <w:sz w:val="18"/>
          <w:szCs w:val="18"/>
        </w:rPr>
        <w:t xml:space="preserve">Zulkarnain Lubis, </w:t>
      </w:r>
      <w:r w:rsidRPr="00043230">
        <w:rPr>
          <w:rFonts w:asciiTheme="majorBidi" w:hAnsiTheme="majorBidi" w:cstheme="majorBidi"/>
          <w:i/>
          <w:noProof/>
          <w:sz w:val="18"/>
          <w:szCs w:val="18"/>
        </w:rPr>
        <w:t>Dasar Dasar Hukum Acara Jinayat</w:t>
      </w:r>
      <w:r w:rsidRPr="00043230">
        <w:rPr>
          <w:rFonts w:asciiTheme="majorBidi" w:hAnsiTheme="majorBidi" w:cstheme="majorBidi"/>
          <w:noProof/>
          <w:sz w:val="18"/>
          <w:szCs w:val="18"/>
        </w:rPr>
        <w:t>.</w:t>
      </w:r>
      <w:r w:rsidRPr="00043230">
        <w:rPr>
          <w:rFonts w:asciiTheme="majorBidi" w:hAnsiTheme="majorBidi" w:cstheme="majorBidi"/>
          <w:sz w:val="18"/>
          <w:szCs w:val="18"/>
        </w:rPr>
        <w:fldChar w:fldCharType="end"/>
      </w:r>
      <w:r>
        <w:rPr>
          <w:rFonts w:asciiTheme="majorBidi" w:hAnsiTheme="majorBidi" w:cstheme="majorBidi"/>
          <w:sz w:val="18"/>
          <w:szCs w:val="18"/>
        </w:rPr>
        <w:t>, hlm 135-136</w:t>
      </w:r>
    </w:p>
  </w:footnote>
  <w:footnote w:id="102">
    <w:p w14:paraId="0274D457" w14:textId="5988B766" w:rsidR="008D372B" w:rsidRPr="00BC0107" w:rsidRDefault="008D372B" w:rsidP="001C7526">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94546B">
        <w:rPr>
          <w:rFonts w:asciiTheme="majorBidi" w:hAnsiTheme="majorBidi" w:cstheme="majorBidi"/>
          <w:sz w:val="18"/>
          <w:szCs w:val="18"/>
        </w:rPr>
        <w:instrText>ADDIN CSL_CITATION {"citationItems":[{"id":"ITEM-1","itemData":{"author":[{"dropping-particle":"","family":"Anshoruddin","given":"","non-dropping-particle":"","parse-names":false,"suffix":""}],"edition":"Cet 1","editor":[{"dropping-particle":"","family":"Haitamy el Jaid","given":"Bima Bayu Atijah","non-dropping-particle":"","parse-names":false,"suffix":""}],"id":"ITEM-1","issued":{"date-parts":[["2004"]]},"number-of-pages":"174","publisher":"Pustaka Pelajar","publisher-place":"Yogyakarta","title":"Hukum Pembuktian Menurut Hukum Acara Islam dan Hukum Acara Positif","type":"book"},"uris":["http://www.mendeley.com/documents/?uuid=d0e9ad81-1890-4024-b1fd-c3d1432522ed"]}],"mendeley":{"formattedCitation":"Anshoruddin, &lt;i&gt;Hukum Pembuktian Menurut Hukum Acara Islam Dan Hukum Acara Positif&lt;/i&gt;, ed. Bima Bayu Atijah Haitamy el Jaid, Cet 1. (Yogyakarta: Pustaka Pelajar, 2004).","manualFormatting":"Anshoruddin, Hukum Pembuktian menurut Hukum Acara Islam dan Hukum Acara Positif, ed. Bima Bayu Atijah Haitamy el Jaid, Cet 1. (Yogyakarta: Pustaka Pelajar, 2004).","plainTextFormattedCitation":"Anshoruddin, Hukum Pembuktian Menurut Hukum Acara Islam Dan Hukum Acara Positif, ed. Bima Bayu Atijah Haitamy el Jaid, Cet 1. (Yogyakarta: Pustaka Pelajar, 2004).","previouslyFormattedCitation":"Anshoruddin, &lt;i&gt;Hukum Pembuktian Menurut Hukum Acara Islam Dan Hukum Acara Positif&lt;/i&gt;, ed. Bima Bayu Atijah Haitamy el Jaid, Cet 1. (Yogyakarta: Pustaka Pelajar, 2004)."},"properties":{"noteIndex":103},"schema":"https://github.com/citation-style-language/schema/raw/master/csl-citation.json"}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Anshoruddin, </w:t>
      </w:r>
      <w:r w:rsidRPr="00BC0107">
        <w:rPr>
          <w:rFonts w:asciiTheme="majorBidi" w:hAnsiTheme="majorBidi" w:cstheme="majorBidi"/>
          <w:i/>
          <w:noProof/>
          <w:sz w:val="18"/>
          <w:szCs w:val="18"/>
        </w:rPr>
        <w:t xml:space="preserve">Hukum Pembuktian </w:t>
      </w:r>
      <w:r w:rsidR="001C7526">
        <w:rPr>
          <w:rFonts w:asciiTheme="majorBidi" w:hAnsiTheme="majorBidi" w:cstheme="majorBidi"/>
          <w:i/>
          <w:noProof/>
          <w:sz w:val="18"/>
          <w:szCs w:val="18"/>
        </w:rPr>
        <w:t>m</w:t>
      </w:r>
      <w:r w:rsidRPr="00BC0107">
        <w:rPr>
          <w:rFonts w:asciiTheme="majorBidi" w:hAnsiTheme="majorBidi" w:cstheme="majorBidi"/>
          <w:i/>
          <w:noProof/>
          <w:sz w:val="18"/>
          <w:szCs w:val="18"/>
        </w:rPr>
        <w:t xml:space="preserve">enurut Hukum Acara Islam </w:t>
      </w:r>
      <w:r>
        <w:rPr>
          <w:rFonts w:asciiTheme="majorBidi" w:hAnsiTheme="majorBidi" w:cstheme="majorBidi"/>
          <w:i/>
          <w:noProof/>
          <w:sz w:val="18"/>
          <w:szCs w:val="18"/>
        </w:rPr>
        <w:t>d</w:t>
      </w:r>
      <w:r w:rsidRPr="00BC0107">
        <w:rPr>
          <w:rFonts w:asciiTheme="majorBidi" w:hAnsiTheme="majorBidi" w:cstheme="majorBidi"/>
          <w:i/>
          <w:noProof/>
          <w:sz w:val="18"/>
          <w:szCs w:val="18"/>
        </w:rPr>
        <w:t>an Hukum Acara Positif</w:t>
      </w:r>
      <w:r w:rsidRPr="00BC0107">
        <w:rPr>
          <w:rFonts w:asciiTheme="majorBidi" w:hAnsiTheme="majorBidi" w:cstheme="majorBidi"/>
          <w:noProof/>
          <w:sz w:val="18"/>
          <w:szCs w:val="18"/>
        </w:rPr>
        <w:t>, ed. Bima Bayu Atijah Haitamy el Jaid, Cet 1. (Yogyakarta: Pustaka Pelajar, 2004).</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 xml:space="preserve">, </w:t>
      </w:r>
      <w:r>
        <w:rPr>
          <w:rFonts w:asciiTheme="majorBidi" w:hAnsiTheme="majorBidi" w:cstheme="majorBidi"/>
          <w:sz w:val="18"/>
          <w:szCs w:val="18"/>
        </w:rPr>
        <w:t>h</w:t>
      </w:r>
      <w:r w:rsidRPr="00BC0107">
        <w:rPr>
          <w:rFonts w:asciiTheme="majorBidi" w:hAnsiTheme="majorBidi" w:cstheme="majorBidi"/>
          <w:sz w:val="18"/>
          <w:szCs w:val="18"/>
        </w:rPr>
        <w:t>lm 74</w:t>
      </w:r>
    </w:p>
  </w:footnote>
  <w:footnote w:id="103">
    <w:p w14:paraId="5702B2EB" w14:textId="3D7F557F" w:rsidR="008D372B" w:rsidRPr="00BC0107" w:rsidRDefault="008D372B" w:rsidP="001C7526">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82570F">
        <w:rPr>
          <w:rFonts w:asciiTheme="majorBidi" w:hAnsiTheme="majorBidi" w:cstheme="majorBidi"/>
          <w:sz w:val="18"/>
          <w:szCs w:val="18"/>
        </w:rPr>
        <w:instrText>ADDIN CSL_CITATION {"citationItems":[{"id":"ITEM-1","itemData":{"author":[{"dropping-particle":"","family":"Anshoruddin","given":"","non-dropping-particle":"","parse-names":false,"suffix":""}],"edition":"Cet 1","editor":[{"dropping-particle":"","family":"Haitamy el Jaid","given":"Bima Bayu Atijah","non-dropping-particle":"","parse-names":false,"suffix":""}],"id":"ITEM-1","issued":{"date-parts":[["2004"]]},"number-of-pages":"174","publisher":"Pustaka Pelajar","publisher-place":"Yogyakarta","title":"Hukum Pembuktian Menurut Hukum Acara Islam dan Hukum Acara Positif","type":"book"},"uris":["http://www.mendeley.com/documents/?uuid=d0e9ad81-1890-4024-b1fd-c3d1432522ed"]}],"mendeley":{"formattedCitation":"Ibid.","plainTextFormattedCitation":"Ibid.","previouslyFormattedCitation":"Ibid."},"properties":{"noteIndex":104},"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Ibid.</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 Hlm 75-82</w:t>
      </w:r>
    </w:p>
  </w:footnote>
  <w:footnote w:id="104">
    <w:p w14:paraId="1D96CCC0" w14:textId="70E5C644" w:rsidR="008D372B" w:rsidRPr="00BC0107" w:rsidRDefault="008D372B" w:rsidP="001C7526">
      <w:pPr>
        <w:pStyle w:val="FootnoteText"/>
        <w:ind w:left="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82570F">
        <w:rPr>
          <w:rFonts w:asciiTheme="majorBidi" w:hAnsiTheme="majorBidi" w:cstheme="majorBidi"/>
          <w:sz w:val="18"/>
          <w:szCs w:val="18"/>
        </w:rPr>
        <w:instrText>ADDIN CSL_CITATION {"citationItems":[{"id":"ITEM-1","itemData":{"author":[{"dropping-particle":"","family":"Wahbah Az-Zuhaili","given":"","non-dropping-particle":"","parse-names":false,"suffix":""}],"id":"ITEM-1","issued":{"date-parts":[["2011"]]},"number-of-pages":"540","publisher":"Gema Insani Press","publisher-place":"Jakarta","title":"Fiqih Islam Wa Adillatuhu Jilid 8","type":"book"},"uris":["http://www.mendeley.com/documents/?uuid=5904bb3d-6276-4c5b-a218-86871b0c479d"]}],"mendeley":{"formattedCitation":"Wahbah Az-Zuhaili, &lt;i&gt;Fiqih Islam Wa Adillatuhu Jilid 8&lt;/i&gt;.","plainTextFormattedCitation":"Wahbah Az-Zuhaili, Fiqih Islam Wa Adillatuhu Jilid 8.","previouslyFormattedCitation":"Wahbah Az-Zuhaili, &lt;i&gt;Fiqih Islam Wa Adillatuhu Jilid 8&lt;/i&gt;."},"properties":{"noteIndex":105},"schema":"https://github.com/citation-style-language/schema/raw/master/csl-citation.json"}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Wahbah Az-Zuhaili, </w:t>
      </w:r>
      <w:r w:rsidRPr="00BC0107">
        <w:rPr>
          <w:rFonts w:asciiTheme="majorBidi" w:hAnsiTheme="majorBidi" w:cstheme="majorBidi"/>
          <w:i/>
          <w:noProof/>
          <w:sz w:val="18"/>
          <w:szCs w:val="18"/>
        </w:rPr>
        <w:t>Fiqih Islam Wa Adillatuhu Jilid 8</w:t>
      </w:r>
      <w:r w:rsidRPr="00BC0107">
        <w:rPr>
          <w:rFonts w:asciiTheme="majorBidi" w:hAnsiTheme="majorBidi" w:cstheme="majorBidi"/>
          <w:noProof/>
          <w:sz w:val="18"/>
          <w:szCs w:val="18"/>
        </w:rPr>
        <w:t>.</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 xml:space="preserve">, </w:t>
      </w:r>
      <w:r>
        <w:rPr>
          <w:rFonts w:asciiTheme="majorBidi" w:hAnsiTheme="majorBidi" w:cstheme="majorBidi"/>
          <w:sz w:val="18"/>
          <w:szCs w:val="18"/>
        </w:rPr>
        <w:t xml:space="preserve">hlm </w:t>
      </w:r>
      <w:r w:rsidRPr="00BC0107">
        <w:rPr>
          <w:rFonts w:asciiTheme="majorBidi" w:hAnsiTheme="majorBidi" w:cstheme="majorBidi"/>
          <w:sz w:val="18"/>
          <w:szCs w:val="18"/>
        </w:rPr>
        <w:t>178-183</w:t>
      </w:r>
    </w:p>
  </w:footnote>
  <w:footnote w:id="105">
    <w:p w14:paraId="3D399108" w14:textId="71BE1AC6" w:rsidR="008D372B" w:rsidRPr="000F08E6" w:rsidRDefault="008D372B" w:rsidP="001C7526">
      <w:pPr>
        <w:pStyle w:val="FootnoteText"/>
        <w:ind w:firstLine="720"/>
        <w:jc w:val="both"/>
        <w:rPr>
          <w:rFonts w:asciiTheme="majorBidi" w:hAnsiTheme="majorBidi" w:cstheme="majorBidi"/>
          <w:sz w:val="18"/>
          <w:szCs w:val="18"/>
          <w:lang w:val="en-US"/>
        </w:rPr>
      </w:pPr>
      <w:r w:rsidRPr="000F08E6">
        <w:rPr>
          <w:rStyle w:val="FootnoteReference"/>
          <w:rFonts w:asciiTheme="majorBidi" w:hAnsiTheme="majorBidi" w:cstheme="majorBidi"/>
          <w:sz w:val="18"/>
          <w:szCs w:val="18"/>
        </w:rPr>
        <w:footnoteRef/>
      </w:r>
      <w:r w:rsidRPr="000F08E6">
        <w:rPr>
          <w:rFonts w:asciiTheme="majorBidi" w:hAnsiTheme="majorBidi" w:cstheme="majorBidi"/>
          <w:sz w:val="18"/>
          <w:szCs w:val="18"/>
        </w:rPr>
        <w:t xml:space="preserve"> </w:t>
      </w:r>
      <w:r w:rsidRPr="000F08E6">
        <w:rPr>
          <w:rFonts w:asciiTheme="majorBidi" w:hAnsiTheme="majorBidi" w:cstheme="majorBidi"/>
          <w:sz w:val="18"/>
          <w:szCs w:val="18"/>
        </w:rPr>
        <w:fldChar w:fldCharType="begin" w:fldLock="1"/>
      </w:r>
      <w:r w:rsidR="0094546B">
        <w:rPr>
          <w:rFonts w:asciiTheme="majorBidi" w:hAnsiTheme="majorBidi" w:cstheme="majorBidi"/>
          <w:sz w:val="18"/>
          <w:szCs w:val="18"/>
        </w:rPr>
        <w:instrText>ADDIN CSL_CITATION {"citationItems":[{"id":"ITEM-1","itemData":{"author":[{"dropping-particle":"","family":"Arbanur Rasyid","given":"","non-dropping-particle":"","parse-names":false,"suffix":""}],"container-title":"Jurnal el-Qanuniy: Jurnal Ilmu-Ilmu Kesyariahan dan Pranata Sosial","id":"ITEM-1","issued":{"date-parts":[["2020"]]},"page":"13","title":"Kesaksian Dalam Perspektif Hukum Islam","type":"article-journal","volume":"Volume 6 N"},"uris":["http://www.mendeley.com/documents/?uuid=5070d867-5289-4458-95a6-77e19151329c"]}],"mendeley":{"formattedCitation":"Arbanur Rasyid, “Kesaksian Dalam Perspektif Hukum Islam,” &lt;i&gt;Jurnal el-Qanuniy: Jurnal Ilmu-Ilmu Kesyariahan dan Pranata Sosial&lt;/i&gt; Volume 6 N (2020): 13.","manualFormatting":"Arbanur Rasyid, “Kesaksian dalam Perspektif Hukum Islam,” Jurnal el-Qanuniy: Jurnal Ilmu-Ilmu Kesyariahan dan Pranata Sosial Volume 6 N (2020): 13.","plainTextFormattedCitation":"Arbanur Rasyid, “Kesaksian Dalam Perspektif Hukum Islam,” Jurnal el-Qanuniy: Jurnal Ilmu-Ilmu Kesyariahan dan Pranata Sosial Volume 6 N (2020): 13.","previouslyFormattedCitation":"Arbanur Rasyid, “Kesaksian Dalam Perspektif Hukum Islam,” &lt;i&gt;Jurnal el-Qanuniy: Jurnal Ilmu-Ilmu Kesyariahan dan Pranata Sosial&lt;/i&gt; Volume 6 N (2020): 13."},"properties":{"noteIndex":106},"schema":"https://github.com/citation-style-language/schema/raw/master/csl-citation.json"}</w:instrText>
      </w:r>
      <w:r w:rsidRPr="000F08E6">
        <w:rPr>
          <w:rFonts w:asciiTheme="majorBidi" w:hAnsiTheme="majorBidi" w:cstheme="majorBidi"/>
          <w:sz w:val="18"/>
          <w:szCs w:val="18"/>
        </w:rPr>
        <w:fldChar w:fldCharType="separate"/>
      </w:r>
      <w:r w:rsidRPr="000F08E6">
        <w:rPr>
          <w:rFonts w:asciiTheme="majorBidi" w:hAnsiTheme="majorBidi" w:cstheme="majorBidi"/>
          <w:noProof/>
          <w:sz w:val="18"/>
          <w:szCs w:val="18"/>
        </w:rPr>
        <w:t xml:space="preserve">Arbanur Rasyid, “Kesaksian </w:t>
      </w:r>
      <w:r w:rsidR="001C7526">
        <w:rPr>
          <w:rFonts w:asciiTheme="majorBidi" w:hAnsiTheme="majorBidi" w:cstheme="majorBidi"/>
          <w:noProof/>
          <w:sz w:val="18"/>
          <w:szCs w:val="18"/>
        </w:rPr>
        <w:t>d</w:t>
      </w:r>
      <w:r w:rsidRPr="000F08E6">
        <w:rPr>
          <w:rFonts w:asciiTheme="majorBidi" w:hAnsiTheme="majorBidi" w:cstheme="majorBidi"/>
          <w:noProof/>
          <w:sz w:val="18"/>
          <w:szCs w:val="18"/>
        </w:rPr>
        <w:t xml:space="preserve">alam Perspektif Hukum Islam,” </w:t>
      </w:r>
      <w:r w:rsidRPr="000F08E6">
        <w:rPr>
          <w:rFonts w:asciiTheme="majorBidi" w:hAnsiTheme="majorBidi" w:cstheme="majorBidi"/>
          <w:i/>
          <w:noProof/>
          <w:sz w:val="18"/>
          <w:szCs w:val="18"/>
        </w:rPr>
        <w:t>Jurnal el-Qanuniy: Jurnal Ilmu-Ilmu Kesyariahan dan Pranata Sosial</w:t>
      </w:r>
      <w:r w:rsidRPr="000F08E6">
        <w:rPr>
          <w:rFonts w:asciiTheme="majorBidi" w:hAnsiTheme="majorBidi" w:cstheme="majorBidi"/>
          <w:noProof/>
          <w:sz w:val="18"/>
          <w:szCs w:val="18"/>
        </w:rPr>
        <w:t xml:space="preserve"> Volume 6 N (2020): 13.</w:t>
      </w:r>
      <w:r w:rsidRPr="000F08E6">
        <w:rPr>
          <w:rFonts w:asciiTheme="majorBidi" w:hAnsiTheme="majorBidi" w:cstheme="majorBidi"/>
          <w:sz w:val="18"/>
          <w:szCs w:val="18"/>
        </w:rPr>
        <w:fldChar w:fldCharType="end"/>
      </w:r>
      <w:r>
        <w:rPr>
          <w:rFonts w:asciiTheme="majorBidi" w:hAnsiTheme="majorBidi" w:cstheme="majorBidi"/>
          <w:sz w:val="18"/>
          <w:szCs w:val="18"/>
        </w:rPr>
        <w:t>, hlm 37</w:t>
      </w:r>
    </w:p>
  </w:footnote>
  <w:footnote w:id="106">
    <w:p w14:paraId="647DAAFC" w14:textId="3B974E0A" w:rsidR="008D372B" w:rsidRPr="00BC0107" w:rsidRDefault="008D372B" w:rsidP="001C7526">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82570F">
        <w:rPr>
          <w:rFonts w:asciiTheme="majorBidi" w:hAnsiTheme="majorBidi" w:cstheme="majorBidi"/>
          <w:sz w:val="18"/>
          <w:szCs w:val="18"/>
        </w:rPr>
        <w:instrText>ADDIN CSL_CITATION {"citationItems":[{"id":"ITEM-1","itemData":{"author":[{"dropping-particle":"","family":"H.Kosim","given":"","non-dropping-particle":"","parse-names":false,"suffix":""}],"edition":"Cet 2","id":"ITEM-1","issued":{"date-parts":[["2012"]]},"number-of-pages":"104","publisher":"Diandra Press Yogyakarta Anggota IKAPI","publisher-place":"Yogyakarta","title":"Fiqh Peradilan","type":"book"},"uris":["http://www.mendeley.com/documents/?uuid=df05933c-0bb2-4f74-a16d-bfb846b4592e"]}],"mendeley":{"formattedCitation":"H.Kosim, &lt;i&gt;Fiqh Peradilan&lt;/i&gt;, Cet 2. (Yogyakarta: Diandra Press Yogyakarta Anggota IKAPI, 2012).","plainTextFormattedCitation":"H.Kosim, Fiqh Peradilan, Cet 2. (Yogyakarta: Diandra Press Yogyakarta Anggota IKAPI, 2012).","previouslyFormattedCitation":"H.Kosim, &lt;i&gt;Fiqh Peradilan&lt;/i&gt;, Cet 2. (Yogyakarta: Diandra Press Yogyakarta Anggota IKAPI, 2012)."},"properties":{"noteIndex":107},"schema":"https://github.com/citation-style-language/schema/raw/master/csl-citation.json"}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H.Kosim, </w:t>
      </w:r>
      <w:r w:rsidRPr="00BC0107">
        <w:rPr>
          <w:rFonts w:asciiTheme="majorBidi" w:hAnsiTheme="majorBidi" w:cstheme="majorBidi"/>
          <w:i/>
          <w:noProof/>
          <w:sz w:val="18"/>
          <w:szCs w:val="18"/>
        </w:rPr>
        <w:t>Fiqh Peradilan</w:t>
      </w:r>
      <w:r w:rsidRPr="00BC0107">
        <w:rPr>
          <w:rFonts w:asciiTheme="majorBidi" w:hAnsiTheme="majorBidi" w:cstheme="majorBidi"/>
          <w:noProof/>
          <w:sz w:val="18"/>
          <w:szCs w:val="18"/>
        </w:rPr>
        <w:t>, Cet 2. (Yogyakarta: Diandra Press Yogyakarta Anggota IKAPI, 2012).</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 xml:space="preserve">, </w:t>
      </w:r>
      <w:r>
        <w:rPr>
          <w:rFonts w:asciiTheme="majorBidi" w:hAnsiTheme="majorBidi" w:cstheme="majorBidi"/>
          <w:sz w:val="18"/>
          <w:szCs w:val="18"/>
        </w:rPr>
        <w:t xml:space="preserve">hlm </w:t>
      </w:r>
      <w:r w:rsidRPr="00BC0107">
        <w:rPr>
          <w:rFonts w:asciiTheme="majorBidi" w:hAnsiTheme="majorBidi" w:cstheme="majorBidi"/>
          <w:sz w:val="18"/>
          <w:szCs w:val="18"/>
        </w:rPr>
        <w:t>111</w:t>
      </w:r>
    </w:p>
  </w:footnote>
  <w:footnote w:id="107">
    <w:p w14:paraId="44155F89" w14:textId="48FAA830" w:rsidR="008D372B" w:rsidRPr="0094546B" w:rsidRDefault="008D372B" w:rsidP="0094546B">
      <w:pPr>
        <w:pStyle w:val="FootnoteText"/>
        <w:ind w:firstLine="720"/>
        <w:jc w:val="both"/>
        <w:rPr>
          <w:rFonts w:asciiTheme="majorBidi" w:hAnsiTheme="majorBidi" w:cstheme="majorBidi"/>
          <w:sz w:val="18"/>
          <w:szCs w:val="18"/>
          <w:lang w:val="en-US"/>
        </w:rPr>
      </w:pPr>
      <w:r w:rsidRPr="0094546B">
        <w:rPr>
          <w:rStyle w:val="FootnoteReference"/>
          <w:rFonts w:asciiTheme="majorBidi" w:hAnsiTheme="majorBidi" w:cstheme="majorBidi"/>
          <w:sz w:val="18"/>
          <w:szCs w:val="18"/>
        </w:rPr>
        <w:footnoteRef/>
      </w:r>
      <w:r w:rsidRPr="0094546B">
        <w:rPr>
          <w:rFonts w:asciiTheme="majorBidi" w:hAnsiTheme="majorBidi" w:cstheme="majorBidi"/>
          <w:sz w:val="18"/>
          <w:szCs w:val="18"/>
        </w:rPr>
        <w:t xml:space="preserve"> </w:t>
      </w:r>
      <w:r w:rsidRPr="0094546B">
        <w:rPr>
          <w:rFonts w:asciiTheme="majorBidi" w:hAnsiTheme="majorBidi" w:cstheme="majorBidi"/>
          <w:sz w:val="18"/>
          <w:szCs w:val="18"/>
        </w:rPr>
        <w:fldChar w:fldCharType="begin" w:fldLock="1"/>
      </w:r>
      <w:r w:rsidR="0082570F" w:rsidRPr="0094546B">
        <w:rPr>
          <w:rFonts w:asciiTheme="majorBidi" w:hAnsiTheme="majorBidi" w:cstheme="majorBidi"/>
          <w:sz w:val="18"/>
          <w:szCs w:val="18"/>
        </w:rPr>
        <w:instrText>ADDIN CSL_CITATION {"citationItems":[{"id":"ITEM-1","itemData":{"URL":"https://quran.nu.or.id","accessed":{"date-parts":[["2024","2","10"]]},"author":[{"dropping-particle":"","family":"Quran.nu.or.i","given":"","non-dropping-particle":"","parse-names":false,"suffix":""}],"container-title":"https://quran.nu.or.id","id":"ITEM-1","issued":{"date-parts":[["0"]]},"title":"Al Quran","type":"webpage"},"uris":["http://www.mendeley.com/documents/?uuid=0d70ed8d-7f51-438b-b545-36b39f4bc4a9"]}],"mendeley":{"formattedCitation":"Quran.nu.or.i, “Al Quran.”","plainTextFormattedCitation":"Quran.nu.or.i, “Al Quran.”","previouslyFormattedCitation":"Quran.nu.or.i, “Al Quran.”"},"properties":{"noteIndex":108},"schema":"https://github.com/citation-style-language/schema/raw/master/csl-citation.json"}</w:instrText>
      </w:r>
      <w:r w:rsidRPr="0094546B">
        <w:rPr>
          <w:rFonts w:asciiTheme="majorBidi" w:hAnsiTheme="majorBidi" w:cstheme="majorBidi"/>
          <w:sz w:val="18"/>
          <w:szCs w:val="18"/>
        </w:rPr>
        <w:fldChar w:fldCharType="separate"/>
      </w:r>
      <w:r w:rsidRPr="0094546B">
        <w:rPr>
          <w:rFonts w:asciiTheme="majorBidi" w:hAnsiTheme="majorBidi" w:cstheme="majorBidi"/>
          <w:noProof/>
          <w:sz w:val="18"/>
          <w:szCs w:val="18"/>
        </w:rPr>
        <w:t>Quran.nu.or.i, “Al Quran.”</w:t>
      </w:r>
      <w:r w:rsidRPr="0094546B">
        <w:rPr>
          <w:rFonts w:asciiTheme="majorBidi" w:hAnsiTheme="majorBidi" w:cstheme="majorBidi"/>
          <w:sz w:val="18"/>
          <w:szCs w:val="18"/>
        </w:rPr>
        <w:fldChar w:fldCharType="end"/>
      </w:r>
      <w:r w:rsidRPr="0094546B">
        <w:rPr>
          <w:rFonts w:asciiTheme="majorBidi" w:hAnsiTheme="majorBidi" w:cstheme="majorBidi"/>
          <w:sz w:val="18"/>
          <w:szCs w:val="18"/>
        </w:rPr>
        <w:t xml:space="preserve"> .,Q.S Al-Maidah ayat 8</w:t>
      </w:r>
    </w:p>
  </w:footnote>
  <w:footnote w:id="108">
    <w:p w14:paraId="31EFCF42" w14:textId="0C323429" w:rsidR="0094546B" w:rsidRPr="0094546B" w:rsidRDefault="0094546B" w:rsidP="0094546B">
      <w:pPr>
        <w:pStyle w:val="FootnoteText"/>
        <w:ind w:firstLine="720"/>
        <w:jc w:val="both"/>
        <w:rPr>
          <w:rFonts w:asciiTheme="majorBidi" w:hAnsiTheme="majorBidi" w:cstheme="majorBidi"/>
          <w:sz w:val="18"/>
          <w:szCs w:val="18"/>
          <w:lang w:val="en-US"/>
        </w:rPr>
      </w:pPr>
      <w:r w:rsidRPr="0094546B">
        <w:rPr>
          <w:rStyle w:val="FootnoteReference"/>
          <w:rFonts w:asciiTheme="majorBidi" w:hAnsiTheme="majorBidi" w:cstheme="majorBidi"/>
          <w:sz w:val="18"/>
          <w:szCs w:val="18"/>
        </w:rPr>
        <w:footnoteRef/>
      </w:r>
      <w:r w:rsidRPr="0094546B">
        <w:rPr>
          <w:rFonts w:asciiTheme="majorBidi" w:hAnsiTheme="majorBidi" w:cstheme="majorBidi"/>
          <w:sz w:val="18"/>
          <w:szCs w:val="18"/>
        </w:rPr>
        <w:t xml:space="preserve"> </w:t>
      </w:r>
      <w:r w:rsidRPr="0094546B">
        <w:rPr>
          <w:rFonts w:asciiTheme="majorBidi" w:hAnsiTheme="majorBidi" w:cstheme="majorBidi"/>
          <w:sz w:val="18"/>
          <w:szCs w:val="18"/>
        </w:rPr>
        <w:fldChar w:fldCharType="begin" w:fldLock="1"/>
      </w:r>
      <w:r w:rsidR="00A20BEA">
        <w:rPr>
          <w:rFonts w:asciiTheme="majorBidi" w:hAnsiTheme="majorBidi" w:cstheme="majorBidi"/>
          <w:sz w:val="18"/>
          <w:szCs w:val="18"/>
        </w:rPr>
        <w:instrText>ADDIN CSL_CITATION {"citationItems":[{"id":"ITEM-1","itemData":{"URL":"https://quran.nu.or.id","accessed":{"date-parts":[["2024","2","10"]]},"author":[{"dropping-particle":"","family":"Quran.nu.or.i","given":"","non-dropping-particle":"","parse-names":false,"suffix":""}],"container-title":"https://quran.nu.or.id","id":"ITEM-1","issued":{"date-parts":[["0"]]},"title":"Al Quran","type":"webpage"},"uris":["http://www.mendeley.com/documents/?uuid=0d70ed8d-7f51-438b-b545-36b39f4bc4a9"]}],"mendeley":{"formattedCitation":"Ibid.","plainTextFormattedCitation":"Ibid.","previouslyFormattedCitation":"Ibid."},"properties":{"noteIndex":109},"schema":"https://github.com/citation-style-language/schema/raw/master/csl-citation.json"}</w:instrText>
      </w:r>
      <w:r w:rsidRPr="0094546B">
        <w:rPr>
          <w:rFonts w:asciiTheme="majorBidi" w:hAnsiTheme="majorBidi" w:cstheme="majorBidi"/>
          <w:sz w:val="18"/>
          <w:szCs w:val="18"/>
        </w:rPr>
        <w:fldChar w:fldCharType="separate"/>
      </w:r>
      <w:r w:rsidRPr="0094546B">
        <w:rPr>
          <w:rFonts w:asciiTheme="majorBidi" w:hAnsiTheme="majorBidi" w:cstheme="majorBidi"/>
          <w:noProof/>
          <w:sz w:val="18"/>
          <w:szCs w:val="18"/>
        </w:rPr>
        <w:t>Ibid.</w:t>
      </w:r>
      <w:r w:rsidRPr="0094546B">
        <w:rPr>
          <w:rFonts w:asciiTheme="majorBidi" w:hAnsiTheme="majorBidi" w:cstheme="majorBidi"/>
          <w:sz w:val="18"/>
          <w:szCs w:val="18"/>
        </w:rPr>
        <w:fldChar w:fldCharType="end"/>
      </w:r>
      <w:r>
        <w:rPr>
          <w:rFonts w:asciiTheme="majorBidi" w:hAnsiTheme="majorBidi" w:cstheme="majorBidi"/>
          <w:sz w:val="18"/>
          <w:szCs w:val="18"/>
        </w:rPr>
        <w:t xml:space="preserve">, Terjemahan </w:t>
      </w:r>
      <w:r w:rsidRPr="0094546B">
        <w:rPr>
          <w:rFonts w:asciiTheme="majorBidi" w:hAnsiTheme="majorBidi" w:cstheme="majorBidi"/>
          <w:sz w:val="18"/>
          <w:szCs w:val="18"/>
        </w:rPr>
        <w:t>.,Q.S Al-Maidah ayat 8</w:t>
      </w:r>
    </w:p>
  </w:footnote>
  <w:footnote w:id="109">
    <w:p w14:paraId="02FEEA62" w14:textId="244F8A52" w:rsidR="008D372B" w:rsidRPr="003C564D" w:rsidRDefault="008D372B" w:rsidP="0094546B">
      <w:pPr>
        <w:pStyle w:val="FootnoteText"/>
        <w:ind w:firstLine="720"/>
        <w:jc w:val="both"/>
        <w:rPr>
          <w:rFonts w:asciiTheme="majorBidi" w:hAnsiTheme="majorBidi" w:cstheme="majorBidi"/>
          <w:sz w:val="18"/>
          <w:szCs w:val="18"/>
          <w:lang w:val="en-US"/>
        </w:rPr>
      </w:pPr>
      <w:r w:rsidRPr="003C564D">
        <w:rPr>
          <w:rStyle w:val="FootnoteReference"/>
          <w:rFonts w:asciiTheme="majorBidi" w:hAnsiTheme="majorBidi" w:cstheme="majorBidi"/>
          <w:sz w:val="18"/>
          <w:szCs w:val="18"/>
        </w:rPr>
        <w:footnoteRef/>
      </w:r>
      <w:r w:rsidRPr="003C564D">
        <w:rPr>
          <w:rFonts w:asciiTheme="majorBidi" w:hAnsiTheme="majorBidi" w:cstheme="majorBidi"/>
          <w:sz w:val="18"/>
          <w:szCs w:val="18"/>
        </w:rPr>
        <w:t xml:space="preserve"> </w:t>
      </w:r>
      <w:r w:rsidRPr="003C564D">
        <w:rPr>
          <w:rFonts w:asciiTheme="majorBidi" w:hAnsiTheme="majorBidi" w:cstheme="majorBidi"/>
          <w:sz w:val="18"/>
          <w:szCs w:val="18"/>
        </w:rPr>
        <w:fldChar w:fldCharType="begin" w:fldLock="1"/>
      </w:r>
      <w:r w:rsidR="0094546B">
        <w:rPr>
          <w:rFonts w:asciiTheme="majorBidi" w:hAnsiTheme="majorBidi" w:cstheme="majorBidi"/>
          <w:sz w:val="18"/>
          <w:szCs w:val="18"/>
        </w:rPr>
        <w:instrText>ADDIN CSL_CITATION {"citationItems":[{"id":"ITEM-1","itemData":{"author":[{"dropping-particle":"","family":"Wahbah Az-Zuhaili","given":"","non-dropping-particle":"","parse-names":false,"suffix":""}],"id":"ITEM-1","issued":{"date-parts":[["2011"]]},"number-of-pages":"540","publisher":"Gema Insani Press","publisher-place":"Jakarta","title":"Fiqih Islam Wa Adillatuhu Jilid 8","type":"book"},"uris":["http://www.mendeley.com/documents/?uuid=5904bb3d-6276-4c5b-a218-86871b0c479d"]}],"mendeley":{"formattedCitation":"Wahbah Az-Zuhaili, &lt;i&gt;Fiqih Islam Wa Adillatuhu Jilid 8&lt;/i&gt;.","plainTextFormattedCitation":"Wahbah Az-Zuhaili, Fiqih Islam Wa Adillatuhu Jilid 8.","previouslyFormattedCitation":"Wahbah Az-Zuhaili, &lt;i&gt;Fiqih Islam Wa Adillatuhu Jilid 8&lt;/i&gt;."},"properties":{"noteIndex":110},"schema":"https://github.com/citation-style-language/schema/raw/master/csl-citation.json"}</w:instrText>
      </w:r>
      <w:r w:rsidRPr="003C564D">
        <w:rPr>
          <w:rFonts w:asciiTheme="majorBidi" w:hAnsiTheme="majorBidi" w:cstheme="majorBidi"/>
          <w:sz w:val="18"/>
          <w:szCs w:val="18"/>
        </w:rPr>
        <w:fldChar w:fldCharType="separate"/>
      </w:r>
      <w:r w:rsidRPr="003C564D">
        <w:rPr>
          <w:rFonts w:asciiTheme="majorBidi" w:hAnsiTheme="majorBidi" w:cstheme="majorBidi"/>
          <w:noProof/>
          <w:sz w:val="18"/>
          <w:szCs w:val="18"/>
        </w:rPr>
        <w:t xml:space="preserve">Wahbah Az-Zuhaili, </w:t>
      </w:r>
      <w:r w:rsidRPr="003C564D">
        <w:rPr>
          <w:rFonts w:asciiTheme="majorBidi" w:hAnsiTheme="majorBidi" w:cstheme="majorBidi"/>
          <w:i/>
          <w:noProof/>
          <w:sz w:val="18"/>
          <w:szCs w:val="18"/>
        </w:rPr>
        <w:t>Fiqih Islam Wa Adillatuhu Jilid 8</w:t>
      </w:r>
      <w:r w:rsidRPr="003C564D">
        <w:rPr>
          <w:rFonts w:asciiTheme="majorBidi" w:hAnsiTheme="majorBidi" w:cstheme="majorBidi"/>
          <w:noProof/>
          <w:sz w:val="18"/>
          <w:szCs w:val="18"/>
        </w:rPr>
        <w:t>.</w:t>
      </w:r>
      <w:r w:rsidRPr="003C564D">
        <w:rPr>
          <w:rFonts w:asciiTheme="majorBidi" w:hAnsiTheme="majorBidi" w:cstheme="majorBidi"/>
          <w:sz w:val="18"/>
          <w:szCs w:val="18"/>
        </w:rPr>
        <w:fldChar w:fldCharType="end"/>
      </w:r>
      <w:r>
        <w:rPr>
          <w:rFonts w:asciiTheme="majorBidi" w:hAnsiTheme="majorBidi" w:cstheme="majorBidi"/>
          <w:sz w:val="18"/>
          <w:szCs w:val="18"/>
        </w:rPr>
        <w:t>, hlm 105</w:t>
      </w:r>
    </w:p>
  </w:footnote>
  <w:footnote w:id="110">
    <w:p w14:paraId="08725C64" w14:textId="038833BC" w:rsidR="008D372B" w:rsidRPr="00BC0107" w:rsidRDefault="008D372B" w:rsidP="0094546B">
      <w:pPr>
        <w:pStyle w:val="FootnoteText"/>
        <w:ind w:firstLine="720"/>
        <w:jc w:val="both"/>
        <w:rPr>
          <w:rFonts w:asciiTheme="majorBidi" w:hAnsiTheme="majorBidi" w:cstheme="majorBidi"/>
          <w:sz w:val="18"/>
          <w:szCs w:val="18"/>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94546B">
        <w:rPr>
          <w:rFonts w:asciiTheme="majorBidi" w:hAnsiTheme="majorBidi" w:cstheme="majorBidi"/>
          <w:sz w:val="18"/>
          <w:szCs w:val="18"/>
        </w:rPr>
        <w:instrText>ADDIN CSL_CITATION {"citationItems":[{"id":"ITEM-1","itemData":{"author":[{"dropping-particle":"","family":"Syamsuri, Abdul Basit Junaidy, Nur Lailatul Musyafa'ah","given":"Moh. Mufid","non-dropping-particle":"","parse-names":false,"suffix":""}],"edition":"cet 1","editor":[{"dropping-particle":"","family":"Wahyono Abdul Ghofur","given":"Iklilah Muzayyanah Dini Fajriyah","non-dropping-particle":"","parse-names":false,"suffix":""}],"id":"ITEM-1","issued":{"date-parts":[["2020"]]},"number-of-pages":"426","publisher":"PT Rajawali Buana Pustaka","publisher-place":"Depok","title":"Hukum Pidana Islam","type":"book"},"uris":["http://www.mendeley.com/documents/?uuid=3974180b-66a1-4556-9eb0-87dc8d8afc15"]}],"mendeley":{"formattedCitation":"Syamsuri, Abdul Basit Junaidy, Nur Lailatul Musyafa’ah, &lt;i&gt;Hukum Pidana Islam&lt;/i&gt;.","plainTextFormattedCitation":"Syamsuri, Abdul Basit Junaidy, Nur Lailatul Musyafa’ah, Hukum Pidana Islam.","previouslyFormattedCitation":"Syamsuri, Abdul Basit Junaidy, Nur Lailatul Musyafa’ah, &lt;i&gt;Hukum Pidana Islam&lt;/i&gt;."},"properties":{"noteIndex":111},"schema":"https://github.com/citation-style-language/schema/raw/master/csl-citation.json"}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Syamsuri, Abdul Basit Junaidy, Nur Lailatul Musyafa’ah, </w:t>
      </w:r>
      <w:r w:rsidRPr="00BC0107">
        <w:rPr>
          <w:rFonts w:asciiTheme="majorBidi" w:hAnsiTheme="majorBidi" w:cstheme="majorBidi"/>
          <w:i/>
          <w:noProof/>
          <w:sz w:val="18"/>
          <w:szCs w:val="18"/>
        </w:rPr>
        <w:t>Hukum Pidana Islam</w:t>
      </w:r>
      <w:r w:rsidRPr="00BC0107">
        <w:rPr>
          <w:rFonts w:asciiTheme="majorBidi" w:hAnsiTheme="majorBidi" w:cstheme="majorBidi"/>
          <w:noProof/>
          <w:sz w:val="18"/>
          <w:szCs w:val="18"/>
        </w:rPr>
        <w:t>.</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w:t>
      </w:r>
      <w:r>
        <w:rPr>
          <w:rFonts w:asciiTheme="majorBidi" w:hAnsiTheme="majorBidi" w:cstheme="majorBidi"/>
          <w:sz w:val="18"/>
          <w:szCs w:val="18"/>
        </w:rPr>
        <w:t>hlm</w:t>
      </w:r>
      <w:r w:rsidRPr="00BC0107">
        <w:rPr>
          <w:rFonts w:asciiTheme="majorBidi" w:hAnsiTheme="majorBidi" w:cstheme="majorBidi"/>
          <w:sz w:val="18"/>
          <w:szCs w:val="18"/>
        </w:rPr>
        <w:t>165</w:t>
      </w:r>
    </w:p>
  </w:footnote>
  <w:footnote w:id="111">
    <w:p w14:paraId="264F10F2" w14:textId="30DC4256" w:rsidR="008D372B" w:rsidRPr="00BC0107" w:rsidRDefault="008D372B" w:rsidP="0094546B">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94546B">
        <w:rPr>
          <w:rFonts w:asciiTheme="majorBidi" w:hAnsiTheme="majorBidi" w:cstheme="majorBidi"/>
          <w:sz w:val="18"/>
          <w:szCs w:val="18"/>
        </w:rPr>
        <w:instrText>ADDIN CSL_CITATION {"citationItems":[{"id":"ITEM-1","itemData":{"author":[{"dropping-particle":"","family":"Wahbah Az-Zuhaili","given":"","non-dropping-particle":"","parse-names":false,"suffix":""}],"id":"ITEM-1","issued":{"date-parts":[["2011"]]},"number-of-pages":"540","publisher":"Gema Insani Press","publisher-place":"Jakarta","title":"Fiqih Islam Wa Adillatuhu Jilid 8","type":"book"},"uris":["http://www.mendeley.com/documents/?uuid=5904bb3d-6276-4c5b-a218-86871b0c479d"]}],"mendeley":{"formattedCitation":"Wahbah Az-Zuhaili, &lt;i&gt;Fiqih Islam Wa Adillatuhu Jilid 8&lt;/i&gt;.","plainTextFormattedCitation":"Wahbah Az-Zuhaili, Fiqih Islam Wa Adillatuhu Jilid 8.","previouslyFormattedCitation":"Wahbah Az-Zuhaili, &lt;i&gt;Fiqih Islam Wa Adillatuhu Jilid 8&lt;/i&gt;."},"properties":{"noteIndex":112},"schema":"https://github.com/citation-style-language/schema/raw/master/csl-citation.json"}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Wahbah Az-Zuhaili, </w:t>
      </w:r>
      <w:r w:rsidRPr="00BC0107">
        <w:rPr>
          <w:rFonts w:asciiTheme="majorBidi" w:hAnsiTheme="majorBidi" w:cstheme="majorBidi"/>
          <w:i/>
          <w:noProof/>
          <w:sz w:val="18"/>
          <w:szCs w:val="18"/>
        </w:rPr>
        <w:t>Fiqih Islam Wa Adillatuhu Jilid 8</w:t>
      </w:r>
      <w:r w:rsidRPr="00BC0107">
        <w:rPr>
          <w:rFonts w:asciiTheme="majorBidi" w:hAnsiTheme="majorBidi" w:cstheme="majorBidi"/>
          <w:noProof/>
          <w:sz w:val="18"/>
          <w:szCs w:val="18"/>
        </w:rPr>
        <w:t>.</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 xml:space="preserve">, </w:t>
      </w:r>
      <w:r>
        <w:rPr>
          <w:rFonts w:asciiTheme="majorBidi" w:hAnsiTheme="majorBidi" w:cstheme="majorBidi"/>
          <w:sz w:val="18"/>
          <w:szCs w:val="18"/>
        </w:rPr>
        <w:t>hlm</w:t>
      </w:r>
      <w:r w:rsidRPr="00BC0107">
        <w:rPr>
          <w:rFonts w:asciiTheme="majorBidi" w:hAnsiTheme="majorBidi" w:cstheme="majorBidi"/>
          <w:sz w:val="18"/>
          <w:szCs w:val="18"/>
        </w:rPr>
        <w:t>192</w:t>
      </w:r>
    </w:p>
  </w:footnote>
  <w:footnote w:id="112">
    <w:p w14:paraId="4249C941" w14:textId="4AFFCC8C" w:rsidR="008D372B" w:rsidRPr="00AF5109" w:rsidRDefault="008D372B" w:rsidP="0094546B">
      <w:pPr>
        <w:pStyle w:val="FootnoteText"/>
        <w:ind w:firstLine="720"/>
        <w:jc w:val="both"/>
        <w:rPr>
          <w:lang w:val="en-US"/>
        </w:rPr>
      </w:pPr>
      <w:r>
        <w:rPr>
          <w:rStyle w:val="FootnoteReference"/>
        </w:rPr>
        <w:footnoteRef/>
      </w:r>
      <w:r w:rsidRPr="00AF5109">
        <w:rPr>
          <w:rFonts w:asciiTheme="majorBidi" w:hAnsiTheme="majorBidi" w:cstheme="majorBidi"/>
          <w:sz w:val="18"/>
          <w:szCs w:val="18"/>
        </w:rPr>
        <w:t xml:space="preserve"> </w:t>
      </w:r>
      <w:r>
        <w:rPr>
          <w:rFonts w:asciiTheme="majorBidi" w:hAnsiTheme="majorBidi" w:cstheme="majorBidi"/>
          <w:sz w:val="18"/>
          <w:szCs w:val="18"/>
        </w:rPr>
        <w:t xml:space="preserve">Lihat Pasal 182 </w:t>
      </w:r>
      <w:r w:rsidRPr="00AF5109">
        <w:rPr>
          <w:rFonts w:asciiTheme="majorBidi" w:hAnsiTheme="majorBidi" w:cstheme="majorBidi"/>
          <w:sz w:val="18"/>
          <w:szCs w:val="18"/>
        </w:rPr>
        <w:fldChar w:fldCharType="begin" w:fldLock="1"/>
      </w:r>
      <w:r w:rsidR="00A20BEA">
        <w:rPr>
          <w:rFonts w:asciiTheme="majorBidi" w:hAnsiTheme="majorBidi" w:cstheme="majorBidi"/>
          <w:sz w:val="18"/>
          <w:szCs w:val="18"/>
        </w:rPr>
        <w:instrText>ADDIN CSL_CITATION {"citationItems":[{"id":"ITEM-1","itemData":{"author":[{"dropping-particle":"","family":"Gubernur Provinsi Aceh","given":"","non-dropping-particle":"","parse-names":false,"suffix":""}],"id":"ITEM-1","issued":{"date-parts":[["2013"]]},"page":"112","publisher-place":"Indonesia","title":"Qanun Aceh Nomor 7 tahun 2013 Tentang Hukum Acara Jinayat","type":"legislation"},"uris":["http://www.mendeley.com/documents/?uuid=dcdd0077-68a6-4123-980f-f0586d8c5b75"]}],"mendeley":{"formattedCitation":"Gubernur Provinsi Aceh, &lt;i&gt;Qanun Aceh Nomor 7 Tahun 2013 Tentang Hukum Acara Jinayat&lt;/i&gt;.","manualFormatting":"Gubernur Provinsi Aceh, Qanun Aceh Nomor 7 Tahun 2013 tentang Hukum Acara Jinayat.","plainTextFormattedCitation":"Gubernur Provinsi Aceh, Qanun Aceh Nomor 7 Tahun 2013 Tentang Hukum Acara Jinayat.","previouslyFormattedCitation":"Gubernur Provinsi Aceh, &lt;i&gt;Qanun Aceh Nomor 7 Tahun 2013 Tentang Hukum Acara Jinayat&lt;/i&gt;."},"properties":{"noteIndex":113},"schema":"https://github.com/citation-style-language/schema/raw/master/csl-citation.json"}</w:instrText>
      </w:r>
      <w:r w:rsidRPr="00AF5109">
        <w:rPr>
          <w:rFonts w:asciiTheme="majorBidi" w:hAnsiTheme="majorBidi" w:cstheme="majorBidi"/>
          <w:sz w:val="18"/>
          <w:szCs w:val="18"/>
        </w:rPr>
        <w:fldChar w:fldCharType="separate"/>
      </w:r>
      <w:r w:rsidRPr="00BC541D">
        <w:rPr>
          <w:rFonts w:asciiTheme="majorBidi" w:hAnsiTheme="majorBidi" w:cstheme="majorBidi"/>
          <w:noProof/>
          <w:sz w:val="18"/>
          <w:szCs w:val="18"/>
        </w:rPr>
        <w:t xml:space="preserve">Gubernur Provinsi Aceh, </w:t>
      </w:r>
      <w:r w:rsidRPr="00BC541D">
        <w:rPr>
          <w:rFonts w:asciiTheme="majorBidi" w:hAnsiTheme="majorBidi" w:cstheme="majorBidi"/>
          <w:i/>
          <w:noProof/>
          <w:sz w:val="18"/>
          <w:szCs w:val="18"/>
        </w:rPr>
        <w:t xml:space="preserve">Qanun Aceh Nomor 7 Tahun 2013 </w:t>
      </w:r>
      <w:r w:rsidR="0094546B">
        <w:rPr>
          <w:rFonts w:asciiTheme="majorBidi" w:hAnsiTheme="majorBidi" w:cstheme="majorBidi"/>
          <w:i/>
          <w:noProof/>
          <w:sz w:val="18"/>
          <w:szCs w:val="18"/>
        </w:rPr>
        <w:t>t</w:t>
      </w:r>
      <w:r w:rsidRPr="00BC541D">
        <w:rPr>
          <w:rFonts w:asciiTheme="majorBidi" w:hAnsiTheme="majorBidi" w:cstheme="majorBidi"/>
          <w:i/>
          <w:noProof/>
          <w:sz w:val="18"/>
          <w:szCs w:val="18"/>
        </w:rPr>
        <w:t>entang Hukum Acara Jinayat</w:t>
      </w:r>
      <w:r w:rsidRPr="00BC541D">
        <w:rPr>
          <w:rFonts w:asciiTheme="majorBidi" w:hAnsiTheme="majorBidi" w:cstheme="majorBidi"/>
          <w:noProof/>
          <w:sz w:val="18"/>
          <w:szCs w:val="18"/>
        </w:rPr>
        <w:t>.</w:t>
      </w:r>
      <w:r w:rsidRPr="00AF5109">
        <w:rPr>
          <w:rFonts w:asciiTheme="majorBidi" w:hAnsiTheme="majorBidi" w:cstheme="majorBidi"/>
          <w:sz w:val="18"/>
          <w:szCs w:val="18"/>
        </w:rPr>
        <w:fldChar w:fldCharType="end"/>
      </w:r>
    </w:p>
  </w:footnote>
  <w:footnote w:id="113">
    <w:p w14:paraId="5227FFEE" w14:textId="6A4DDE10" w:rsidR="006A65D8" w:rsidRPr="00BC0107" w:rsidRDefault="006A65D8" w:rsidP="007F361B">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94546B">
        <w:rPr>
          <w:rFonts w:asciiTheme="majorBidi" w:hAnsiTheme="majorBidi" w:cstheme="majorBidi"/>
          <w:sz w:val="18"/>
          <w:szCs w:val="18"/>
        </w:rPr>
        <w:instrText>ADDIN CSL_CITATION {"citationItems":[{"id":"ITEM-1","itemData":{"author":[{"dropping-particle":"","family":"Joenadi Efendi, Ismu Gunadi Widodo","given":"Fifit Fitriani Lutfianingsih","non-dropping-particle":"","parse-names":false,"suffix":""}],"edition":"Cet 1","editor":[{"dropping-particle":"","family":"Irfan Fahmi, Kharisma Putra Utama","given":"Y.Rendi","non-dropping-particle":"","parse-names":false,"suffix":""}],"id":"ITEM-1","issued":{"date-parts":[["2016"]]},"number-of-pages":"472","publisher":"Kencana Prenada Media Group","publisher-place":"Jakarta","title":"Kamus Istilah Hukum Populer","type":"book"},"uris":["http://www.mendeley.com/documents/?uuid=a02712fb-2e5f-49ba-89d3-ae6d23a87337"]}],"mendeley":{"formattedCitation":"Fifit Fitriani Lutfianingsih Joenadi Efendi, Ismu Gunadi Widodo, &lt;i&gt;Kamus Istilah Hukum Populer&lt;/i&gt;, ed. Y.Rendi Irfan Fahmi, Kharisma Putra Utama, Cet 1. (Jakarta: Kencana Prenada Media Group, 2016).","plainTextFormattedCitation":"Fifit Fitriani Lutfianingsih Joenadi Efendi, Ismu Gunadi Widodo, Kamus Istilah Hukum Populer, ed. Y.Rendi Irfan Fahmi, Kharisma Putra Utama, Cet 1. (Jakarta: Kencana Prenada Media Group, 2016).","previouslyFormattedCitation":"Fifit Fitriani Lutfianingsih Joenadi Efendi, Ismu Gunadi Widodo, &lt;i&gt;Kamus Istilah Hukum Populer&lt;/i&gt;, ed. Y.Rendi Irfan Fahmi, Kharisma Putra Utama, Cet 1. (Jakarta: Kencana Prenada Media Group, 2016)."},"properties":{"noteIndex":114},"schema":"https://github.com/citation-style-language/schema/raw/master/csl-citation.json"}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Fifit Fitriani Lutfianingsih Joenadi Efendi, Ismu Gunadi Widodo, </w:t>
      </w:r>
      <w:r w:rsidRPr="00BC0107">
        <w:rPr>
          <w:rFonts w:asciiTheme="majorBidi" w:hAnsiTheme="majorBidi" w:cstheme="majorBidi"/>
          <w:i/>
          <w:noProof/>
          <w:sz w:val="18"/>
          <w:szCs w:val="18"/>
        </w:rPr>
        <w:t>Kamus Istilah Hukum Populer</w:t>
      </w:r>
      <w:r w:rsidRPr="00BC0107">
        <w:rPr>
          <w:rFonts w:asciiTheme="majorBidi" w:hAnsiTheme="majorBidi" w:cstheme="majorBidi"/>
          <w:noProof/>
          <w:sz w:val="18"/>
          <w:szCs w:val="18"/>
        </w:rPr>
        <w:t>, ed. Y.Rendi Irfan Fahmi, Kharisma Putra Utama, Cet 1. (Jakarta: Kencana Prenada Media Group, 2016).</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 xml:space="preserve">, </w:t>
      </w:r>
      <w:r>
        <w:rPr>
          <w:rFonts w:asciiTheme="majorBidi" w:hAnsiTheme="majorBidi" w:cstheme="majorBidi"/>
          <w:sz w:val="18"/>
          <w:szCs w:val="18"/>
        </w:rPr>
        <w:t>hlm</w:t>
      </w:r>
      <w:r w:rsidRPr="00BC0107">
        <w:rPr>
          <w:rFonts w:asciiTheme="majorBidi" w:hAnsiTheme="majorBidi" w:cstheme="majorBidi"/>
          <w:sz w:val="18"/>
          <w:szCs w:val="18"/>
        </w:rPr>
        <w:t>112</w:t>
      </w:r>
    </w:p>
  </w:footnote>
  <w:footnote w:id="114">
    <w:p w14:paraId="6392348F" w14:textId="77BC89C2" w:rsidR="006A65D8" w:rsidRPr="00BC0107" w:rsidRDefault="006A65D8" w:rsidP="007F361B">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A20BEA">
        <w:rPr>
          <w:rFonts w:asciiTheme="majorBidi" w:hAnsiTheme="majorBidi" w:cstheme="majorBidi"/>
          <w:sz w:val="18"/>
          <w:szCs w:val="18"/>
        </w:rPr>
        <w:instrText>ADDIN CSL_CITATION {"citationItems":[{"id":"ITEM-1","itemData":{"author":[{"dropping-particle":"","family":"Ahmad Mujahidin","given":"","non-dropping-particle":"","parse-names":false,"suffix":""}],"edition":"Cet1","editor":[{"dropping-particle":"","family":"Irfan Fahmi, Lintang Novita","given":"Iam","non-dropping-particle":"","parse-names":false,"suffix":""}],"id":"ITEM-1","issued":{"date-parts":[["2021"]]},"number-of-pages":"456","publisher":"Kencana Prenada Media Group","publisher-place":"Jakarta","title":"Hukum Wakaf di Indonesia dan Penanganan Sengketanya","type":"book"},"uris":["http://www.mendeley.com/documents/?uuid=45cade9c-eb04-43f3-9b1f-6477906a0035"]}],"mendeley":{"formattedCitation":"Ahmad Mujahidin, &lt;i&gt;Hukum Wakaf Di Indonesia Dan Penanganan Sengketanya&lt;/i&gt;, ed. Iam Irfan Fahmi, Lintang Novita, Cet1 ed. (Jakarta: Kencana Prenada Media Group, 2021).","manualFormatting":"Ahmad Mujahidin, Hukum Wakaf di Indonesia dan Penanganan Sengketanya, ed. Iam Irfan Fahmi, Lintang Novita, Cet1 ed. (Jakarta: Kencana Prenada Media Group, 2021).","plainTextFormattedCitation":"Ahmad Mujahidin, Hukum Wakaf Di Indonesia Dan Penanganan Sengketanya, ed. Iam Irfan Fahmi, Lintang Novita, Cet1 ed. (Jakarta: Kencana Prenada Media Group, 2021).","previouslyFormattedCitation":"Ahmad Mujahidin, &lt;i&gt;Hukum Wakaf Di Indonesia Dan Penanganan Sengketanya&lt;/i&gt;, ed. Iam Irfan Fahmi, Lintang Novita, Cet1 ed. (Jakarta: Kencana Prenada Media Group, 2021)."},"properties":{"noteIndex":115},"schema":"https://github.com/citation-style-language/schema/raw/master/csl-citation.json"}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Ahmad Mujahidin, </w:t>
      </w:r>
      <w:r w:rsidRPr="00BC0107">
        <w:rPr>
          <w:rFonts w:asciiTheme="majorBidi" w:hAnsiTheme="majorBidi" w:cstheme="majorBidi"/>
          <w:i/>
          <w:noProof/>
          <w:sz w:val="18"/>
          <w:szCs w:val="18"/>
        </w:rPr>
        <w:t xml:space="preserve">Hukum Wakaf </w:t>
      </w:r>
      <w:r w:rsidR="00920E35">
        <w:rPr>
          <w:rFonts w:asciiTheme="majorBidi" w:hAnsiTheme="majorBidi" w:cstheme="majorBidi"/>
          <w:i/>
          <w:noProof/>
          <w:sz w:val="18"/>
          <w:szCs w:val="18"/>
        </w:rPr>
        <w:t>d</w:t>
      </w:r>
      <w:r w:rsidRPr="00BC0107">
        <w:rPr>
          <w:rFonts w:asciiTheme="majorBidi" w:hAnsiTheme="majorBidi" w:cstheme="majorBidi"/>
          <w:i/>
          <w:noProof/>
          <w:sz w:val="18"/>
          <w:szCs w:val="18"/>
        </w:rPr>
        <w:t xml:space="preserve">i Indonesia </w:t>
      </w:r>
      <w:r w:rsidR="00920E35">
        <w:rPr>
          <w:rFonts w:asciiTheme="majorBidi" w:hAnsiTheme="majorBidi" w:cstheme="majorBidi"/>
          <w:i/>
          <w:noProof/>
          <w:sz w:val="18"/>
          <w:szCs w:val="18"/>
        </w:rPr>
        <w:t>d</w:t>
      </w:r>
      <w:r w:rsidRPr="00BC0107">
        <w:rPr>
          <w:rFonts w:asciiTheme="majorBidi" w:hAnsiTheme="majorBidi" w:cstheme="majorBidi"/>
          <w:i/>
          <w:noProof/>
          <w:sz w:val="18"/>
          <w:szCs w:val="18"/>
        </w:rPr>
        <w:t>an Penanganan Sengketanya</w:t>
      </w:r>
      <w:r w:rsidRPr="00BC0107">
        <w:rPr>
          <w:rFonts w:asciiTheme="majorBidi" w:hAnsiTheme="majorBidi" w:cstheme="majorBidi"/>
          <w:noProof/>
          <w:sz w:val="18"/>
          <w:szCs w:val="18"/>
        </w:rPr>
        <w:t>, ed. Iam Irfan Fahmi, Lintang Novita, Cet1 ed. (Jakarta: Kencana Prenada Media Group, 2021).</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 xml:space="preserve">, </w:t>
      </w:r>
      <w:r>
        <w:rPr>
          <w:rFonts w:asciiTheme="majorBidi" w:hAnsiTheme="majorBidi" w:cstheme="majorBidi"/>
          <w:sz w:val="18"/>
          <w:szCs w:val="18"/>
        </w:rPr>
        <w:t>h</w:t>
      </w:r>
      <w:r w:rsidRPr="00BC0107">
        <w:rPr>
          <w:rFonts w:asciiTheme="majorBidi" w:hAnsiTheme="majorBidi" w:cstheme="majorBidi"/>
          <w:sz w:val="18"/>
          <w:szCs w:val="18"/>
        </w:rPr>
        <w:t>lm 434</w:t>
      </w:r>
    </w:p>
  </w:footnote>
  <w:footnote w:id="115">
    <w:p w14:paraId="7AF74FC0" w14:textId="28FB53B5" w:rsidR="006A65D8" w:rsidRPr="00CB6027" w:rsidRDefault="006A65D8" w:rsidP="007F361B">
      <w:pPr>
        <w:pStyle w:val="FootnoteText"/>
        <w:ind w:firstLine="720"/>
        <w:jc w:val="both"/>
        <w:rPr>
          <w:rFonts w:asciiTheme="majorBidi" w:hAnsiTheme="majorBidi" w:cstheme="majorBidi"/>
          <w:sz w:val="18"/>
          <w:szCs w:val="18"/>
          <w:lang w:val="en-US"/>
        </w:rPr>
      </w:pPr>
      <w:r w:rsidRPr="00CB6027">
        <w:rPr>
          <w:rStyle w:val="FootnoteReference"/>
          <w:rFonts w:asciiTheme="majorBidi" w:hAnsiTheme="majorBidi" w:cstheme="majorBidi"/>
          <w:sz w:val="18"/>
          <w:szCs w:val="18"/>
        </w:rPr>
        <w:footnoteRef/>
      </w:r>
      <w:r w:rsidRPr="00CB6027">
        <w:rPr>
          <w:rFonts w:asciiTheme="majorBidi" w:hAnsiTheme="majorBidi" w:cstheme="majorBidi"/>
          <w:sz w:val="18"/>
          <w:szCs w:val="18"/>
        </w:rPr>
        <w:t xml:space="preserve"> </w:t>
      </w:r>
      <w:r w:rsidRPr="00CB6027">
        <w:rPr>
          <w:rFonts w:asciiTheme="majorBidi" w:hAnsiTheme="majorBidi" w:cstheme="majorBidi"/>
          <w:sz w:val="18"/>
          <w:szCs w:val="18"/>
        </w:rPr>
        <w:fldChar w:fldCharType="begin" w:fldLock="1"/>
      </w:r>
      <w:r w:rsidR="0094546B">
        <w:rPr>
          <w:rFonts w:asciiTheme="majorBidi" w:hAnsiTheme="majorBidi" w:cstheme="majorBidi"/>
          <w:sz w:val="18"/>
          <w:szCs w:val="18"/>
        </w:rPr>
        <w:instrText>ADDIN CSL_CITATION {"citationItems":[{"id":"ITEM-1","itemData":{"author":[{"dropping-particle":"","family":"Munir Fuady","given":"","non-dropping-particle":"","parse-names":false,"suffix":""}],"id":"ITEM-1","issued":{"date-parts":[["2006"]]},"publisher":"Citra Aditya","publisher-place":"Bandung","title":"Teori Hukum Pembuktian: Pidana dan Perdata","type":"book"},"uris":["http://www.mendeley.com/documents/?uuid=07215c47-e4c5-4ef3-9e21-0c4a3840959b"]}],"mendeley":{"formattedCitation":"Munir Fuady, &lt;i&gt;Teori Hukum Pembuktian: Pidana Dan Perdata&lt;/i&gt;.","manualFormatting":"Munir Fuady, Teori Hukum Pembuktian: Pidana dan Perdata.","plainTextFormattedCitation":"Munir Fuady, Teori Hukum Pembuktian: Pidana Dan Perdata.","previouslyFormattedCitation":"Munir Fuady, &lt;i&gt;Teori Hukum Pembuktian: Pidana Dan Perdata&lt;/i&gt;."},"properties":{"noteIndex":116},"schema":"https://github.com/citation-style-language/schema/raw/master/csl-citation.json"}</w:instrText>
      </w:r>
      <w:r w:rsidRPr="00CB6027">
        <w:rPr>
          <w:rFonts w:asciiTheme="majorBidi" w:hAnsiTheme="majorBidi" w:cstheme="majorBidi"/>
          <w:sz w:val="18"/>
          <w:szCs w:val="18"/>
        </w:rPr>
        <w:fldChar w:fldCharType="separate"/>
      </w:r>
      <w:r w:rsidRPr="00CB6027">
        <w:rPr>
          <w:rFonts w:asciiTheme="majorBidi" w:hAnsiTheme="majorBidi" w:cstheme="majorBidi"/>
          <w:noProof/>
          <w:sz w:val="18"/>
          <w:szCs w:val="18"/>
        </w:rPr>
        <w:t xml:space="preserve">Munir Fuady, </w:t>
      </w:r>
      <w:r w:rsidRPr="00CB6027">
        <w:rPr>
          <w:rFonts w:asciiTheme="majorBidi" w:hAnsiTheme="majorBidi" w:cstheme="majorBidi"/>
          <w:i/>
          <w:noProof/>
          <w:sz w:val="18"/>
          <w:szCs w:val="18"/>
        </w:rPr>
        <w:t xml:space="preserve">Teori Hukum Pembuktian: Pidana </w:t>
      </w:r>
      <w:r>
        <w:rPr>
          <w:rFonts w:asciiTheme="majorBidi" w:hAnsiTheme="majorBidi" w:cstheme="majorBidi"/>
          <w:i/>
          <w:noProof/>
          <w:sz w:val="18"/>
          <w:szCs w:val="18"/>
        </w:rPr>
        <w:t>d</w:t>
      </w:r>
      <w:r w:rsidRPr="00CB6027">
        <w:rPr>
          <w:rFonts w:asciiTheme="majorBidi" w:hAnsiTheme="majorBidi" w:cstheme="majorBidi"/>
          <w:i/>
          <w:noProof/>
          <w:sz w:val="18"/>
          <w:szCs w:val="18"/>
        </w:rPr>
        <w:t>an Perdata</w:t>
      </w:r>
      <w:r w:rsidRPr="00CB6027">
        <w:rPr>
          <w:rFonts w:asciiTheme="majorBidi" w:hAnsiTheme="majorBidi" w:cstheme="majorBidi"/>
          <w:noProof/>
          <w:sz w:val="18"/>
          <w:szCs w:val="18"/>
        </w:rPr>
        <w:t>.</w:t>
      </w:r>
      <w:r w:rsidRPr="00CB6027">
        <w:rPr>
          <w:rFonts w:asciiTheme="majorBidi" w:hAnsiTheme="majorBidi" w:cstheme="majorBidi"/>
          <w:sz w:val="18"/>
          <w:szCs w:val="18"/>
        </w:rPr>
        <w:fldChar w:fldCharType="end"/>
      </w:r>
      <w:r>
        <w:rPr>
          <w:rFonts w:asciiTheme="majorBidi" w:hAnsiTheme="majorBidi" w:cstheme="majorBidi"/>
          <w:sz w:val="18"/>
          <w:szCs w:val="18"/>
        </w:rPr>
        <w:t>, hlm 146</w:t>
      </w:r>
    </w:p>
  </w:footnote>
  <w:footnote w:id="116">
    <w:p w14:paraId="7CBB77FA" w14:textId="17625A63" w:rsidR="006A65D8" w:rsidRPr="00BC0107" w:rsidRDefault="006A65D8" w:rsidP="00920E35">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A20BEA">
        <w:rPr>
          <w:rFonts w:asciiTheme="majorBidi" w:hAnsiTheme="majorBidi" w:cstheme="majorBidi"/>
          <w:sz w:val="18"/>
          <w:szCs w:val="18"/>
        </w:rPr>
        <w:instrText>ADDIN CSL_CITATION {"citationItems":[{"id":"ITEM-1","itemData":{"author":[{"dropping-particle":"","family":"Anshoruddin","given":"","non-dropping-particle":"","parse-names":false,"suffix":""}],"edition":"Cet 1","editor":[{"dropping-particle":"","family":"Haitamy el Jaid","given":"Bima Bayu Atijah","non-dropping-particle":"","parse-names":false,"suffix":""}],"id":"ITEM-1","issued":{"date-parts":[["2004"]]},"number-of-pages":"174","publisher":"Pustaka Pelajar","publisher-place":"Yogyakarta","title":"Hukum Pembuktian Menurut Hukum Acara Islam dan Hukum Acara Positif","type":"book"},"uris":["http://www.mendeley.com/documents/?uuid=d0e9ad81-1890-4024-b1fd-c3d1432522ed"]}],"mendeley":{"formattedCitation":"Anshoruddin, &lt;i&gt;Hukum Pembuktian Menurut Hukum Acara Islam Dan Hukum Acara Positif&lt;/i&gt;.","manualFormatting":"Anshoruddin, Hukum Pembuktian menurut Hukum Acara Islam dan Hukum Acara Positif.","plainTextFormattedCitation":"Anshoruddin, Hukum Pembuktian Menurut Hukum Acara Islam Dan Hukum Acara Positif.","previouslyFormattedCitation":"Anshoruddin, &lt;i&gt;Hukum Pembuktian Menurut Hukum Acara Islam Dan Hukum Acara Positif&lt;/i&gt;."},"properties":{"noteIndex":117},"schema":"https://github.com/citation-style-language/schema/raw/master/csl-citation.json"}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Anshoruddin, </w:t>
      </w:r>
      <w:r w:rsidRPr="00BC0107">
        <w:rPr>
          <w:rFonts w:asciiTheme="majorBidi" w:hAnsiTheme="majorBidi" w:cstheme="majorBidi"/>
          <w:i/>
          <w:noProof/>
          <w:sz w:val="18"/>
          <w:szCs w:val="18"/>
        </w:rPr>
        <w:t xml:space="preserve">Hukum Pembuktian </w:t>
      </w:r>
      <w:r w:rsidR="00920E35">
        <w:rPr>
          <w:rFonts w:asciiTheme="majorBidi" w:hAnsiTheme="majorBidi" w:cstheme="majorBidi"/>
          <w:i/>
          <w:noProof/>
          <w:sz w:val="18"/>
          <w:szCs w:val="18"/>
        </w:rPr>
        <w:t>m</w:t>
      </w:r>
      <w:r w:rsidRPr="00BC0107">
        <w:rPr>
          <w:rFonts w:asciiTheme="majorBidi" w:hAnsiTheme="majorBidi" w:cstheme="majorBidi"/>
          <w:i/>
          <w:noProof/>
          <w:sz w:val="18"/>
          <w:szCs w:val="18"/>
        </w:rPr>
        <w:t xml:space="preserve">enurut Hukum Acara Islam </w:t>
      </w:r>
      <w:r>
        <w:rPr>
          <w:rFonts w:asciiTheme="majorBidi" w:hAnsiTheme="majorBidi" w:cstheme="majorBidi"/>
          <w:i/>
          <w:noProof/>
          <w:sz w:val="18"/>
          <w:szCs w:val="18"/>
        </w:rPr>
        <w:t>d</w:t>
      </w:r>
      <w:r w:rsidRPr="00BC0107">
        <w:rPr>
          <w:rFonts w:asciiTheme="majorBidi" w:hAnsiTheme="majorBidi" w:cstheme="majorBidi"/>
          <w:i/>
          <w:noProof/>
          <w:sz w:val="18"/>
          <w:szCs w:val="18"/>
        </w:rPr>
        <w:t>an Hukum Acara Positif</w:t>
      </w:r>
      <w:r w:rsidRPr="00BC0107">
        <w:rPr>
          <w:rFonts w:asciiTheme="majorBidi" w:hAnsiTheme="majorBidi" w:cstheme="majorBidi"/>
          <w:noProof/>
          <w:sz w:val="18"/>
          <w:szCs w:val="18"/>
        </w:rPr>
        <w:t>.</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w:t>
      </w:r>
      <w:r>
        <w:rPr>
          <w:rFonts w:asciiTheme="majorBidi" w:hAnsiTheme="majorBidi" w:cstheme="majorBidi"/>
          <w:sz w:val="18"/>
          <w:szCs w:val="18"/>
        </w:rPr>
        <w:t>h</w:t>
      </w:r>
      <w:r w:rsidRPr="00BC0107">
        <w:rPr>
          <w:rFonts w:asciiTheme="majorBidi" w:hAnsiTheme="majorBidi" w:cstheme="majorBidi"/>
          <w:sz w:val="18"/>
          <w:szCs w:val="18"/>
        </w:rPr>
        <w:t>lm 80</w:t>
      </w:r>
    </w:p>
  </w:footnote>
  <w:footnote w:id="117">
    <w:p w14:paraId="3EF69C25" w14:textId="377C89CD" w:rsidR="006A65D8" w:rsidRPr="00BC0107" w:rsidRDefault="006A65D8" w:rsidP="00920E35">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A20BEA">
        <w:rPr>
          <w:rFonts w:asciiTheme="majorBidi" w:hAnsiTheme="majorBidi" w:cstheme="majorBidi"/>
          <w:sz w:val="18"/>
          <w:szCs w:val="18"/>
        </w:rPr>
        <w:instrText>ADDIN CSL_CITATION {"citationItems":[{"id":"ITEM-1","itemData":{"author":[{"dropping-particle":"","family":"Ahmad Mujahidin","given":"","non-dropping-particle":"","parse-names":false,"suffix":""}],"edition":"Cet1","editor":[{"dropping-particle":"","family":"Irfan Fahmi, Lintang Novita","given":"Iam","non-dropping-particle":"","parse-names":false,"suffix":""}],"id":"ITEM-1","issued":{"date-parts":[["2021"]]},"number-of-pages":"456","publisher":"Kencana Prenada Media Group","publisher-place":"Jakarta","title":"Hukum Wakaf di Indonesia dan Penanganan Sengketanya","type":"book"},"uris":["http://www.mendeley.com/documents/?uuid=45cade9c-eb04-43f3-9b1f-6477906a0035"]}],"mendeley":{"formattedCitation":"Ahmad Mujahidin, &lt;i&gt;Hukum Wakaf Di Indonesia Dan Penanganan Sengketanya&lt;/i&gt;.","manualFormatting":"Ahmad Mujahidin, Hukum Wakaf di Indonesia dan Penanganan Sengketanya.","plainTextFormattedCitation":"Ahmad Mujahidin, Hukum Wakaf Di Indonesia Dan Penanganan Sengketanya.","previouslyFormattedCitation":"Ahmad Mujahidin, &lt;i&gt;Hukum Wakaf Di Indonesia Dan Penanganan Sengketanya&lt;/i&gt;."},"properties":{"noteIndex":118},"schema":"https://github.com/citation-style-language/schema/raw/master/csl-citation.json"}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Ahmad Mujahidin, </w:t>
      </w:r>
      <w:r w:rsidRPr="00BC0107">
        <w:rPr>
          <w:rFonts w:asciiTheme="majorBidi" w:hAnsiTheme="majorBidi" w:cstheme="majorBidi"/>
          <w:i/>
          <w:noProof/>
          <w:sz w:val="18"/>
          <w:szCs w:val="18"/>
        </w:rPr>
        <w:t xml:space="preserve">Hukum Wakaf </w:t>
      </w:r>
      <w:r w:rsidR="00920E35">
        <w:rPr>
          <w:rFonts w:asciiTheme="majorBidi" w:hAnsiTheme="majorBidi" w:cstheme="majorBidi"/>
          <w:i/>
          <w:noProof/>
          <w:sz w:val="18"/>
          <w:szCs w:val="18"/>
        </w:rPr>
        <w:t>d</w:t>
      </w:r>
      <w:r w:rsidRPr="00BC0107">
        <w:rPr>
          <w:rFonts w:asciiTheme="majorBidi" w:hAnsiTheme="majorBidi" w:cstheme="majorBidi"/>
          <w:i/>
          <w:noProof/>
          <w:sz w:val="18"/>
          <w:szCs w:val="18"/>
        </w:rPr>
        <w:t xml:space="preserve">i Indonesia </w:t>
      </w:r>
      <w:r>
        <w:rPr>
          <w:rFonts w:asciiTheme="majorBidi" w:hAnsiTheme="majorBidi" w:cstheme="majorBidi"/>
          <w:i/>
          <w:noProof/>
          <w:sz w:val="18"/>
          <w:szCs w:val="18"/>
        </w:rPr>
        <w:t>d</w:t>
      </w:r>
      <w:r w:rsidRPr="00BC0107">
        <w:rPr>
          <w:rFonts w:asciiTheme="majorBidi" w:hAnsiTheme="majorBidi" w:cstheme="majorBidi"/>
          <w:i/>
          <w:noProof/>
          <w:sz w:val="18"/>
          <w:szCs w:val="18"/>
        </w:rPr>
        <w:t>an Penanganan Sengketanya</w:t>
      </w:r>
      <w:r w:rsidRPr="00BC0107">
        <w:rPr>
          <w:rFonts w:asciiTheme="majorBidi" w:hAnsiTheme="majorBidi" w:cstheme="majorBidi"/>
          <w:noProof/>
          <w:sz w:val="18"/>
          <w:szCs w:val="18"/>
        </w:rPr>
        <w:t>.</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 xml:space="preserve">, </w:t>
      </w:r>
      <w:r>
        <w:rPr>
          <w:rFonts w:asciiTheme="majorBidi" w:hAnsiTheme="majorBidi" w:cstheme="majorBidi"/>
          <w:sz w:val="18"/>
          <w:szCs w:val="18"/>
        </w:rPr>
        <w:t>h</w:t>
      </w:r>
      <w:r w:rsidRPr="00BC0107">
        <w:rPr>
          <w:rFonts w:asciiTheme="majorBidi" w:hAnsiTheme="majorBidi" w:cstheme="majorBidi"/>
          <w:sz w:val="18"/>
          <w:szCs w:val="18"/>
        </w:rPr>
        <w:t>lm 436</w:t>
      </w:r>
    </w:p>
  </w:footnote>
  <w:footnote w:id="118">
    <w:p w14:paraId="15D107B1" w14:textId="59F2B19D" w:rsidR="006A65D8" w:rsidRPr="00BC0107" w:rsidRDefault="006A65D8" w:rsidP="00920E35">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94546B">
        <w:rPr>
          <w:rFonts w:asciiTheme="majorBidi" w:hAnsiTheme="majorBidi" w:cstheme="majorBidi"/>
          <w:sz w:val="18"/>
          <w:szCs w:val="18"/>
        </w:rPr>
        <w:instrText>ADDIN CSL_CITATION {"citationItems":[{"id":"ITEM-1","itemData":{"author":[{"dropping-particle":"","family":"Ibnu Qayyim Al Jauriyyah","given":"","non-dropping-particle":"","parse-names":false,"suffix":""}],"edition":"Cet 1","id":"ITEM-1","issued":{"date-parts":[["2006"]]},"number-of-pages":"463","publisher":"Pustaka Pelajar","publisher-place":"Yogyakarta","title":"Hukum Acara Peradilan Islam","type":"book"},"uris":["http://www.mendeley.com/documents/?uuid=280fbc5d-9656-4b3a-94e6-b854a2cd8a80"]}],"mendeley":{"formattedCitation":"Ibnu Qayyim Al Jauriyyah, &lt;i&gt;Hukum Acara Peradilan Islam&lt;/i&gt;, Cet 1. (Yogyakarta: Pustaka Pelajar, 2006).","plainTextFormattedCitation":"Ibnu Qayyim Al Jauriyyah, Hukum Acara Peradilan Islam, Cet 1. (Yogyakarta: Pustaka Pelajar, 2006).","previouslyFormattedCitation":"Ibnu Qayyim Al Jauriyyah, &lt;i&gt;Hukum Acara Peradilan Islam&lt;/i&gt;, Cet 1. (Yogyakarta: Pustaka Pelajar, 2006)."},"properties":{"noteIndex":119},"schema":"https://github.com/citation-style-language/schema/raw/master/csl-citation.json"}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Ibnu Qayyim Al Jau</w:t>
      </w:r>
      <w:r w:rsidR="008752B4">
        <w:rPr>
          <w:rFonts w:asciiTheme="majorBidi" w:hAnsiTheme="majorBidi" w:cstheme="majorBidi"/>
          <w:noProof/>
          <w:sz w:val="18"/>
          <w:szCs w:val="18"/>
        </w:rPr>
        <w:t>z</w:t>
      </w:r>
      <w:r w:rsidRPr="00BC0107">
        <w:rPr>
          <w:rFonts w:asciiTheme="majorBidi" w:hAnsiTheme="majorBidi" w:cstheme="majorBidi"/>
          <w:noProof/>
          <w:sz w:val="18"/>
          <w:szCs w:val="18"/>
        </w:rPr>
        <w:t xml:space="preserve">iyyah, </w:t>
      </w:r>
      <w:r w:rsidRPr="00BC0107">
        <w:rPr>
          <w:rFonts w:asciiTheme="majorBidi" w:hAnsiTheme="majorBidi" w:cstheme="majorBidi"/>
          <w:i/>
          <w:noProof/>
          <w:sz w:val="18"/>
          <w:szCs w:val="18"/>
        </w:rPr>
        <w:t>Hukum Acara Peradilan Islam</w:t>
      </w:r>
      <w:r w:rsidRPr="00BC0107">
        <w:rPr>
          <w:rFonts w:asciiTheme="majorBidi" w:hAnsiTheme="majorBidi" w:cstheme="majorBidi"/>
          <w:noProof/>
          <w:sz w:val="18"/>
          <w:szCs w:val="18"/>
        </w:rPr>
        <w:t>, Cet 1. (Yogyakarta: Pustaka Pelajar, 2006).</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w:t>
      </w:r>
      <w:r>
        <w:rPr>
          <w:rFonts w:asciiTheme="majorBidi" w:hAnsiTheme="majorBidi" w:cstheme="majorBidi"/>
          <w:sz w:val="18"/>
          <w:szCs w:val="18"/>
        </w:rPr>
        <w:t>h</w:t>
      </w:r>
      <w:r w:rsidRPr="00BC0107">
        <w:rPr>
          <w:rFonts w:asciiTheme="majorBidi" w:hAnsiTheme="majorBidi" w:cstheme="majorBidi"/>
          <w:sz w:val="18"/>
          <w:szCs w:val="18"/>
        </w:rPr>
        <w:t>lm</w:t>
      </w:r>
      <w:r>
        <w:rPr>
          <w:rFonts w:asciiTheme="majorBidi" w:hAnsiTheme="majorBidi" w:cstheme="majorBidi"/>
          <w:sz w:val="18"/>
          <w:szCs w:val="18"/>
        </w:rPr>
        <w:t xml:space="preserve"> 345</w:t>
      </w:r>
    </w:p>
  </w:footnote>
  <w:footnote w:id="119">
    <w:p w14:paraId="0F20D963" w14:textId="29228F81" w:rsidR="006A65D8" w:rsidRPr="004B16DC" w:rsidRDefault="006A65D8" w:rsidP="00920E35">
      <w:pPr>
        <w:pStyle w:val="FootnoteText"/>
        <w:ind w:firstLine="720"/>
        <w:jc w:val="both"/>
        <w:rPr>
          <w:rFonts w:asciiTheme="majorBidi" w:hAnsiTheme="majorBidi" w:cstheme="majorBidi"/>
          <w:sz w:val="18"/>
          <w:szCs w:val="18"/>
        </w:rPr>
      </w:pPr>
      <w:r>
        <w:rPr>
          <w:rStyle w:val="FootnoteReference"/>
        </w:rPr>
        <w:footnoteRef/>
      </w:r>
      <w:r>
        <w:t xml:space="preserve"> </w:t>
      </w:r>
      <w:r w:rsidRPr="00AC60E2">
        <w:rPr>
          <w:rFonts w:asciiTheme="majorBidi" w:hAnsiTheme="majorBidi" w:cstheme="majorBidi"/>
          <w:sz w:val="18"/>
          <w:szCs w:val="18"/>
        </w:rPr>
        <w:t xml:space="preserve">Abul Wafa Ibrahim Ibn al-Imam Syamsuddin Abu Abdillah Ibn Farhun al-Ya’mari al-Maliki dalam </w:t>
      </w:r>
      <w:r w:rsidRPr="00AC60E2">
        <w:rPr>
          <w:rFonts w:asciiTheme="majorBidi" w:hAnsiTheme="majorBidi" w:cstheme="majorBidi"/>
          <w:sz w:val="18"/>
          <w:szCs w:val="18"/>
        </w:rPr>
        <w:fldChar w:fldCharType="begin" w:fldLock="1"/>
      </w:r>
      <w:r w:rsidR="0094546B">
        <w:rPr>
          <w:rFonts w:asciiTheme="majorBidi" w:hAnsiTheme="majorBidi" w:cstheme="majorBidi"/>
          <w:sz w:val="18"/>
          <w:szCs w:val="18"/>
        </w:rPr>
        <w:instrText>ADDIN CSL_CITATION {"citationItems":[{"id":"ITEM-1","itemData":{"author":[{"dropping-particle":"","family":"Ari Rahmat","given":"","non-dropping-particle":"","parse-names":false,"suffix":""}],"id":"ITEM-1","issued":{"date-parts":[["2022"]]},"number-of-pages":"73","publisher":"Universitas Islam Negeri Ar Raniry Darussalam Banda Aceh","title":"Kedudukan Persaksian Syahadah al Istifadah Sebagai Alat Bukti dalam Perkara Perdata di Persidangan (Studi Komparatif Ibnu Qayyim Al Jauziyyah dan Al Shan'ani)","type":"thesis"},"uris":["http://www.mendeley.com/documents/?uuid=e999dc9b-91c8-4fb3-a09c-7abf59eb4ce2"]}],"mendeley":{"formattedCitation":"Ari Rahmat, “Kedudukan Persaksian Syahadah Al Istifadah Sebagai Alat Bukti Dalam Perkara Perdata Di Persidangan (Studi Komparatif Ibnu Qayyim Al Jauziyyah Dan Al Shan’ani)” (Universitas Islam Negeri Ar Raniry Darussalam Banda Aceh, 2022).","manualFormatting":"Ari Rahmat, “Kedudukan Persaksian Syahadah Al Istifadah Sebagai Alat Bukti dalam Perkara Perdata di Persidangan (Studi Komparatif Ibnu Qayyim Al Jauziyyah Dan Al Shan’ani)” (Universitas Islam Negeri Ar Raniry Darussalam Banda Aceh, 2022).","plainTextFormattedCitation":"Ari Rahmat, “Kedudukan Persaksian Syahadah Al Istifadah Sebagai Alat Bukti Dalam Perkara Perdata Di Persidangan (Studi Komparatif Ibnu Qayyim Al Jauziyyah Dan Al Shan’ani)” (Universitas Islam Negeri Ar Raniry Darussalam Banda Aceh, 2022).","previouslyFormattedCitation":"Ari Rahmat, “Kedudukan Persaksian Syahadah Al Istifadah Sebagai Alat Bukti Dalam Perkara Perdata Di Persidangan (Studi Komparatif Ibnu Qayyim Al Jauziyyah Dan Al Shan’ani)” (Universitas Islam Negeri Ar Raniry Darussalam Banda Aceh, 2022)."},"properties":{"noteIndex":120},"schema":"https://github.com/citation-style-language/schema/raw/master/csl-citation.json"}</w:instrText>
      </w:r>
      <w:r w:rsidRPr="00AC60E2">
        <w:rPr>
          <w:rFonts w:asciiTheme="majorBidi" w:hAnsiTheme="majorBidi" w:cstheme="majorBidi"/>
          <w:sz w:val="18"/>
          <w:szCs w:val="18"/>
        </w:rPr>
        <w:fldChar w:fldCharType="separate"/>
      </w:r>
      <w:r w:rsidRPr="00AC60E2">
        <w:rPr>
          <w:rFonts w:asciiTheme="majorBidi" w:hAnsiTheme="majorBidi" w:cstheme="majorBidi"/>
          <w:noProof/>
          <w:sz w:val="18"/>
          <w:szCs w:val="18"/>
        </w:rPr>
        <w:t xml:space="preserve">Ari Rahmat, “Kedudukan Persaksian Syahadah Al Istifadah Sebagai Alat Bukti </w:t>
      </w:r>
      <w:r>
        <w:rPr>
          <w:rFonts w:asciiTheme="majorBidi" w:hAnsiTheme="majorBidi" w:cstheme="majorBidi"/>
          <w:noProof/>
          <w:sz w:val="18"/>
          <w:szCs w:val="18"/>
        </w:rPr>
        <w:t>d</w:t>
      </w:r>
      <w:r w:rsidRPr="00AC60E2">
        <w:rPr>
          <w:rFonts w:asciiTheme="majorBidi" w:hAnsiTheme="majorBidi" w:cstheme="majorBidi"/>
          <w:noProof/>
          <w:sz w:val="18"/>
          <w:szCs w:val="18"/>
        </w:rPr>
        <w:t xml:space="preserve">alam Perkara Perdata </w:t>
      </w:r>
      <w:r>
        <w:rPr>
          <w:rFonts w:asciiTheme="majorBidi" w:hAnsiTheme="majorBidi" w:cstheme="majorBidi"/>
          <w:noProof/>
          <w:sz w:val="18"/>
          <w:szCs w:val="18"/>
        </w:rPr>
        <w:t>d</w:t>
      </w:r>
      <w:r w:rsidRPr="00AC60E2">
        <w:rPr>
          <w:rFonts w:asciiTheme="majorBidi" w:hAnsiTheme="majorBidi" w:cstheme="majorBidi"/>
          <w:noProof/>
          <w:sz w:val="18"/>
          <w:szCs w:val="18"/>
        </w:rPr>
        <w:t>i Persidangan (Studi Komparatif Ibnu Qayyim Al Jauziyyah Dan Al Shan’ani)” (Universitas Islam Negeri Ar Raniry Darussalam Banda Aceh, 2022).</w:t>
      </w:r>
      <w:r w:rsidRPr="00AC60E2">
        <w:rPr>
          <w:rFonts w:asciiTheme="majorBidi" w:hAnsiTheme="majorBidi" w:cstheme="majorBidi"/>
          <w:sz w:val="18"/>
          <w:szCs w:val="18"/>
        </w:rPr>
        <w:fldChar w:fldCharType="end"/>
      </w:r>
      <w:r w:rsidRPr="00AC60E2">
        <w:rPr>
          <w:rFonts w:asciiTheme="majorBidi" w:hAnsiTheme="majorBidi" w:cstheme="majorBidi"/>
          <w:sz w:val="18"/>
          <w:szCs w:val="18"/>
        </w:rPr>
        <w:t xml:space="preserve">, </w:t>
      </w:r>
      <w:r>
        <w:rPr>
          <w:rFonts w:asciiTheme="majorBidi" w:hAnsiTheme="majorBidi" w:cstheme="majorBidi"/>
          <w:sz w:val="18"/>
          <w:szCs w:val="18"/>
        </w:rPr>
        <w:t xml:space="preserve">hlm </w:t>
      </w:r>
      <w:r w:rsidRPr="00AC60E2">
        <w:rPr>
          <w:rFonts w:asciiTheme="majorBidi" w:hAnsiTheme="majorBidi" w:cstheme="majorBidi"/>
          <w:sz w:val="18"/>
          <w:szCs w:val="18"/>
        </w:rPr>
        <w:t>35</w:t>
      </w:r>
    </w:p>
  </w:footnote>
  <w:footnote w:id="120">
    <w:p w14:paraId="7A405466" w14:textId="3A5AAAFA" w:rsidR="006A65D8" w:rsidRPr="002E1C30" w:rsidRDefault="006A65D8" w:rsidP="00920E35">
      <w:pPr>
        <w:pStyle w:val="FootnoteText"/>
        <w:ind w:firstLine="720"/>
        <w:jc w:val="both"/>
        <w:rPr>
          <w:rFonts w:asciiTheme="majorBidi" w:hAnsiTheme="majorBidi" w:cstheme="majorBidi"/>
          <w:sz w:val="18"/>
          <w:szCs w:val="18"/>
          <w:lang w:val="en-US"/>
        </w:rPr>
      </w:pPr>
      <w:r w:rsidRPr="002E1C30">
        <w:rPr>
          <w:rStyle w:val="FootnoteReference"/>
          <w:rFonts w:asciiTheme="majorBidi" w:hAnsiTheme="majorBidi" w:cstheme="majorBidi"/>
          <w:sz w:val="18"/>
          <w:szCs w:val="18"/>
        </w:rPr>
        <w:footnoteRef/>
      </w:r>
      <w:r w:rsidRPr="002E1C30">
        <w:rPr>
          <w:rFonts w:asciiTheme="majorBidi" w:hAnsiTheme="majorBidi" w:cstheme="majorBidi"/>
          <w:sz w:val="18"/>
          <w:szCs w:val="18"/>
        </w:rPr>
        <w:t xml:space="preserve"> </w:t>
      </w:r>
      <w:r w:rsidRPr="002E1C30">
        <w:rPr>
          <w:rFonts w:asciiTheme="majorBidi" w:hAnsiTheme="majorBidi" w:cstheme="majorBidi"/>
          <w:sz w:val="18"/>
          <w:szCs w:val="18"/>
        </w:rPr>
        <w:fldChar w:fldCharType="begin" w:fldLock="1"/>
      </w:r>
      <w:r w:rsidR="0094546B">
        <w:rPr>
          <w:rFonts w:asciiTheme="majorBidi" w:hAnsiTheme="majorBidi" w:cstheme="majorBidi"/>
          <w:sz w:val="18"/>
          <w:szCs w:val="18"/>
        </w:rPr>
        <w:instrText>ADDIN CSL_CITATION {"citationItems":[{"id":"ITEM-1","itemData":{"author":[{"dropping-particle":"","family":"Ibnu Qayyim Al Jauriyyah","given":"","non-dropping-particle":"","parse-names":false,"suffix":""}],"edition":"Cet 1","id":"ITEM-1","issued":{"date-parts":[["2006"]]},"number-of-pages":"463","publisher":"Pustaka Pelajar","publisher-place":"Yogyakarta","title":"Hukum Acara Peradilan Islam","type":"book"},"uris":["http://www.mendeley.com/documents/?uuid=280fbc5d-9656-4b3a-94e6-b854a2cd8a80"]}],"mendeley":{"formattedCitation":"Ibnu Qayyim Al Jauriyyah, &lt;i&gt;Hukum Acara Peradilan Islam&lt;/i&gt;.","plainTextFormattedCitation":"Ibnu Qayyim Al Jauriyyah, Hukum Acara Peradilan Islam.","previouslyFormattedCitation":"Ibnu Qayyim Al Jauriyyah, &lt;i&gt;Hukum Acara Peradilan Islam&lt;/i&gt;."},"properties":{"noteIndex":121},"schema":"https://github.com/citation-style-language/schema/raw/master/csl-citation.json"}</w:instrText>
      </w:r>
      <w:r w:rsidRPr="002E1C30">
        <w:rPr>
          <w:rFonts w:asciiTheme="majorBidi" w:hAnsiTheme="majorBidi" w:cstheme="majorBidi"/>
          <w:sz w:val="18"/>
          <w:szCs w:val="18"/>
        </w:rPr>
        <w:fldChar w:fldCharType="separate"/>
      </w:r>
      <w:r w:rsidRPr="002E1C30">
        <w:rPr>
          <w:rFonts w:asciiTheme="majorBidi" w:hAnsiTheme="majorBidi" w:cstheme="majorBidi"/>
          <w:noProof/>
          <w:sz w:val="18"/>
          <w:szCs w:val="18"/>
        </w:rPr>
        <w:t>Ibnu Qayyim Al Jau</w:t>
      </w:r>
      <w:r w:rsidR="008752B4">
        <w:rPr>
          <w:rFonts w:asciiTheme="majorBidi" w:hAnsiTheme="majorBidi" w:cstheme="majorBidi"/>
          <w:noProof/>
          <w:sz w:val="18"/>
          <w:szCs w:val="18"/>
        </w:rPr>
        <w:t>z</w:t>
      </w:r>
      <w:r w:rsidRPr="002E1C30">
        <w:rPr>
          <w:rFonts w:asciiTheme="majorBidi" w:hAnsiTheme="majorBidi" w:cstheme="majorBidi"/>
          <w:noProof/>
          <w:sz w:val="18"/>
          <w:szCs w:val="18"/>
        </w:rPr>
        <w:t xml:space="preserve">iyyah, </w:t>
      </w:r>
      <w:r w:rsidRPr="002E1C30">
        <w:rPr>
          <w:rFonts w:asciiTheme="majorBidi" w:hAnsiTheme="majorBidi" w:cstheme="majorBidi"/>
          <w:i/>
          <w:noProof/>
          <w:sz w:val="18"/>
          <w:szCs w:val="18"/>
        </w:rPr>
        <w:t>Hukum Acara Peradilan Islam</w:t>
      </w:r>
      <w:r w:rsidRPr="002E1C30">
        <w:rPr>
          <w:rFonts w:asciiTheme="majorBidi" w:hAnsiTheme="majorBidi" w:cstheme="majorBidi"/>
          <w:noProof/>
          <w:sz w:val="18"/>
          <w:szCs w:val="18"/>
        </w:rPr>
        <w:t>.</w:t>
      </w:r>
      <w:r w:rsidRPr="002E1C30">
        <w:rPr>
          <w:rFonts w:asciiTheme="majorBidi" w:hAnsiTheme="majorBidi" w:cstheme="majorBidi"/>
          <w:sz w:val="18"/>
          <w:szCs w:val="18"/>
        </w:rPr>
        <w:fldChar w:fldCharType="end"/>
      </w:r>
      <w:r>
        <w:rPr>
          <w:rFonts w:asciiTheme="majorBidi" w:hAnsiTheme="majorBidi" w:cstheme="majorBidi"/>
          <w:sz w:val="18"/>
          <w:szCs w:val="18"/>
        </w:rPr>
        <w:t>, hlm 344</w:t>
      </w:r>
    </w:p>
  </w:footnote>
  <w:footnote w:id="121">
    <w:p w14:paraId="10F2B80E" w14:textId="1D691E61" w:rsidR="006A65D8" w:rsidRPr="00BC0107" w:rsidRDefault="006A65D8" w:rsidP="00920E35">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R. Soebekti dalam </w:t>
      </w:r>
      <w:r w:rsidRPr="00BC0107">
        <w:rPr>
          <w:rFonts w:asciiTheme="majorBidi" w:hAnsiTheme="majorBidi" w:cstheme="majorBidi"/>
          <w:sz w:val="18"/>
          <w:szCs w:val="18"/>
        </w:rPr>
        <w:fldChar w:fldCharType="begin" w:fldLock="1"/>
      </w:r>
      <w:r w:rsidR="0094546B">
        <w:rPr>
          <w:rFonts w:asciiTheme="majorBidi" w:hAnsiTheme="majorBidi" w:cstheme="majorBidi"/>
          <w:sz w:val="18"/>
          <w:szCs w:val="18"/>
        </w:rPr>
        <w:instrText>ADDIN CSL_CITATION {"citationItems":[{"id":"ITEM-1","itemData":{"author":[{"dropping-particle":"","family":"Soetarna","given":"Hendar","non-dropping-particle":"","parse-names":false,"suffix":""}],"edition":"Cet 1","id":"ITEM-1","issued":{"date-parts":[["2011"]]},"number-of-pages":"182","publisher":"Alumni","publisher-place":"Bandung","title":"Hukum Pembuktian Dalam Acara Pidana","type":"book"},"uris":["http://www.mendeley.com/documents/?uuid=436e3e06-1fcc-4d6e-a007-750a4114c8f9"]}],"mendeley":{"formattedCitation":"Hendar Soetarna, &lt;i&gt;Hukum Pembuktian Dalam Acara Pidana&lt;/i&gt;, Cet 1. (Bandung: Alumni, 2011).","manualFormatting":"Hendar Soetarna, Hukum Pembuktian dalam Acara Pidana, Cet 1. (Bandung: Alumni, 2011).","plainTextFormattedCitation":"Hendar Soetarna, Hukum Pembuktian Dalam Acara Pidana, Cet 1. (Bandung: Alumni, 2011).","previouslyFormattedCitation":"Hendar Soetarna, &lt;i&gt;Hukum Pembuktian Dalam Acara Pidana&lt;/i&gt;, Cet 1. (Bandung: Alumni, 2011)."},"properties":{"noteIndex":122},"schema":"https://github.com/citation-style-language/schema/raw/master/csl-citation.json"}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Hendar Soetarna, </w:t>
      </w:r>
      <w:r w:rsidRPr="00BC0107">
        <w:rPr>
          <w:rFonts w:asciiTheme="majorBidi" w:hAnsiTheme="majorBidi" w:cstheme="majorBidi"/>
          <w:i/>
          <w:noProof/>
          <w:sz w:val="18"/>
          <w:szCs w:val="18"/>
        </w:rPr>
        <w:t xml:space="preserve">Hukum Pembuktian </w:t>
      </w:r>
      <w:r>
        <w:rPr>
          <w:rFonts w:asciiTheme="majorBidi" w:hAnsiTheme="majorBidi" w:cstheme="majorBidi"/>
          <w:i/>
          <w:noProof/>
          <w:sz w:val="18"/>
          <w:szCs w:val="18"/>
        </w:rPr>
        <w:t>d</w:t>
      </w:r>
      <w:r w:rsidRPr="00BC0107">
        <w:rPr>
          <w:rFonts w:asciiTheme="majorBidi" w:hAnsiTheme="majorBidi" w:cstheme="majorBidi"/>
          <w:i/>
          <w:noProof/>
          <w:sz w:val="18"/>
          <w:szCs w:val="18"/>
        </w:rPr>
        <w:t>alam Acara Pidana</w:t>
      </w:r>
      <w:r w:rsidRPr="00BC0107">
        <w:rPr>
          <w:rFonts w:asciiTheme="majorBidi" w:hAnsiTheme="majorBidi" w:cstheme="majorBidi"/>
          <w:noProof/>
          <w:sz w:val="18"/>
          <w:szCs w:val="18"/>
        </w:rPr>
        <w:t>, Cet 1. (Bandung: Alumni, 2011).</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 xml:space="preserve">, </w:t>
      </w:r>
      <w:r>
        <w:rPr>
          <w:rFonts w:asciiTheme="majorBidi" w:hAnsiTheme="majorBidi" w:cstheme="majorBidi"/>
          <w:sz w:val="18"/>
          <w:szCs w:val="18"/>
        </w:rPr>
        <w:t>h</w:t>
      </w:r>
      <w:r w:rsidRPr="00BC0107">
        <w:rPr>
          <w:rFonts w:asciiTheme="majorBidi" w:hAnsiTheme="majorBidi" w:cstheme="majorBidi"/>
          <w:sz w:val="18"/>
          <w:szCs w:val="18"/>
        </w:rPr>
        <w:t>lm 59</w:t>
      </w:r>
    </w:p>
  </w:footnote>
  <w:footnote w:id="122">
    <w:p w14:paraId="4A8BB33F" w14:textId="41950DDD" w:rsidR="006A65D8" w:rsidRPr="00BC0107" w:rsidRDefault="006A65D8" w:rsidP="00920E35">
      <w:pPr>
        <w:pStyle w:val="FootnoteText"/>
        <w:ind w:firstLine="720"/>
        <w:jc w:val="both"/>
        <w:rPr>
          <w:rFonts w:asciiTheme="majorBidi" w:hAnsiTheme="majorBidi" w:cstheme="majorBidi"/>
          <w:sz w:val="18"/>
          <w:szCs w:val="18"/>
          <w:lang w:val="en-US"/>
        </w:rPr>
      </w:pPr>
      <w:r w:rsidRPr="00BC0107">
        <w:rPr>
          <w:rStyle w:val="FootnoteReference"/>
          <w:rFonts w:asciiTheme="majorBidi" w:hAnsiTheme="majorBidi" w:cstheme="majorBidi"/>
          <w:sz w:val="18"/>
          <w:szCs w:val="18"/>
        </w:rPr>
        <w:footnoteRef/>
      </w:r>
      <w:r w:rsidRPr="00BC0107">
        <w:rPr>
          <w:rFonts w:asciiTheme="majorBidi" w:hAnsiTheme="majorBidi" w:cstheme="majorBidi"/>
          <w:sz w:val="18"/>
          <w:szCs w:val="18"/>
        </w:rPr>
        <w:t xml:space="preserve"> </w:t>
      </w:r>
      <w:r w:rsidRPr="00BC0107">
        <w:rPr>
          <w:rFonts w:asciiTheme="majorBidi" w:hAnsiTheme="majorBidi" w:cstheme="majorBidi"/>
          <w:sz w:val="18"/>
          <w:szCs w:val="18"/>
        </w:rPr>
        <w:fldChar w:fldCharType="begin" w:fldLock="1"/>
      </w:r>
      <w:r w:rsidR="0094546B">
        <w:rPr>
          <w:rFonts w:asciiTheme="majorBidi" w:hAnsiTheme="majorBidi" w:cstheme="majorBidi"/>
          <w:sz w:val="18"/>
          <w:szCs w:val="18"/>
        </w:rPr>
        <w:instrText>ADDIN CSL_CITATION {"citationItems":[{"id":"ITEM-1","itemData":{"author":[{"dropping-particle":"","family":"Ahmad Mujahidin","given":"","non-dropping-particle":"","parse-names":false,"suffix":""}],"edition":"Cet1","editor":[{"dropping-particle":"","family":"Irfan Fahmi, Lintang Novita","given":"Iam","non-dropping-particle":"","parse-names":false,"suffix":""}],"id":"ITEM-1","issued":{"date-parts":[["2021"]]},"number-of-pages":"456","publisher":"Kencana Prenada Media Group","publisher-place":"Jakarta","title":"Hukum Wakaf di Indonesia dan Penanganan Sengketanya","type":"book"},"uris":["http://www.mendeley.com/documents/?uuid=45cade9c-eb04-43f3-9b1f-6477906a0035"]}],"mendeley":{"formattedCitation":"Ahmad Mujahidin, &lt;i&gt;Hukum Wakaf Di Indonesia Dan Penanganan Sengketanya&lt;/i&gt;.","manualFormatting":"Ahmad Mujahidin, Hukum Wakaf di Indonesia dan Penanganan Sengketanya.","plainTextFormattedCitation":"Ahmad Mujahidin, Hukum Wakaf Di Indonesia Dan Penanganan Sengketanya.","previouslyFormattedCitation":"Ahmad Mujahidin, &lt;i&gt;Hukum Wakaf Di Indonesia Dan Penanganan Sengketanya&lt;/i&gt;."},"properties":{"noteIndex":123},"schema":"https://github.com/citation-style-language/schema/raw/master/csl-citation.json"}</w:instrText>
      </w:r>
      <w:r w:rsidRPr="00BC0107">
        <w:rPr>
          <w:rFonts w:asciiTheme="majorBidi" w:hAnsiTheme="majorBidi" w:cstheme="majorBidi"/>
          <w:sz w:val="18"/>
          <w:szCs w:val="18"/>
        </w:rPr>
        <w:fldChar w:fldCharType="separate"/>
      </w:r>
      <w:r w:rsidRPr="00BC0107">
        <w:rPr>
          <w:rFonts w:asciiTheme="majorBidi" w:hAnsiTheme="majorBidi" w:cstheme="majorBidi"/>
          <w:noProof/>
          <w:sz w:val="18"/>
          <w:szCs w:val="18"/>
        </w:rPr>
        <w:t xml:space="preserve">Ahmad Mujahidin, </w:t>
      </w:r>
      <w:r w:rsidRPr="00BC0107">
        <w:rPr>
          <w:rFonts w:asciiTheme="majorBidi" w:hAnsiTheme="majorBidi" w:cstheme="majorBidi"/>
          <w:i/>
          <w:noProof/>
          <w:sz w:val="18"/>
          <w:szCs w:val="18"/>
        </w:rPr>
        <w:t xml:space="preserve">Hukum Wakaf </w:t>
      </w:r>
      <w:r>
        <w:rPr>
          <w:rFonts w:asciiTheme="majorBidi" w:hAnsiTheme="majorBidi" w:cstheme="majorBidi"/>
          <w:i/>
          <w:noProof/>
          <w:sz w:val="18"/>
          <w:szCs w:val="18"/>
        </w:rPr>
        <w:t>d</w:t>
      </w:r>
      <w:r w:rsidRPr="00BC0107">
        <w:rPr>
          <w:rFonts w:asciiTheme="majorBidi" w:hAnsiTheme="majorBidi" w:cstheme="majorBidi"/>
          <w:i/>
          <w:noProof/>
          <w:sz w:val="18"/>
          <w:szCs w:val="18"/>
        </w:rPr>
        <w:t xml:space="preserve">i Indonesia </w:t>
      </w:r>
      <w:r>
        <w:rPr>
          <w:rFonts w:asciiTheme="majorBidi" w:hAnsiTheme="majorBidi" w:cstheme="majorBidi"/>
          <w:i/>
          <w:noProof/>
          <w:sz w:val="18"/>
          <w:szCs w:val="18"/>
        </w:rPr>
        <w:t>d</w:t>
      </w:r>
      <w:r w:rsidRPr="00BC0107">
        <w:rPr>
          <w:rFonts w:asciiTheme="majorBidi" w:hAnsiTheme="majorBidi" w:cstheme="majorBidi"/>
          <w:i/>
          <w:noProof/>
          <w:sz w:val="18"/>
          <w:szCs w:val="18"/>
        </w:rPr>
        <w:t>an Penanganan Sengketanya</w:t>
      </w:r>
      <w:r w:rsidRPr="00BC0107">
        <w:rPr>
          <w:rFonts w:asciiTheme="majorBidi" w:hAnsiTheme="majorBidi" w:cstheme="majorBidi"/>
          <w:noProof/>
          <w:sz w:val="18"/>
          <w:szCs w:val="18"/>
        </w:rPr>
        <w:t>.</w:t>
      </w:r>
      <w:r w:rsidRPr="00BC0107">
        <w:rPr>
          <w:rFonts w:asciiTheme="majorBidi" w:hAnsiTheme="majorBidi" w:cstheme="majorBidi"/>
          <w:sz w:val="18"/>
          <w:szCs w:val="18"/>
        </w:rPr>
        <w:fldChar w:fldCharType="end"/>
      </w:r>
      <w:r w:rsidRPr="00BC0107">
        <w:rPr>
          <w:rFonts w:asciiTheme="majorBidi" w:hAnsiTheme="majorBidi" w:cstheme="majorBidi"/>
          <w:sz w:val="18"/>
          <w:szCs w:val="18"/>
        </w:rPr>
        <w:t xml:space="preserve">, </w:t>
      </w:r>
      <w:r>
        <w:rPr>
          <w:rFonts w:asciiTheme="majorBidi" w:hAnsiTheme="majorBidi" w:cstheme="majorBidi"/>
          <w:sz w:val="18"/>
          <w:szCs w:val="18"/>
        </w:rPr>
        <w:t>h</w:t>
      </w:r>
      <w:r w:rsidRPr="00BC0107">
        <w:rPr>
          <w:rFonts w:asciiTheme="majorBidi" w:hAnsiTheme="majorBidi" w:cstheme="majorBidi"/>
          <w:sz w:val="18"/>
          <w:szCs w:val="18"/>
        </w:rPr>
        <w:t>lm 434</w:t>
      </w:r>
    </w:p>
  </w:footnote>
  <w:footnote w:id="123">
    <w:p w14:paraId="271F05C8" w14:textId="71B11782" w:rsidR="00920E35" w:rsidRDefault="008D372B" w:rsidP="00920E35">
      <w:pPr>
        <w:pStyle w:val="FootnoteText"/>
        <w:ind w:firstLine="720"/>
        <w:jc w:val="both"/>
        <w:rPr>
          <w:rFonts w:asciiTheme="majorBidi" w:hAnsiTheme="majorBidi" w:cstheme="majorBidi"/>
          <w:noProof/>
          <w:sz w:val="18"/>
          <w:szCs w:val="18"/>
        </w:rPr>
      </w:pPr>
      <w:r>
        <w:rPr>
          <w:rStyle w:val="FootnoteReference"/>
        </w:rPr>
        <w:footnoteRef/>
      </w:r>
      <w:r>
        <w:t xml:space="preserve"> </w:t>
      </w:r>
      <w:r w:rsidRPr="00AE170B">
        <w:rPr>
          <w:rFonts w:asciiTheme="majorBidi" w:hAnsiTheme="majorBidi" w:cstheme="majorBidi"/>
          <w:sz w:val="18"/>
          <w:szCs w:val="18"/>
        </w:rPr>
        <w:fldChar w:fldCharType="begin" w:fldLock="1"/>
      </w:r>
      <w:r w:rsidR="00A20BEA">
        <w:rPr>
          <w:rFonts w:asciiTheme="majorBidi" w:hAnsiTheme="majorBidi" w:cstheme="majorBidi"/>
          <w:sz w:val="18"/>
          <w:szCs w:val="18"/>
        </w:rPr>
        <w:instrText>ADDIN CSL_CITATION {"citationItems":[{"id":"ITEM-1","itemData":{"URL":"https://putusan3.mahkamahagung.go.id/direktori/index/pengadilan/ms-takengon/tahunjenis/putus/tahun/2023.html","accessed":{"date-parts":[["2024","9","17"]]},"author":[{"dropping-particle":"","family":"Direktori Putusan Mahkamah Agung Republik Indonesia","given":"","non-dropping-particle":"","parse-names":false,"suffix":""}],"container-title":"https://putusan3.mahkamahagung.go.id","id":"ITEM-1","issued":{"date-parts":[["2023"]]},"title":"Putusan Mahkamah Syariah Takengon Nomor 9/Jn/2023/Ms.Tkn.","type":"webpage"},"uris":["http://www.mendeley.com/documents/?uuid=99cd6254-21ac-4df2-9ccd-61e8f512ace3"]}],"mendeley":{"formattedCitation":"Direktori Putusan Mahkamah Agung Republik Indonesia, “Putusan Mahkamah Syariah Takengon Nomor 9/Jn/2023/Ms.Tkn.,” &lt;i&gt;Https://Putusan3.Mahkamahagung.Go.Id&lt;/i&gt;, last modified 2023, accessed September 17, 2024, https://putusan3.mahkamahagung.go.id/direktori/index/pengadilan/ms-takengon/tahunjenis/putus/tahun/2023.html.","manualFormatting":"Direktori Putusan Mahkamah Agung Republik Indonesia, “Putusan Mahkamah Syariah Takengon Nomor 9/Jn/2023/Ms.Tkn.,” Https://Putusan3.Mahkamahagung.Go.Id, last modified 2023, accessed September 17, 2024,  \rhttps://putusan3.mahkamahagung.go.id/direktori/index/pengadilan/ms-takengon/tahunjenis/putus/tahun/2023.html.","plainTextFormattedCitation":"Direktori Putusan Mahkamah Agung Republik Indonesia, “Putusan Mahkamah Syariah Takengon Nomor 9/Jn/2023/Ms.Tkn.,” Https://Putusan3.Mahkamahagung.Go.Id, last modified 2023, accessed September 17, 2024, https://putusan3.mahkamahagung.go.id/direktori/index/pengadilan/ms-takengon/tahunjenis/putus/tahun/2023.html.","previouslyFormattedCitation":"Direktori Putusan Mahkamah Agung Republik Indonesia, “Putusan Mahkamah Syariah Takengon Nomor 9/Jn/2023/Ms.Tkn.,” &lt;i&gt;Https://Putusan3.Mahkamahagung.Go.Id&lt;/i&gt;, last modified 2023, accessed September 17, 2024, https://putusan3.mahkamahagung.go.id/direktori/index/pengadilan/ms-takengon/tahunjenis/putus/tahun/2023.html."},"properties":{"noteIndex":124},"schema":"https://github.com/citation-style-language/schema/raw/master/csl-citation.json"}</w:instrText>
      </w:r>
      <w:r w:rsidRPr="00AE170B">
        <w:rPr>
          <w:rFonts w:asciiTheme="majorBidi" w:hAnsiTheme="majorBidi" w:cstheme="majorBidi"/>
          <w:sz w:val="18"/>
          <w:szCs w:val="18"/>
        </w:rPr>
        <w:fldChar w:fldCharType="separate"/>
      </w:r>
      <w:r w:rsidRPr="00AE170B">
        <w:rPr>
          <w:rFonts w:asciiTheme="majorBidi" w:hAnsiTheme="majorBidi" w:cstheme="majorBidi"/>
          <w:noProof/>
          <w:sz w:val="18"/>
          <w:szCs w:val="18"/>
        </w:rPr>
        <w:t xml:space="preserve">Direktori Putusan Mahkamah Agung Republik Indonesia, “Putusan Mahkamah Syariah Takengon Nomor 9/Jn/2023/Ms.Tkn.,” </w:t>
      </w:r>
      <w:r w:rsidRPr="00AE170B">
        <w:rPr>
          <w:rFonts w:asciiTheme="majorBidi" w:hAnsiTheme="majorBidi" w:cstheme="majorBidi"/>
          <w:i/>
          <w:noProof/>
          <w:sz w:val="18"/>
          <w:szCs w:val="18"/>
        </w:rPr>
        <w:t>Https://Putusan</w:t>
      </w:r>
      <w:r w:rsidR="008752B4">
        <w:rPr>
          <w:rFonts w:asciiTheme="majorBidi" w:hAnsiTheme="majorBidi" w:cstheme="majorBidi"/>
          <w:i/>
          <w:noProof/>
          <w:sz w:val="18"/>
          <w:szCs w:val="18"/>
        </w:rPr>
        <w:t xml:space="preserve"> </w:t>
      </w:r>
      <w:r w:rsidRPr="00AE170B">
        <w:rPr>
          <w:rFonts w:asciiTheme="majorBidi" w:hAnsiTheme="majorBidi" w:cstheme="majorBidi"/>
          <w:i/>
          <w:noProof/>
          <w:sz w:val="18"/>
          <w:szCs w:val="18"/>
        </w:rPr>
        <w:t>Mahkamahagung.Go.Id</w:t>
      </w:r>
      <w:r w:rsidRPr="00AE170B">
        <w:rPr>
          <w:rFonts w:asciiTheme="majorBidi" w:hAnsiTheme="majorBidi" w:cstheme="majorBidi"/>
          <w:noProof/>
          <w:sz w:val="18"/>
          <w:szCs w:val="18"/>
        </w:rPr>
        <w:t xml:space="preserve">, last modified 2023, accessed September 17, 2024, </w:t>
      </w:r>
      <w:r w:rsidR="00920E35">
        <w:rPr>
          <w:rFonts w:asciiTheme="majorBidi" w:hAnsiTheme="majorBidi" w:cstheme="majorBidi"/>
          <w:noProof/>
          <w:sz w:val="18"/>
          <w:szCs w:val="18"/>
        </w:rPr>
        <w:t xml:space="preserve"> </w:t>
      </w:r>
    </w:p>
    <w:p w14:paraId="259D78DA" w14:textId="6C2D7F9A" w:rsidR="008D372B" w:rsidRDefault="008D372B" w:rsidP="00920E35">
      <w:pPr>
        <w:pStyle w:val="FootnoteText"/>
        <w:jc w:val="both"/>
        <w:rPr>
          <w:rFonts w:asciiTheme="majorBidi" w:hAnsiTheme="majorBidi" w:cstheme="majorBidi"/>
          <w:noProof/>
          <w:sz w:val="18"/>
          <w:szCs w:val="18"/>
        </w:rPr>
      </w:pPr>
      <w:r w:rsidRPr="00AE170B">
        <w:rPr>
          <w:rFonts w:asciiTheme="majorBidi" w:hAnsiTheme="majorBidi" w:cstheme="majorBidi"/>
          <w:noProof/>
          <w:sz w:val="18"/>
          <w:szCs w:val="18"/>
        </w:rPr>
        <w:t>https://putusan3.mahkamahagung.go.id/direktori/index/pengadilan/ms-takengon/tahunjenis/putus/tahun/2023.html.</w:t>
      </w:r>
      <w:r w:rsidRPr="00AE170B">
        <w:rPr>
          <w:rFonts w:asciiTheme="majorBidi" w:hAnsiTheme="majorBidi" w:cstheme="majorBidi"/>
          <w:sz w:val="18"/>
          <w:szCs w:val="18"/>
        </w:rPr>
        <w:fldChar w:fldCharType="end"/>
      </w:r>
    </w:p>
    <w:p w14:paraId="25320FB3" w14:textId="77777777" w:rsidR="008D372B" w:rsidRPr="00AE170B" w:rsidRDefault="008D372B" w:rsidP="00194317">
      <w:pPr>
        <w:pStyle w:val="FootnoteText"/>
        <w:ind w:left="720"/>
        <w:jc w:val="both"/>
        <w:rPr>
          <w:lang w:val="en-US"/>
        </w:rPr>
      </w:pPr>
    </w:p>
  </w:footnote>
  <w:footnote w:id="124">
    <w:p w14:paraId="0C910AF7" w14:textId="4AEBCCB2" w:rsidR="008D372B" w:rsidRPr="005733A3" w:rsidRDefault="008D372B" w:rsidP="00920E35">
      <w:pPr>
        <w:pStyle w:val="FootnoteText"/>
        <w:ind w:firstLine="720"/>
        <w:jc w:val="both"/>
        <w:rPr>
          <w:rFonts w:asciiTheme="majorBidi" w:hAnsiTheme="majorBidi" w:cstheme="majorBidi"/>
          <w:sz w:val="18"/>
          <w:szCs w:val="18"/>
          <w:lang w:val="en-US"/>
        </w:rPr>
      </w:pPr>
      <w:r w:rsidRPr="005733A3">
        <w:rPr>
          <w:rStyle w:val="FootnoteReference"/>
          <w:rFonts w:asciiTheme="majorBidi" w:hAnsiTheme="majorBidi" w:cstheme="majorBidi"/>
          <w:sz w:val="18"/>
          <w:szCs w:val="18"/>
        </w:rPr>
        <w:footnoteRef/>
      </w:r>
      <w:r w:rsidRPr="005733A3">
        <w:rPr>
          <w:rFonts w:asciiTheme="majorBidi" w:hAnsiTheme="majorBidi" w:cstheme="majorBidi"/>
          <w:sz w:val="18"/>
          <w:szCs w:val="18"/>
        </w:rPr>
        <w:t xml:space="preserve"> </w:t>
      </w:r>
      <w:r w:rsidRPr="005733A3">
        <w:rPr>
          <w:rFonts w:asciiTheme="majorBidi" w:hAnsiTheme="majorBidi" w:cstheme="majorBidi"/>
          <w:sz w:val="18"/>
          <w:szCs w:val="18"/>
        </w:rPr>
        <w:fldChar w:fldCharType="begin" w:fldLock="1"/>
      </w:r>
      <w:r w:rsidR="0094546B">
        <w:rPr>
          <w:rFonts w:asciiTheme="majorBidi" w:hAnsiTheme="majorBidi" w:cstheme="majorBidi"/>
          <w:sz w:val="18"/>
          <w:szCs w:val="18"/>
        </w:rPr>
        <w:instrText>ADDIN CSL_CITATION {"citationItems":[{"id":"ITEM-1","itemData":{"URL":"https://putusan3.mahkamahagung.go.id/direktori/index/pengadilan/ms-takengon/tahunjenis/putus/tahun/2023.html","accessed":{"date-parts":[["2024","9","17"]]},"author":[{"dropping-particle":"","family":"Direktori Putusan Mahkamah Agung Republik Indonesia","given":"","non-dropping-particle":"","parse-names":false,"suffix":""}],"container-title":"https://putusan3.mahkamahagung.go.id","id":"ITEM-1","issued":{"date-parts":[["2023"]]},"title":"Putusan Mahkamah Syariah Takengon Nomor 9/Jn/2023/Ms.Tkn.","type":"webpage"},"uris":["http://www.mendeley.com/documents/?uuid=99cd6254-21ac-4df2-9ccd-61e8f512ace3"]}],"mendeley":{"formattedCitation":"Ibid.","plainTextFormattedCitation":"Ibid.","previouslyFormattedCitation":"Ibid."},"properties":{"noteIndex":125},"schema":"https://github.com/citation-style-language/schema/raw/master/csl-citation.json"}</w:instrText>
      </w:r>
      <w:r w:rsidRPr="005733A3">
        <w:rPr>
          <w:rFonts w:asciiTheme="majorBidi" w:hAnsiTheme="majorBidi" w:cstheme="majorBidi"/>
          <w:sz w:val="18"/>
          <w:szCs w:val="18"/>
        </w:rPr>
        <w:fldChar w:fldCharType="separate"/>
      </w:r>
      <w:r w:rsidRPr="005733A3">
        <w:rPr>
          <w:rFonts w:asciiTheme="majorBidi" w:hAnsiTheme="majorBidi" w:cstheme="majorBidi"/>
          <w:noProof/>
          <w:sz w:val="18"/>
          <w:szCs w:val="18"/>
        </w:rPr>
        <w:t>Ibid.</w:t>
      </w:r>
      <w:r w:rsidRPr="005733A3">
        <w:rPr>
          <w:rFonts w:asciiTheme="majorBidi" w:hAnsiTheme="majorBidi" w:cstheme="majorBidi"/>
          <w:sz w:val="18"/>
          <w:szCs w:val="18"/>
        </w:rPr>
        <w:fldChar w:fldCharType="end"/>
      </w:r>
      <w:r w:rsidRPr="005733A3">
        <w:rPr>
          <w:rFonts w:asciiTheme="majorBidi" w:hAnsiTheme="majorBidi" w:cstheme="majorBidi"/>
          <w:sz w:val="18"/>
          <w:szCs w:val="18"/>
        </w:rPr>
        <w:t>, hlm 19</w:t>
      </w:r>
    </w:p>
  </w:footnote>
  <w:footnote w:id="125">
    <w:p w14:paraId="335E5D67" w14:textId="01F072D9" w:rsidR="008D372B" w:rsidRPr="005733A3" w:rsidRDefault="008D372B" w:rsidP="00920E35">
      <w:pPr>
        <w:pStyle w:val="FootnoteText"/>
        <w:ind w:firstLine="720"/>
        <w:jc w:val="both"/>
        <w:rPr>
          <w:rFonts w:asciiTheme="majorBidi" w:hAnsiTheme="majorBidi" w:cstheme="majorBidi"/>
          <w:sz w:val="18"/>
          <w:szCs w:val="18"/>
          <w:lang w:val="en-US"/>
        </w:rPr>
      </w:pPr>
      <w:r w:rsidRPr="005733A3">
        <w:rPr>
          <w:rStyle w:val="FootnoteReference"/>
          <w:rFonts w:asciiTheme="majorBidi" w:hAnsiTheme="majorBidi" w:cstheme="majorBidi"/>
          <w:sz w:val="18"/>
          <w:szCs w:val="18"/>
        </w:rPr>
        <w:footnoteRef/>
      </w:r>
      <w:r w:rsidRPr="005733A3">
        <w:rPr>
          <w:rFonts w:asciiTheme="majorBidi" w:hAnsiTheme="majorBidi" w:cstheme="majorBidi"/>
          <w:sz w:val="18"/>
          <w:szCs w:val="18"/>
        </w:rPr>
        <w:t xml:space="preserve"> </w:t>
      </w:r>
      <w:r w:rsidRPr="005733A3">
        <w:rPr>
          <w:rFonts w:asciiTheme="majorBidi" w:hAnsiTheme="majorBidi" w:cstheme="majorBidi"/>
          <w:sz w:val="18"/>
          <w:szCs w:val="18"/>
        </w:rPr>
        <w:fldChar w:fldCharType="begin" w:fldLock="1"/>
      </w:r>
      <w:r w:rsidR="0094546B">
        <w:rPr>
          <w:rFonts w:asciiTheme="majorBidi" w:hAnsiTheme="majorBidi" w:cstheme="majorBidi"/>
          <w:sz w:val="18"/>
          <w:szCs w:val="18"/>
        </w:rPr>
        <w:instrText>ADDIN CSL_CITATION {"citationItems":[{"id":"ITEM-1","itemData":{"URL":"https://putusan3.mahkamahagung.go.id/direktori/index/pengadilan/ms-takengon/tahunjenis/putus/tahun/2023.html","accessed":{"date-parts":[["2024","9","17"]]},"author":[{"dropping-particle":"","family":"Direktori Putusan Mahkamah Agung Republik Indonesia","given":"","non-dropping-particle":"","parse-names":false,"suffix":""}],"container-title":"https://putusan3.mahkamahagung.go.id","id":"ITEM-1","issued":{"date-parts":[["2023"]]},"title":"Putusan Mahkamah Syariah Takengon Nomor 9/Jn/2023/Ms.Tkn.","type":"webpage"},"uris":["http://www.mendeley.com/documents/?uuid=99cd6254-21ac-4df2-9ccd-61e8f512ace3"]}],"mendeley":{"formattedCitation":"Ibid.","plainTextFormattedCitation":"Ibid.","previouslyFormattedCitation":"Ibid."},"properties":{"noteIndex":126},"schema":"https://github.com/citation-style-language/schema/raw/master/csl-citation.json"}</w:instrText>
      </w:r>
      <w:r w:rsidRPr="005733A3">
        <w:rPr>
          <w:rFonts w:asciiTheme="majorBidi" w:hAnsiTheme="majorBidi" w:cstheme="majorBidi"/>
          <w:sz w:val="18"/>
          <w:szCs w:val="18"/>
        </w:rPr>
        <w:fldChar w:fldCharType="separate"/>
      </w:r>
      <w:r w:rsidRPr="005733A3">
        <w:rPr>
          <w:rFonts w:asciiTheme="majorBidi" w:hAnsiTheme="majorBidi" w:cstheme="majorBidi"/>
          <w:noProof/>
          <w:sz w:val="18"/>
          <w:szCs w:val="18"/>
        </w:rPr>
        <w:t>Ibid.</w:t>
      </w:r>
      <w:r w:rsidRPr="005733A3">
        <w:rPr>
          <w:rFonts w:asciiTheme="majorBidi" w:hAnsiTheme="majorBidi" w:cstheme="majorBidi"/>
          <w:sz w:val="18"/>
          <w:szCs w:val="18"/>
        </w:rPr>
        <w:fldChar w:fldCharType="end"/>
      </w:r>
      <w:r w:rsidRPr="005733A3">
        <w:rPr>
          <w:rFonts w:asciiTheme="majorBidi" w:hAnsiTheme="majorBidi" w:cstheme="majorBidi"/>
          <w:sz w:val="18"/>
          <w:szCs w:val="18"/>
        </w:rPr>
        <w:t>, hlm 21</w:t>
      </w:r>
    </w:p>
  </w:footnote>
  <w:footnote w:id="126">
    <w:p w14:paraId="463210AF" w14:textId="494D11AB" w:rsidR="008D372B" w:rsidRPr="005733A3" w:rsidRDefault="008D372B" w:rsidP="00920E35">
      <w:pPr>
        <w:pStyle w:val="FootnoteText"/>
        <w:ind w:firstLine="720"/>
        <w:jc w:val="both"/>
        <w:rPr>
          <w:rFonts w:asciiTheme="majorBidi" w:hAnsiTheme="majorBidi" w:cstheme="majorBidi"/>
          <w:sz w:val="18"/>
          <w:szCs w:val="18"/>
          <w:lang w:val="en-US"/>
        </w:rPr>
      </w:pPr>
      <w:r w:rsidRPr="005733A3">
        <w:rPr>
          <w:rStyle w:val="FootnoteReference"/>
          <w:rFonts w:asciiTheme="majorBidi" w:hAnsiTheme="majorBidi" w:cstheme="majorBidi"/>
          <w:sz w:val="18"/>
          <w:szCs w:val="18"/>
        </w:rPr>
        <w:footnoteRef/>
      </w:r>
      <w:r w:rsidRPr="005733A3">
        <w:rPr>
          <w:rFonts w:asciiTheme="majorBidi" w:hAnsiTheme="majorBidi" w:cstheme="majorBidi"/>
          <w:sz w:val="18"/>
          <w:szCs w:val="18"/>
        </w:rPr>
        <w:t xml:space="preserve"> </w:t>
      </w:r>
      <w:r w:rsidRPr="005733A3">
        <w:rPr>
          <w:rFonts w:asciiTheme="majorBidi" w:hAnsiTheme="majorBidi" w:cstheme="majorBidi"/>
          <w:sz w:val="18"/>
          <w:szCs w:val="18"/>
        </w:rPr>
        <w:fldChar w:fldCharType="begin" w:fldLock="1"/>
      </w:r>
      <w:r w:rsidR="0094546B">
        <w:rPr>
          <w:rFonts w:asciiTheme="majorBidi" w:hAnsiTheme="majorBidi" w:cstheme="majorBidi"/>
          <w:sz w:val="18"/>
          <w:szCs w:val="18"/>
        </w:rPr>
        <w:instrText>ADDIN CSL_CITATION {"citationItems":[{"id":"ITEM-1","itemData":{"URL":"https://putusan3.mahkamahagung.go.id/direktori/index/pengadilan/ms-takengon/tahunjenis/putus/tahun/2023.html","accessed":{"date-parts":[["2024","9","17"]]},"author":[{"dropping-particle":"","family":"Direktori Putusan Mahkamah Agung Republik Indonesia","given":"","non-dropping-particle":"","parse-names":false,"suffix":""}],"container-title":"https://putusan3.mahkamahagung.go.id","id":"ITEM-1","issued":{"date-parts":[["2023"]]},"title":"Putusan Mahkamah Syariah Takengon Nomor 9/Jn/2023/Ms.Tkn.","type":"webpage"},"uris":["http://www.mendeley.com/documents/?uuid=99cd6254-21ac-4df2-9ccd-61e8f512ace3"]}],"mendeley":{"formattedCitation":"Ibid.","plainTextFormattedCitation":"Ibid.","previouslyFormattedCitation":"Ibid."},"properties":{"noteIndex":127},"schema":"https://github.com/citation-style-language/schema/raw/master/csl-citation.json"}</w:instrText>
      </w:r>
      <w:r w:rsidRPr="005733A3">
        <w:rPr>
          <w:rFonts w:asciiTheme="majorBidi" w:hAnsiTheme="majorBidi" w:cstheme="majorBidi"/>
          <w:sz w:val="18"/>
          <w:szCs w:val="18"/>
        </w:rPr>
        <w:fldChar w:fldCharType="separate"/>
      </w:r>
      <w:r w:rsidRPr="005733A3">
        <w:rPr>
          <w:rFonts w:asciiTheme="majorBidi" w:hAnsiTheme="majorBidi" w:cstheme="majorBidi"/>
          <w:noProof/>
          <w:sz w:val="18"/>
          <w:szCs w:val="18"/>
        </w:rPr>
        <w:t>Ibid.</w:t>
      </w:r>
      <w:r w:rsidRPr="005733A3">
        <w:rPr>
          <w:rFonts w:asciiTheme="majorBidi" w:hAnsiTheme="majorBidi" w:cstheme="majorBidi"/>
          <w:sz w:val="18"/>
          <w:szCs w:val="18"/>
        </w:rPr>
        <w:fldChar w:fldCharType="end"/>
      </w:r>
      <w:r w:rsidRPr="005733A3">
        <w:rPr>
          <w:rFonts w:asciiTheme="majorBidi" w:hAnsiTheme="majorBidi" w:cstheme="majorBidi"/>
          <w:sz w:val="18"/>
          <w:szCs w:val="18"/>
        </w:rPr>
        <w:t>, hlm 23</w:t>
      </w:r>
    </w:p>
  </w:footnote>
  <w:footnote w:id="127">
    <w:p w14:paraId="09B6E25E" w14:textId="46FA873C" w:rsidR="008D372B" w:rsidRPr="005733A3" w:rsidRDefault="008D372B" w:rsidP="00920E35">
      <w:pPr>
        <w:pStyle w:val="FootnoteText"/>
        <w:ind w:firstLine="720"/>
        <w:jc w:val="both"/>
        <w:rPr>
          <w:lang w:val="en-US"/>
        </w:rPr>
      </w:pPr>
      <w:r w:rsidRPr="005733A3">
        <w:rPr>
          <w:rStyle w:val="FootnoteReference"/>
          <w:rFonts w:asciiTheme="majorBidi" w:hAnsiTheme="majorBidi" w:cstheme="majorBidi"/>
          <w:sz w:val="18"/>
          <w:szCs w:val="18"/>
        </w:rPr>
        <w:footnoteRef/>
      </w:r>
      <w:r w:rsidRPr="005733A3">
        <w:rPr>
          <w:rFonts w:asciiTheme="majorBidi" w:hAnsiTheme="majorBidi" w:cstheme="majorBidi"/>
          <w:sz w:val="18"/>
          <w:szCs w:val="18"/>
        </w:rPr>
        <w:t xml:space="preserve"> </w:t>
      </w:r>
      <w:r w:rsidRPr="005733A3">
        <w:rPr>
          <w:rFonts w:asciiTheme="majorBidi" w:hAnsiTheme="majorBidi" w:cstheme="majorBidi"/>
          <w:sz w:val="18"/>
          <w:szCs w:val="18"/>
        </w:rPr>
        <w:fldChar w:fldCharType="begin" w:fldLock="1"/>
      </w:r>
      <w:r w:rsidR="0094546B">
        <w:rPr>
          <w:rFonts w:asciiTheme="majorBidi" w:hAnsiTheme="majorBidi" w:cstheme="majorBidi"/>
          <w:sz w:val="18"/>
          <w:szCs w:val="18"/>
        </w:rPr>
        <w:instrText>ADDIN CSL_CITATION {"citationItems":[{"id":"ITEM-1","itemData":{"URL":"https://putusan3.mahkamahagung.go.id/direktori/index/pengadilan/ms-takengon/tahunjenis/putus/tahun/2023.html","accessed":{"date-parts":[["2024","9","17"]]},"author":[{"dropping-particle":"","family":"Direktori Putusan Mahkamah Agung Republik Indonesia","given":"","non-dropping-particle":"","parse-names":false,"suffix":""}],"container-title":"https://putusan3.mahkamahagung.go.id","id":"ITEM-1","issued":{"date-parts":[["2023"]]},"title":"Putusan Mahkamah Syariah Takengon Nomor 9/Jn/2023/Ms.Tkn.","type":"webpage"},"uris":["http://www.mendeley.com/documents/?uuid=99cd6254-21ac-4df2-9ccd-61e8f512ace3"]}],"mendeley":{"formattedCitation":"Ibid.","plainTextFormattedCitation":"Ibid.","previouslyFormattedCitation":"Ibid."},"properties":{"noteIndex":128},"schema":"https://github.com/citation-style-language/schema/raw/master/csl-citation.json"}</w:instrText>
      </w:r>
      <w:r w:rsidRPr="005733A3">
        <w:rPr>
          <w:rFonts w:asciiTheme="majorBidi" w:hAnsiTheme="majorBidi" w:cstheme="majorBidi"/>
          <w:sz w:val="18"/>
          <w:szCs w:val="18"/>
        </w:rPr>
        <w:fldChar w:fldCharType="separate"/>
      </w:r>
      <w:r w:rsidRPr="005733A3">
        <w:rPr>
          <w:rFonts w:asciiTheme="majorBidi" w:hAnsiTheme="majorBidi" w:cstheme="majorBidi"/>
          <w:noProof/>
          <w:sz w:val="18"/>
          <w:szCs w:val="18"/>
        </w:rPr>
        <w:t>Ibid.</w:t>
      </w:r>
      <w:r w:rsidRPr="005733A3">
        <w:rPr>
          <w:rFonts w:asciiTheme="majorBidi" w:hAnsiTheme="majorBidi" w:cstheme="majorBidi"/>
          <w:sz w:val="18"/>
          <w:szCs w:val="18"/>
        </w:rPr>
        <w:fldChar w:fldCharType="end"/>
      </w:r>
      <w:r w:rsidRPr="005733A3">
        <w:rPr>
          <w:rFonts w:asciiTheme="majorBidi" w:hAnsiTheme="majorBidi" w:cstheme="majorBidi"/>
          <w:sz w:val="18"/>
          <w:szCs w:val="18"/>
        </w:rPr>
        <w:t>, hlm 24</w:t>
      </w:r>
    </w:p>
  </w:footnote>
  <w:footnote w:id="128">
    <w:p w14:paraId="4816ECFD" w14:textId="240180D6" w:rsidR="008D372B" w:rsidRPr="005733A3" w:rsidRDefault="008D372B" w:rsidP="00920E35">
      <w:pPr>
        <w:pStyle w:val="FootnoteText"/>
        <w:ind w:firstLine="720"/>
        <w:jc w:val="both"/>
        <w:rPr>
          <w:rFonts w:asciiTheme="majorBidi" w:hAnsiTheme="majorBidi" w:cstheme="majorBidi"/>
          <w:sz w:val="18"/>
          <w:szCs w:val="18"/>
          <w:lang w:val="en-US"/>
        </w:rPr>
      </w:pPr>
      <w:r w:rsidRPr="005733A3">
        <w:rPr>
          <w:rStyle w:val="FootnoteReference"/>
          <w:rFonts w:asciiTheme="majorBidi" w:hAnsiTheme="majorBidi" w:cstheme="majorBidi"/>
          <w:sz w:val="18"/>
          <w:szCs w:val="18"/>
        </w:rPr>
        <w:footnoteRef/>
      </w:r>
      <w:r w:rsidRPr="005733A3">
        <w:rPr>
          <w:rFonts w:asciiTheme="majorBidi" w:hAnsiTheme="majorBidi" w:cstheme="majorBidi"/>
          <w:sz w:val="18"/>
          <w:szCs w:val="18"/>
        </w:rPr>
        <w:t xml:space="preserve"> </w:t>
      </w:r>
      <w:r w:rsidRPr="005733A3">
        <w:rPr>
          <w:rFonts w:asciiTheme="majorBidi" w:hAnsiTheme="majorBidi" w:cstheme="majorBidi"/>
          <w:sz w:val="18"/>
          <w:szCs w:val="18"/>
        </w:rPr>
        <w:fldChar w:fldCharType="begin" w:fldLock="1"/>
      </w:r>
      <w:r w:rsidR="0094546B">
        <w:rPr>
          <w:rFonts w:asciiTheme="majorBidi" w:hAnsiTheme="majorBidi" w:cstheme="majorBidi"/>
          <w:sz w:val="18"/>
          <w:szCs w:val="18"/>
        </w:rPr>
        <w:instrText>ADDIN CSL_CITATION {"citationItems":[{"id":"ITEM-1","itemData":{"URL":"https://putusan3.mahkamahagung.go.id/direktori/index/pengadilan/ms-takengon/tahunjenis/putus/tahun/2023.html","accessed":{"date-parts":[["2024","9","17"]]},"author":[{"dropping-particle":"","family":"Direktori Putusan Mahkamah Agung Republik Indonesia","given":"","non-dropping-particle":"","parse-names":false,"suffix":""}],"container-title":"https://putusan3.mahkamahagung.go.id","id":"ITEM-1","issued":{"date-parts":[["2023"]]},"title":"Putusan Mahkamah Syariah Takengon Nomor 9/Jn/2023/Ms.Tkn.","type":"webpage"},"uris":["http://www.mendeley.com/documents/?uuid=99cd6254-21ac-4df2-9ccd-61e8f512ace3"]}],"mendeley":{"formattedCitation":"Ibid.","plainTextFormattedCitation":"Ibid.","previouslyFormattedCitation":"Ibid."},"properties":{"noteIndex":129},"schema":"https://github.com/citation-style-language/schema/raw/master/csl-citation.json"}</w:instrText>
      </w:r>
      <w:r w:rsidRPr="005733A3">
        <w:rPr>
          <w:rFonts w:asciiTheme="majorBidi" w:hAnsiTheme="majorBidi" w:cstheme="majorBidi"/>
          <w:sz w:val="18"/>
          <w:szCs w:val="18"/>
        </w:rPr>
        <w:fldChar w:fldCharType="separate"/>
      </w:r>
      <w:r w:rsidRPr="005733A3">
        <w:rPr>
          <w:rFonts w:asciiTheme="majorBidi" w:hAnsiTheme="majorBidi" w:cstheme="majorBidi"/>
          <w:noProof/>
          <w:sz w:val="18"/>
          <w:szCs w:val="18"/>
        </w:rPr>
        <w:t>Ibid.</w:t>
      </w:r>
      <w:r w:rsidRPr="005733A3">
        <w:rPr>
          <w:rFonts w:asciiTheme="majorBidi" w:hAnsiTheme="majorBidi" w:cstheme="majorBidi"/>
          <w:sz w:val="18"/>
          <w:szCs w:val="18"/>
        </w:rPr>
        <w:fldChar w:fldCharType="end"/>
      </w:r>
      <w:r w:rsidRPr="005733A3">
        <w:rPr>
          <w:rFonts w:asciiTheme="majorBidi" w:hAnsiTheme="majorBidi" w:cstheme="majorBidi"/>
          <w:sz w:val="18"/>
          <w:szCs w:val="18"/>
        </w:rPr>
        <w:t>, hlm 25</w:t>
      </w:r>
    </w:p>
  </w:footnote>
  <w:footnote w:id="129">
    <w:p w14:paraId="328E92A2" w14:textId="0F8D264D" w:rsidR="008D372B" w:rsidRPr="005733A3" w:rsidRDefault="008D372B" w:rsidP="00920E35">
      <w:pPr>
        <w:pStyle w:val="FootnoteText"/>
        <w:ind w:firstLine="720"/>
        <w:jc w:val="both"/>
        <w:rPr>
          <w:lang w:val="en-US"/>
        </w:rPr>
      </w:pPr>
      <w:r w:rsidRPr="005733A3">
        <w:rPr>
          <w:rStyle w:val="FootnoteReference"/>
          <w:rFonts w:asciiTheme="majorBidi" w:hAnsiTheme="majorBidi" w:cstheme="majorBidi"/>
          <w:sz w:val="18"/>
          <w:szCs w:val="18"/>
        </w:rPr>
        <w:footnoteRef/>
      </w:r>
      <w:r w:rsidRPr="005733A3">
        <w:rPr>
          <w:rFonts w:asciiTheme="majorBidi" w:hAnsiTheme="majorBidi" w:cstheme="majorBidi"/>
          <w:sz w:val="18"/>
          <w:szCs w:val="18"/>
        </w:rPr>
        <w:t xml:space="preserve"> </w:t>
      </w:r>
      <w:r w:rsidRPr="005733A3">
        <w:rPr>
          <w:rFonts w:asciiTheme="majorBidi" w:hAnsiTheme="majorBidi" w:cstheme="majorBidi"/>
          <w:sz w:val="18"/>
          <w:szCs w:val="18"/>
        </w:rPr>
        <w:fldChar w:fldCharType="begin" w:fldLock="1"/>
      </w:r>
      <w:r w:rsidR="0094546B">
        <w:rPr>
          <w:rFonts w:asciiTheme="majorBidi" w:hAnsiTheme="majorBidi" w:cstheme="majorBidi"/>
          <w:sz w:val="18"/>
          <w:szCs w:val="18"/>
        </w:rPr>
        <w:instrText>ADDIN CSL_CITATION {"citationItems":[{"id":"ITEM-1","itemData":{"URL":"https://putusan3.mahkamahagung.go.id/direktori/index/pengadilan/ms-takengon/tahunjenis/putus/tahun/2023.html","accessed":{"date-parts":[["2024","9","17"]]},"author":[{"dropping-particle":"","family":"Direktori Putusan Mahkamah Agung Republik Indonesia","given":"","non-dropping-particle":"","parse-names":false,"suffix":""}],"container-title":"https://putusan3.mahkamahagung.go.id","id":"ITEM-1","issued":{"date-parts":[["2023"]]},"title":"Putusan Mahkamah Syariah Takengon Nomor 9/Jn/2023/Ms.Tkn.","type":"webpage"},"uris":["http://www.mendeley.com/documents/?uuid=99cd6254-21ac-4df2-9ccd-61e8f512ace3"]}],"mendeley":{"formattedCitation":"Ibid.","plainTextFormattedCitation":"Ibid.","previouslyFormattedCitation":"Ibid."},"properties":{"noteIndex":130},"schema":"https://github.com/citation-style-language/schema/raw/master/csl-citation.json"}</w:instrText>
      </w:r>
      <w:r w:rsidRPr="005733A3">
        <w:rPr>
          <w:rFonts w:asciiTheme="majorBidi" w:hAnsiTheme="majorBidi" w:cstheme="majorBidi"/>
          <w:sz w:val="18"/>
          <w:szCs w:val="18"/>
        </w:rPr>
        <w:fldChar w:fldCharType="separate"/>
      </w:r>
      <w:r w:rsidRPr="005733A3">
        <w:rPr>
          <w:rFonts w:asciiTheme="majorBidi" w:hAnsiTheme="majorBidi" w:cstheme="majorBidi"/>
          <w:noProof/>
          <w:sz w:val="18"/>
          <w:szCs w:val="18"/>
        </w:rPr>
        <w:t>Ibid.</w:t>
      </w:r>
      <w:r w:rsidRPr="005733A3">
        <w:rPr>
          <w:rFonts w:asciiTheme="majorBidi" w:hAnsiTheme="majorBidi" w:cstheme="majorBidi"/>
          <w:sz w:val="18"/>
          <w:szCs w:val="18"/>
        </w:rPr>
        <w:fldChar w:fldCharType="end"/>
      </w:r>
      <w:r w:rsidRPr="005733A3">
        <w:rPr>
          <w:rFonts w:asciiTheme="majorBidi" w:hAnsiTheme="majorBidi" w:cstheme="majorBidi"/>
          <w:sz w:val="18"/>
          <w:szCs w:val="18"/>
        </w:rPr>
        <w:t>, hlm 26</w:t>
      </w:r>
    </w:p>
  </w:footnote>
  <w:footnote w:id="130">
    <w:p w14:paraId="229C19D5" w14:textId="2F9C57C5" w:rsidR="008D372B" w:rsidRDefault="008D372B" w:rsidP="00CD6035">
      <w:pPr>
        <w:pStyle w:val="FootnoteText"/>
        <w:ind w:firstLine="720"/>
        <w:jc w:val="both"/>
        <w:rPr>
          <w:rFonts w:asciiTheme="majorBidi" w:hAnsiTheme="majorBidi" w:cstheme="majorBidi"/>
          <w:noProof/>
          <w:sz w:val="18"/>
          <w:szCs w:val="18"/>
        </w:rPr>
      </w:pPr>
      <w:r w:rsidRPr="00A63486">
        <w:rPr>
          <w:rStyle w:val="FootnoteReference"/>
          <w:rFonts w:asciiTheme="majorBidi" w:hAnsiTheme="majorBidi" w:cstheme="majorBidi"/>
          <w:sz w:val="18"/>
          <w:szCs w:val="18"/>
        </w:rPr>
        <w:footnoteRef/>
      </w:r>
      <w:r w:rsidRPr="00A63486">
        <w:rPr>
          <w:rFonts w:asciiTheme="majorBidi" w:hAnsiTheme="majorBidi" w:cstheme="majorBidi"/>
          <w:sz w:val="18"/>
          <w:szCs w:val="18"/>
        </w:rPr>
        <w:t xml:space="preserve"> Eddy</w:t>
      </w:r>
      <w:r w:rsidR="003530F0">
        <w:rPr>
          <w:rFonts w:asciiTheme="majorBidi" w:hAnsiTheme="majorBidi" w:cstheme="majorBidi"/>
          <w:sz w:val="18"/>
          <w:szCs w:val="18"/>
        </w:rPr>
        <w:t xml:space="preserve"> </w:t>
      </w:r>
      <w:r w:rsidRPr="00A63486">
        <w:rPr>
          <w:rFonts w:asciiTheme="majorBidi" w:hAnsiTheme="majorBidi" w:cstheme="majorBidi"/>
          <w:sz w:val="18"/>
          <w:szCs w:val="18"/>
        </w:rPr>
        <w:t xml:space="preserve">O.S Hiariej, dalam </w:t>
      </w:r>
      <w:r w:rsidRPr="00A63486">
        <w:rPr>
          <w:rFonts w:asciiTheme="majorBidi" w:hAnsiTheme="majorBidi" w:cstheme="majorBidi"/>
          <w:sz w:val="18"/>
          <w:szCs w:val="18"/>
        </w:rPr>
        <w:fldChar w:fldCharType="begin" w:fldLock="1"/>
      </w:r>
      <w:r w:rsidR="0094546B">
        <w:rPr>
          <w:rFonts w:asciiTheme="majorBidi" w:hAnsiTheme="majorBidi" w:cstheme="majorBidi"/>
          <w:sz w:val="18"/>
          <w:szCs w:val="18"/>
        </w:rPr>
        <w:instrText>ADDIN CSL_CITATION {"citationItems":[{"id":"ITEM-1","itemData":{"author":[{"dropping-particle":"","family":"Siska Trisia, Dio Ashar W","given":"Kevin D Zega","non-dropping-particle":"","parse-names":false,"suffix":""}],"container-title":"https://mappifhui.org","id":"ITEM-1","issued":{"date-parts":[["2020"]]},"number-of-pages":"45","publisher-place":"Depok","title":"Teknik Pembuktian di Persidangan","type":"report"},"uris":["http://www.mendeley.com/documents/?uuid=976896cc-85e5-4c5c-b073-deac2d7eca74"]}],"mendeley":{"formattedCitation":"Kevin D Zega Siska Trisia, Dio Ashar W, &lt;i&gt;Teknik Pembuktian Di Persidangan&lt;/i&gt;, &lt;i&gt;Https://Mappifhui.Org&lt;/i&gt; (Depok, 2020), accessed September 20, 2024, https://mappifhui.org/wp-content/uploads/2020/03/Teknik-Pembuktian-di-Persidangan.pdf.","manualFormatting":"Kevin D Zega Siska Trisia, Dio Ashar W, Teknik Pembuktian di Persidangan, Https://Mappifhui.Org (Depok, 2020), accessed September 20, 2024, \rhttps://mappifhui.org/wp-content/uploads/2020/03/Teknik-Pembuktian-di-Persidangan.pdf.","plainTextFormattedCitation":"Kevin D Zega Siska Trisia, Dio Ashar W, Teknik Pembuktian Di Persidangan, Https://Mappifhui.Org (Depok, 2020), accessed September 20, 2024, https://mappifhui.org/wp-content/uploads/2020/03/Teknik-Pembuktian-di-Persidangan.pdf.","previouslyFormattedCitation":"Kevin D Zega Siska Trisia, Dio Ashar W, &lt;i&gt;Teknik Pembuktian Di Persidangan&lt;/i&gt;, &lt;i&gt;Https://Mappifhui.Org&lt;/i&gt; (Depok, 2020), accessed September 20, 2024, https://mappifhui.org/wp-content/uploads/2020/03/Teknik-Pembuktian-di-Persidangan.pdf."},"properties":{"noteIndex":131},"schema":"https://github.com/citation-style-language/schema/raw/master/csl-citation.json"}</w:instrText>
      </w:r>
      <w:r w:rsidRPr="00A63486">
        <w:rPr>
          <w:rFonts w:asciiTheme="majorBidi" w:hAnsiTheme="majorBidi" w:cstheme="majorBidi"/>
          <w:sz w:val="18"/>
          <w:szCs w:val="18"/>
        </w:rPr>
        <w:fldChar w:fldCharType="separate"/>
      </w:r>
      <w:r w:rsidRPr="00A63486">
        <w:rPr>
          <w:rFonts w:asciiTheme="majorBidi" w:hAnsiTheme="majorBidi" w:cstheme="majorBidi"/>
          <w:noProof/>
          <w:sz w:val="18"/>
          <w:szCs w:val="18"/>
        </w:rPr>
        <w:t xml:space="preserve">Kevin D Zega Siska Trisia, Dio Ashar W, </w:t>
      </w:r>
      <w:r w:rsidRPr="00A63486">
        <w:rPr>
          <w:rFonts w:asciiTheme="majorBidi" w:hAnsiTheme="majorBidi" w:cstheme="majorBidi"/>
          <w:i/>
          <w:noProof/>
          <w:sz w:val="18"/>
          <w:szCs w:val="18"/>
        </w:rPr>
        <w:t xml:space="preserve">Teknik Pembuktian </w:t>
      </w:r>
      <w:r>
        <w:rPr>
          <w:rFonts w:asciiTheme="majorBidi" w:hAnsiTheme="majorBidi" w:cstheme="majorBidi"/>
          <w:i/>
          <w:noProof/>
          <w:sz w:val="18"/>
          <w:szCs w:val="18"/>
        </w:rPr>
        <w:t>d</w:t>
      </w:r>
      <w:r w:rsidRPr="00A63486">
        <w:rPr>
          <w:rFonts w:asciiTheme="majorBidi" w:hAnsiTheme="majorBidi" w:cstheme="majorBidi"/>
          <w:i/>
          <w:noProof/>
          <w:sz w:val="18"/>
          <w:szCs w:val="18"/>
        </w:rPr>
        <w:t>i Persidangan</w:t>
      </w:r>
      <w:r w:rsidRPr="00A63486">
        <w:rPr>
          <w:rFonts w:asciiTheme="majorBidi" w:hAnsiTheme="majorBidi" w:cstheme="majorBidi"/>
          <w:noProof/>
          <w:sz w:val="18"/>
          <w:szCs w:val="18"/>
        </w:rPr>
        <w:t xml:space="preserve">, </w:t>
      </w:r>
      <w:r w:rsidRPr="00A63486">
        <w:rPr>
          <w:rFonts w:asciiTheme="majorBidi" w:hAnsiTheme="majorBidi" w:cstheme="majorBidi"/>
          <w:i/>
          <w:noProof/>
          <w:sz w:val="18"/>
          <w:szCs w:val="18"/>
        </w:rPr>
        <w:t>Https://Mappifhui.Org</w:t>
      </w:r>
      <w:r w:rsidRPr="00A63486">
        <w:rPr>
          <w:rFonts w:asciiTheme="majorBidi" w:hAnsiTheme="majorBidi" w:cstheme="majorBidi"/>
          <w:noProof/>
          <w:sz w:val="18"/>
          <w:szCs w:val="18"/>
        </w:rPr>
        <w:t xml:space="preserve"> (Depok, 2020), accessed September 20, 2024, </w:t>
      </w:r>
    </w:p>
    <w:p w14:paraId="5997D712" w14:textId="77777777" w:rsidR="008D372B" w:rsidRDefault="008D372B" w:rsidP="00CD6035">
      <w:pPr>
        <w:pStyle w:val="FootnoteText"/>
        <w:jc w:val="both"/>
        <w:rPr>
          <w:rFonts w:asciiTheme="majorBidi" w:hAnsiTheme="majorBidi" w:cstheme="majorBidi"/>
          <w:sz w:val="18"/>
          <w:szCs w:val="18"/>
        </w:rPr>
      </w:pPr>
      <w:r w:rsidRPr="00A63486">
        <w:rPr>
          <w:rFonts w:asciiTheme="majorBidi" w:hAnsiTheme="majorBidi" w:cstheme="majorBidi"/>
          <w:noProof/>
          <w:sz w:val="18"/>
          <w:szCs w:val="18"/>
        </w:rPr>
        <w:t>https://mappifhui.org/wp-content/uploads/2020/03/Teknik-Pembuktian-di-Persidangan.pdf.</w:t>
      </w:r>
      <w:r w:rsidRPr="00A63486">
        <w:rPr>
          <w:rFonts w:asciiTheme="majorBidi" w:hAnsiTheme="majorBidi" w:cstheme="majorBidi"/>
          <w:sz w:val="18"/>
          <w:szCs w:val="18"/>
        </w:rPr>
        <w:fldChar w:fldCharType="end"/>
      </w:r>
    </w:p>
    <w:p w14:paraId="3122AD73" w14:textId="77777777" w:rsidR="008D372B" w:rsidRPr="00A63486" w:rsidRDefault="008D372B" w:rsidP="00194317">
      <w:pPr>
        <w:pStyle w:val="FootnoteText"/>
        <w:ind w:left="720"/>
        <w:jc w:val="both"/>
        <w:rPr>
          <w:rFonts w:asciiTheme="majorBidi" w:hAnsiTheme="majorBidi" w:cstheme="majorBidi"/>
          <w:sz w:val="18"/>
          <w:szCs w:val="18"/>
          <w:lang w:val="en-US"/>
        </w:rPr>
      </w:pPr>
    </w:p>
  </w:footnote>
  <w:footnote w:id="131">
    <w:p w14:paraId="1A64DB70" w14:textId="6E73E275" w:rsidR="008D372B" w:rsidRPr="00377A38" w:rsidRDefault="008D372B" w:rsidP="008752B4">
      <w:pPr>
        <w:pStyle w:val="FootnoteText"/>
        <w:ind w:firstLine="720"/>
        <w:jc w:val="both"/>
        <w:rPr>
          <w:rFonts w:asciiTheme="majorBidi" w:hAnsiTheme="majorBidi" w:cstheme="majorBidi"/>
          <w:sz w:val="18"/>
          <w:szCs w:val="18"/>
          <w:lang w:val="en-US"/>
        </w:rPr>
      </w:pPr>
      <w:r w:rsidRPr="00377A38">
        <w:rPr>
          <w:rStyle w:val="FootnoteReference"/>
          <w:rFonts w:asciiTheme="majorBidi" w:hAnsiTheme="majorBidi" w:cstheme="majorBidi"/>
          <w:sz w:val="18"/>
          <w:szCs w:val="18"/>
        </w:rPr>
        <w:footnoteRef/>
      </w:r>
      <w:r w:rsidRPr="00377A38">
        <w:rPr>
          <w:rFonts w:asciiTheme="majorBidi" w:hAnsiTheme="majorBidi" w:cstheme="majorBidi"/>
          <w:sz w:val="18"/>
          <w:szCs w:val="18"/>
        </w:rPr>
        <w:t xml:space="preserve"> </w:t>
      </w:r>
      <w:r w:rsidR="005E0104">
        <w:rPr>
          <w:rFonts w:asciiTheme="majorBidi" w:hAnsiTheme="majorBidi" w:cstheme="majorBidi"/>
          <w:sz w:val="18"/>
          <w:szCs w:val="18"/>
        </w:rPr>
        <w:t xml:space="preserve"> </w:t>
      </w:r>
      <w:r w:rsidRPr="00377A38">
        <w:rPr>
          <w:rFonts w:asciiTheme="majorBidi" w:hAnsiTheme="majorBidi" w:cstheme="majorBidi"/>
          <w:sz w:val="18"/>
          <w:szCs w:val="18"/>
        </w:rPr>
        <w:t xml:space="preserve">Lihat </w:t>
      </w:r>
      <w:r w:rsidR="005E0104">
        <w:rPr>
          <w:rFonts w:asciiTheme="majorBidi" w:hAnsiTheme="majorBidi" w:cstheme="majorBidi"/>
          <w:sz w:val="18"/>
          <w:szCs w:val="18"/>
        </w:rPr>
        <w:t>P</w:t>
      </w:r>
      <w:r w:rsidRPr="00377A38">
        <w:rPr>
          <w:rFonts w:asciiTheme="majorBidi" w:hAnsiTheme="majorBidi" w:cstheme="majorBidi"/>
          <w:sz w:val="18"/>
          <w:szCs w:val="18"/>
        </w:rPr>
        <w:t xml:space="preserve">asal 184 ayat 1 </w:t>
      </w:r>
      <w:r w:rsidRPr="00377A38">
        <w:rPr>
          <w:rFonts w:asciiTheme="majorBidi" w:hAnsiTheme="majorBidi" w:cstheme="majorBidi"/>
          <w:sz w:val="18"/>
          <w:szCs w:val="18"/>
        </w:rPr>
        <w:fldChar w:fldCharType="begin" w:fldLock="1"/>
      </w:r>
      <w:r w:rsidR="0094546B">
        <w:rPr>
          <w:rFonts w:asciiTheme="majorBidi" w:hAnsiTheme="majorBidi" w:cstheme="majorBidi"/>
          <w:sz w:val="18"/>
          <w:szCs w:val="18"/>
        </w:rPr>
        <w:instrText>ADDIN CSL_CITATION {"citationItems":[{"id":"ITEM-1","itemData":{"ISBN":"978-979-518-141-5","author":[{"dropping-particle":"","family":"Andi Hamzah","given":"","non-dropping-particle":"","parse-names":false,"suffix":""}],"edition":"cet 20","id":"ITEM-1","issued":{"date-parts":[["2016"]]},"number-of-pages":"432","publisher":"Rineka Cipta","publisher-place":"Jakarta, Indonesia","title":"KUHP dan KUHAP","type":"book"},"uris":["http://www.mendeley.com/documents/?uuid=6a7acdc1-456e-4a33-9142-8886727b093c"]}],"mendeley":{"formattedCitation":"Andi Hamzah, &lt;i&gt;KUHP Dan KUHAP&lt;/i&gt;.","plainTextFormattedCitation":"Andi Hamzah, KUHP Dan KUHAP.","previouslyFormattedCitation":"Andi Hamzah, &lt;i&gt;KUHP Dan KUHAP&lt;/i&gt;."},"properties":{"noteIndex":132},"schema":"https://github.com/citation-style-language/schema/raw/master/csl-citation.json"}</w:instrText>
      </w:r>
      <w:r w:rsidRPr="00377A38">
        <w:rPr>
          <w:rFonts w:asciiTheme="majorBidi" w:hAnsiTheme="majorBidi" w:cstheme="majorBidi"/>
          <w:sz w:val="18"/>
          <w:szCs w:val="18"/>
        </w:rPr>
        <w:fldChar w:fldCharType="separate"/>
      </w:r>
      <w:r w:rsidRPr="00377A38">
        <w:rPr>
          <w:rFonts w:asciiTheme="majorBidi" w:hAnsiTheme="majorBidi" w:cstheme="majorBidi"/>
          <w:noProof/>
          <w:sz w:val="18"/>
          <w:szCs w:val="18"/>
        </w:rPr>
        <w:t xml:space="preserve">Andi Hamzah, </w:t>
      </w:r>
      <w:r w:rsidRPr="00377A38">
        <w:rPr>
          <w:rFonts w:asciiTheme="majorBidi" w:hAnsiTheme="majorBidi" w:cstheme="majorBidi"/>
          <w:i/>
          <w:noProof/>
          <w:sz w:val="18"/>
          <w:szCs w:val="18"/>
        </w:rPr>
        <w:t>KUHP Dan KUHAP</w:t>
      </w:r>
      <w:r w:rsidRPr="00377A38">
        <w:rPr>
          <w:rFonts w:asciiTheme="majorBidi" w:hAnsiTheme="majorBidi" w:cstheme="majorBidi"/>
          <w:noProof/>
          <w:sz w:val="18"/>
          <w:szCs w:val="18"/>
        </w:rPr>
        <w:t>.</w:t>
      </w:r>
      <w:r w:rsidRPr="00377A38">
        <w:rPr>
          <w:rFonts w:asciiTheme="majorBidi" w:hAnsiTheme="majorBidi" w:cstheme="majorBidi"/>
          <w:sz w:val="18"/>
          <w:szCs w:val="18"/>
        </w:rPr>
        <w:fldChar w:fldCharType="end"/>
      </w:r>
    </w:p>
  </w:footnote>
  <w:footnote w:id="132">
    <w:p w14:paraId="2A43162E" w14:textId="785096D6" w:rsidR="008D372B" w:rsidRPr="00377A38" w:rsidRDefault="008D372B" w:rsidP="00A00E91">
      <w:pPr>
        <w:pStyle w:val="FootnoteText"/>
        <w:ind w:firstLine="720"/>
        <w:jc w:val="both"/>
        <w:rPr>
          <w:rFonts w:asciiTheme="majorBidi" w:hAnsiTheme="majorBidi" w:cstheme="majorBidi"/>
          <w:sz w:val="18"/>
          <w:szCs w:val="18"/>
          <w:lang w:val="en-US"/>
        </w:rPr>
      </w:pPr>
      <w:r w:rsidRPr="00377A38">
        <w:rPr>
          <w:rStyle w:val="FootnoteReference"/>
          <w:rFonts w:asciiTheme="majorBidi" w:hAnsiTheme="majorBidi" w:cstheme="majorBidi"/>
          <w:sz w:val="18"/>
          <w:szCs w:val="18"/>
        </w:rPr>
        <w:footnoteRef/>
      </w:r>
      <w:r w:rsidRPr="00377A38">
        <w:rPr>
          <w:rFonts w:asciiTheme="majorBidi" w:hAnsiTheme="majorBidi" w:cstheme="majorBidi"/>
          <w:sz w:val="18"/>
          <w:szCs w:val="18"/>
        </w:rPr>
        <w:t xml:space="preserve"> </w:t>
      </w:r>
      <w:r w:rsidRPr="00377A38">
        <w:rPr>
          <w:rFonts w:asciiTheme="majorBidi" w:hAnsiTheme="majorBidi" w:cstheme="majorBidi"/>
          <w:sz w:val="18"/>
          <w:szCs w:val="18"/>
        </w:rPr>
        <w:fldChar w:fldCharType="begin" w:fldLock="1"/>
      </w:r>
      <w:r w:rsidR="0094546B">
        <w:rPr>
          <w:rFonts w:asciiTheme="majorBidi" w:hAnsiTheme="majorBidi" w:cstheme="majorBidi"/>
          <w:sz w:val="18"/>
          <w:szCs w:val="18"/>
        </w:rPr>
        <w:instrText>ADDIN CSL_CITATION {"citationItems":[{"id":"ITEM-1","itemData":{"author":[{"dropping-particle":"","family":"Mahkamah Konstitusi Republik Indonesia","given":"","non-dropping-particle":"","parse-names":false,"suffix":""}],"id":"ITEM-1","issued":{"date-parts":[["2010"]]},"number":"Nomor 65/PUU-VIII/2010","page":"94","publisher-place":"Indonesia","title":"Putusan Nomor 65/PUU-VIII/2010","type":"legislation"},"uris":["http://www.mendeley.com/documents/?uuid=d65a4eab-24ac-438a-8c19-c769d16ca9ca"]}],"mendeley":{"formattedCitation":"Mahkamah Konstitusi Republik Indonesia, &lt;i&gt;Putusan Nomor 65/PUU-VIII/2010&lt;/i&gt;.","plainTextFormattedCitation":"Mahkamah Konstitusi Republik Indonesia, Putusan Nomor 65/PUU-VIII/2010.","previouslyFormattedCitation":"Mahkamah Konstitusi Republik Indonesia, &lt;i&gt;Putusan Nomor 65/PUU-VIII/2010&lt;/i&gt;."},"properties":{"noteIndex":133},"schema":"https://github.com/citation-style-language/schema/raw/master/csl-citation.json"}</w:instrText>
      </w:r>
      <w:r w:rsidRPr="00377A38">
        <w:rPr>
          <w:rFonts w:asciiTheme="majorBidi" w:hAnsiTheme="majorBidi" w:cstheme="majorBidi"/>
          <w:sz w:val="18"/>
          <w:szCs w:val="18"/>
        </w:rPr>
        <w:fldChar w:fldCharType="separate"/>
      </w:r>
      <w:r w:rsidRPr="00377A38">
        <w:rPr>
          <w:rFonts w:asciiTheme="majorBidi" w:hAnsiTheme="majorBidi" w:cstheme="majorBidi"/>
          <w:noProof/>
          <w:sz w:val="18"/>
          <w:szCs w:val="18"/>
        </w:rPr>
        <w:t xml:space="preserve">Mahkamah Konstitusi Republik Indonesia, </w:t>
      </w:r>
      <w:r w:rsidRPr="00377A38">
        <w:rPr>
          <w:rFonts w:asciiTheme="majorBidi" w:hAnsiTheme="majorBidi" w:cstheme="majorBidi"/>
          <w:i/>
          <w:noProof/>
          <w:sz w:val="18"/>
          <w:szCs w:val="18"/>
        </w:rPr>
        <w:t>Putusan Nomor 65/PUU-VIII/2010</w:t>
      </w:r>
      <w:r w:rsidRPr="00377A38">
        <w:rPr>
          <w:rFonts w:asciiTheme="majorBidi" w:hAnsiTheme="majorBidi" w:cstheme="majorBidi"/>
          <w:noProof/>
          <w:sz w:val="18"/>
          <w:szCs w:val="18"/>
        </w:rPr>
        <w:t>.</w:t>
      </w:r>
      <w:r w:rsidRPr="00377A38">
        <w:rPr>
          <w:rFonts w:asciiTheme="majorBidi" w:hAnsiTheme="majorBidi" w:cstheme="majorBidi"/>
          <w:sz w:val="18"/>
          <w:szCs w:val="18"/>
        </w:rPr>
        <w:fldChar w:fldCharType="end"/>
      </w:r>
      <w:r>
        <w:rPr>
          <w:rFonts w:asciiTheme="majorBidi" w:hAnsiTheme="majorBidi" w:cstheme="majorBidi"/>
          <w:sz w:val="18"/>
          <w:szCs w:val="18"/>
        </w:rPr>
        <w:t xml:space="preserve"> Tentang perluasan definisi Saksi dalam KUHAP </w:t>
      </w:r>
    </w:p>
  </w:footnote>
  <w:footnote w:id="133">
    <w:p w14:paraId="6AB6A8EB" w14:textId="478E2DF6" w:rsidR="008D372B" w:rsidRPr="00B67E8A" w:rsidRDefault="008D372B" w:rsidP="00A00E91">
      <w:pPr>
        <w:pStyle w:val="FootnoteText"/>
        <w:ind w:firstLine="720"/>
        <w:jc w:val="both"/>
        <w:rPr>
          <w:lang w:val="en-US"/>
        </w:rPr>
      </w:pPr>
      <w:r>
        <w:rPr>
          <w:rStyle w:val="FootnoteReference"/>
        </w:rPr>
        <w:footnoteRef/>
      </w:r>
      <w:r>
        <w:t xml:space="preserve"> </w:t>
      </w:r>
      <w:r w:rsidRPr="00B67E8A">
        <w:rPr>
          <w:rFonts w:asciiTheme="majorBidi" w:hAnsiTheme="majorBidi" w:cstheme="majorBidi"/>
          <w:sz w:val="18"/>
          <w:szCs w:val="18"/>
        </w:rPr>
        <w:fldChar w:fldCharType="begin" w:fldLock="1"/>
      </w:r>
      <w:r w:rsidR="0094546B">
        <w:rPr>
          <w:rFonts w:asciiTheme="majorBidi" w:hAnsiTheme="majorBidi" w:cstheme="majorBidi"/>
          <w:sz w:val="18"/>
          <w:szCs w:val="18"/>
        </w:rPr>
        <w:instrText>ADDIN CSL_CITATION {"citationItems":[{"id":"ITEM-1","itemData":{"author":[{"dropping-particle":"","family":"Mahkamah Konstitusi Republik Indonesia","given":"","non-dropping-particle":"","parse-names":false,"suffix":""}],"id":"ITEM-1","issued":{"date-parts":[["2010"]]},"number":"Nomor 65/PUU-VIII/2010","page":"94","publisher-place":"Indonesia","title":"Putusan Nomor 65/PUU-VIII/2010","type":"legislation"},"uris":["http://www.mendeley.com/documents/?uuid=d65a4eab-24ac-438a-8c19-c769d16ca9ca"]}],"mendeley":{"formattedCitation":"Ibid.","plainTextFormattedCitation":"Ibid.","previouslyFormattedCitation":"Ibid."},"properties":{"noteIndex":134},"schema":"https://github.com/citation-style-language/schema/raw/master/csl-citation.json"}</w:instrText>
      </w:r>
      <w:r w:rsidRPr="00B67E8A">
        <w:rPr>
          <w:rFonts w:asciiTheme="majorBidi" w:hAnsiTheme="majorBidi" w:cstheme="majorBidi"/>
          <w:sz w:val="18"/>
          <w:szCs w:val="18"/>
        </w:rPr>
        <w:fldChar w:fldCharType="separate"/>
      </w:r>
      <w:r w:rsidRPr="00377A38">
        <w:rPr>
          <w:rFonts w:asciiTheme="majorBidi" w:hAnsiTheme="majorBidi" w:cstheme="majorBidi"/>
          <w:noProof/>
          <w:sz w:val="18"/>
          <w:szCs w:val="18"/>
        </w:rPr>
        <w:t>Ibid.</w:t>
      </w:r>
      <w:r w:rsidRPr="00B67E8A">
        <w:rPr>
          <w:rFonts w:asciiTheme="majorBidi" w:hAnsiTheme="majorBidi" w:cstheme="majorBidi"/>
          <w:sz w:val="18"/>
          <w:szCs w:val="18"/>
        </w:rPr>
        <w:fldChar w:fldCharType="end"/>
      </w:r>
    </w:p>
  </w:footnote>
  <w:footnote w:id="134">
    <w:p w14:paraId="7C7B20C6" w14:textId="11E9A9CF" w:rsidR="008D372B" w:rsidRPr="00AC4DFC" w:rsidRDefault="008D372B" w:rsidP="00A00E91">
      <w:pPr>
        <w:pStyle w:val="FootnoteText"/>
        <w:ind w:firstLine="720"/>
        <w:jc w:val="both"/>
        <w:rPr>
          <w:rFonts w:asciiTheme="majorBidi" w:hAnsiTheme="majorBidi" w:cstheme="majorBidi"/>
          <w:sz w:val="18"/>
          <w:szCs w:val="18"/>
          <w:lang w:val="en-US"/>
        </w:rPr>
      </w:pPr>
      <w:r w:rsidRPr="00AC4DFC">
        <w:rPr>
          <w:rStyle w:val="FootnoteReference"/>
          <w:rFonts w:asciiTheme="majorBidi" w:hAnsiTheme="majorBidi" w:cstheme="majorBidi"/>
          <w:sz w:val="18"/>
          <w:szCs w:val="18"/>
        </w:rPr>
        <w:footnoteRef/>
      </w:r>
      <w:r w:rsidRPr="00AC4DFC">
        <w:rPr>
          <w:rFonts w:asciiTheme="majorBidi" w:hAnsiTheme="majorBidi" w:cstheme="majorBidi"/>
          <w:sz w:val="18"/>
          <w:szCs w:val="18"/>
        </w:rPr>
        <w:t xml:space="preserve"> </w:t>
      </w:r>
      <w:r w:rsidRPr="00AC4DFC">
        <w:rPr>
          <w:rFonts w:asciiTheme="majorBidi" w:hAnsiTheme="majorBidi" w:cstheme="majorBidi"/>
          <w:sz w:val="18"/>
          <w:szCs w:val="18"/>
        </w:rPr>
        <w:fldChar w:fldCharType="begin" w:fldLock="1"/>
      </w:r>
      <w:r w:rsidR="0094546B">
        <w:rPr>
          <w:rFonts w:asciiTheme="majorBidi" w:hAnsiTheme="majorBidi" w:cstheme="majorBidi"/>
          <w:sz w:val="18"/>
          <w:szCs w:val="18"/>
        </w:rPr>
        <w:instrText>ADDIN CSL_CITATION {"citationItems":[{"id":"ITEM-1","itemData":{"URL":"https://www.hukumonline.com/klinik/a/arti-testimonium-de-auditu-lt58dcb3732cca3/","accessed":{"date-parts":[["2024","8","18"]]},"author":[{"dropping-particle":"","family":"Bernadetha Aurelia Oktavira","given":"","non-dropping-particle":"","parse-names":false,"suffix":""}],"container-title":"Hukum Online.Com","id":"ITEM-1","issued":{"date-parts":[["2023"]]},"title":"Arti Testimonium De Auditu","type":"webpage"},"uris":["http://www.mendeley.com/documents/?uuid=0de4d259-928a-42d2-b4b1-c7806dd21b8b"]}],"mendeley":{"formattedCitation":"Bernadetha Aurelia Oktavira, “Arti Testimonium De Auditu,” &lt;i&gt;Hukum Online.Com&lt;/i&gt;, last modified 2023, accessed August 18, 2024, https://www.hukumonline.com/klinik/a/arti-testimonium-de-auditu-lt58dcb3732cca3/.","plainTextFormattedCitation":"Bernadetha Aurelia Oktavira, “Arti Testimonium De Auditu,” Hukum Online.Com, last modified 2023, accessed August 18, 2024, https://www.hukumonline.com/klinik/a/arti-testimonium-de-auditu-lt58dcb3732cca3/.","previouslyFormattedCitation":"Bernadetha Aurelia Oktavira, “Arti Testimonium De Auditu,” &lt;i&gt;Hukum Online.Com&lt;/i&gt;, last modified 2023, accessed August 18, 2024, https://www.hukumonline.com/klinik/a/arti-testimonium-de-auditu-lt58dcb3732cca3/."},"properties":{"noteIndex":135},"schema":"https://github.com/citation-style-language/schema/raw/master/csl-citation.json"}</w:instrText>
      </w:r>
      <w:r w:rsidRPr="00AC4DFC">
        <w:rPr>
          <w:rFonts w:asciiTheme="majorBidi" w:hAnsiTheme="majorBidi" w:cstheme="majorBidi"/>
          <w:sz w:val="18"/>
          <w:szCs w:val="18"/>
        </w:rPr>
        <w:fldChar w:fldCharType="separate"/>
      </w:r>
      <w:r w:rsidRPr="00AC4DFC">
        <w:rPr>
          <w:rFonts w:asciiTheme="majorBidi" w:hAnsiTheme="majorBidi" w:cstheme="majorBidi"/>
          <w:noProof/>
          <w:sz w:val="18"/>
          <w:szCs w:val="18"/>
        </w:rPr>
        <w:t xml:space="preserve">Bernadetha Aurelia Oktavira, “Arti Testimonium De Auditu,” </w:t>
      </w:r>
      <w:r w:rsidRPr="00AC4DFC">
        <w:rPr>
          <w:rFonts w:asciiTheme="majorBidi" w:hAnsiTheme="majorBidi" w:cstheme="majorBidi"/>
          <w:i/>
          <w:noProof/>
          <w:sz w:val="18"/>
          <w:szCs w:val="18"/>
        </w:rPr>
        <w:t>Hukum</w:t>
      </w:r>
      <w:r w:rsidR="008752B4">
        <w:rPr>
          <w:rFonts w:asciiTheme="majorBidi" w:hAnsiTheme="majorBidi" w:cstheme="majorBidi"/>
          <w:i/>
          <w:noProof/>
          <w:sz w:val="18"/>
          <w:szCs w:val="18"/>
        </w:rPr>
        <w:t>o</w:t>
      </w:r>
      <w:r w:rsidRPr="00AC4DFC">
        <w:rPr>
          <w:rFonts w:asciiTheme="majorBidi" w:hAnsiTheme="majorBidi" w:cstheme="majorBidi"/>
          <w:i/>
          <w:noProof/>
          <w:sz w:val="18"/>
          <w:szCs w:val="18"/>
        </w:rPr>
        <w:t>nline.Com</w:t>
      </w:r>
      <w:r w:rsidRPr="00AC4DFC">
        <w:rPr>
          <w:rFonts w:asciiTheme="majorBidi" w:hAnsiTheme="majorBidi" w:cstheme="majorBidi"/>
          <w:noProof/>
          <w:sz w:val="18"/>
          <w:szCs w:val="18"/>
        </w:rPr>
        <w:t>, last modified 2023, accessed August 18, 2024, https://www.hukumonline.com/klinik/a/arti-testimonium-de-auditu-lt58dcb3732cca3/.</w:t>
      </w:r>
      <w:r w:rsidRPr="00AC4DFC">
        <w:rPr>
          <w:rFonts w:asciiTheme="majorBidi" w:hAnsiTheme="majorBidi" w:cstheme="majorBidi"/>
          <w:sz w:val="18"/>
          <w:szCs w:val="18"/>
        </w:rPr>
        <w:fldChar w:fldCharType="end"/>
      </w:r>
    </w:p>
  </w:footnote>
  <w:footnote w:id="135">
    <w:p w14:paraId="1AA5513B" w14:textId="37714717" w:rsidR="008D372B" w:rsidRPr="00820805" w:rsidRDefault="008D372B" w:rsidP="00A00E91">
      <w:pPr>
        <w:pStyle w:val="FootnoteText"/>
        <w:ind w:firstLine="720"/>
        <w:jc w:val="both"/>
        <w:rPr>
          <w:rFonts w:asciiTheme="majorBidi" w:hAnsiTheme="majorBidi" w:cstheme="majorBidi"/>
          <w:sz w:val="18"/>
          <w:szCs w:val="18"/>
          <w:lang w:val="en-US"/>
        </w:rPr>
      </w:pPr>
      <w:r w:rsidRPr="00820805">
        <w:rPr>
          <w:rStyle w:val="FootnoteReference"/>
          <w:rFonts w:asciiTheme="majorBidi" w:hAnsiTheme="majorBidi" w:cstheme="majorBidi"/>
          <w:sz w:val="18"/>
          <w:szCs w:val="18"/>
        </w:rPr>
        <w:footnoteRef/>
      </w:r>
      <w:r w:rsidRPr="00820805">
        <w:rPr>
          <w:rFonts w:asciiTheme="majorBidi" w:hAnsiTheme="majorBidi" w:cstheme="majorBidi"/>
          <w:sz w:val="18"/>
          <w:szCs w:val="18"/>
        </w:rPr>
        <w:t xml:space="preserve"> </w:t>
      </w:r>
      <w:r w:rsidRPr="00820805">
        <w:rPr>
          <w:rFonts w:asciiTheme="majorBidi" w:hAnsiTheme="majorBidi" w:cstheme="majorBidi"/>
          <w:sz w:val="18"/>
          <w:szCs w:val="18"/>
        </w:rPr>
        <w:fldChar w:fldCharType="begin" w:fldLock="1"/>
      </w:r>
      <w:r w:rsidR="0094546B">
        <w:rPr>
          <w:rFonts w:asciiTheme="majorBidi" w:hAnsiTheme="majorBidi" w:cstheme="majorBidi"/>
          <w:sz w:val="18"/>
          <w:szCs w:val="18"/>
        </w:rPr>
        <w:instrText>ADDIN CSL_CITATION {"citationItems":[{"id":"ITEM-1","itemData":{"ISBN":"975-8056--47-7","author":[{"dropping-particle":"","family":"Suryono Sutarto","given":"","non-dropping-particle":"","parse-names":false,"suffix":""}],"edition":"Cet II","id":"ITEM-1","issued":{"date-parts":[["2005"]]},"number-of-pages":"142","publisher":"Badan Penerbitan Universitas Diponegoro","publisher-place":"Semarang","title":"Hukum Acara Pidana Buku Pengantar Kuliah Mahasiswa","type":"book"},"uris":["http://www.mendeley.com/documents/?uuid=3a4254d4-6057-4576-a914-bbc5a246dafa"]}],"mendeley":{"formattedCitation":"Suryono Sutarto, &lt;i&gt;Hukum Acara Pidana Buku Pengantar Kuliah Mahasiswa&lt;/i&gt;, Cet II. (Semarang: Badan Penerbitan Universitas Diponegoro, 2005).","plainTextFormattedCitation":"Suryono Sutarto, Hukum Acara Pidana Buku Pengantar Kuliah Mahasiswa, Cet II. (Semarang: Badan Penerbitan Universitas Diponegoro, 2005).","previouslyFormattedCitation":"Suryono Sutarto, &lt;i&gt;Hukum Acara Pidana Buku Pengantar Kuliah Mahasiswa&lt;/i&gt;, Cet II. (Semarang: Badan Penerbitan Universitas Diponegoro, 2005)."},"properties":{"noteIndex":136},"schema":"https://github.com/citation-style-language/schema/raw/master/csl-citation.json"}</w:instrText>
      </w:r>
      <w:r w:rsidRPr="00820805">
        <w:rPr>
          <w:rFonts w:asciiTheme="majorBidi" w:hAnsiTheme="majorBidi" w:cstheme="majorBidi"/>
          <w:sz w:val="18"/>
          <w:szCs w:val="18"/>
        </w:rPr>
        <w:fldChar w:fldCharType="separate"/>
      </w:r>
      <w:r w:rsidRPr="00820805">
        <w:rPr>
          <w:rFonts w:asciiTheme="majorBidi" w:hAnsiTheme="majorBidi" w:cstheme="majorBidi"/>
          <w:noProof/>
          <w:sz w:val="18"/>
          <w:szCs w:val="18"/>
        </w:rPr>
        <w:t xml:space="preserve">Suryono Sutarto, </w:t>
      </w:r>
      <w:r w:rsidRPr="00820805">
        <w:rPr>
          <w:rFonts w:asciiTheme="majorBidi" w:hAnsiTheme="majorBidi" w:cstheme="majorBidi"/>
          <w:i/>
          <w:noProof/>
          <w:sz w:val="18"/>
          <w:szCs w:val="18"/>
        </w:rPr>
        <w:t>Hukum Acara Pidana Buku Pengantar Kuliah Mahasiswa</w:t>
      </w:r>
      <w:r w:rsidRPr="00820805">
        <w:rPr>
          <w:rFonts w:asciiTheme="majorBidi" w:hAnsiTheme="majorBidi" w:cstheme="majorBidi"/>
          <w:noProof/>
          <w:sz w:val="18"/>
          <w:szCs w:val="18"/>
        </w:rPr>
        <w:t>, Cet II. (Semarang: Badan Penerbitan Universitas Diponegoro, 2005).</w:t>
      </w:r>
      <w:r w:rsidRPr="00820805">
        <w:rPr>
          <w:rFonts w:asciiTheme="majorBidi" w:hAnsiTheme="majorBidi" w:cstheme="majorBidi"/>
          <w:sz w:val="18"/>
          <w:szCs w:val="18"/>
        </w:rPr>
        <w:fldChar w:fldCharType="end"/>
      </w:r>
      <w:r>
        <w:rPr>
          <w:rFonts w:asciiTheme="majorBidi" w:hAnsiTheme="majorBidi" w:cstheme="majorBidi"/>
          <w:sz w:val="18"/>
          <w:szCs w:val="18"/>
        </w:rPr>
        <w:t>, hlm 54</w:t>
      </w:r>
    </w:p>
  </w:footnote>
  <w:footnote w:id="136">
    <w:p w14:paraId="5329FD4E" w14:textId="7608278D" w:rsidR="008D372B" w:rsidRPr="00B67E8A" w:rsidRDefault="008D372B" w:rsidP="00A00E91">
      <w:pPr>
        <w:pStyle w:val="FootnoteText"/>
        <w:ind w:firstLine="720"/>
        <w:jc w:val="both"/>
        <w:rPr>
          <w:rFonts w:asciiTheme="majorBidi" w:hAnsiTheme="majorBidi" w:cstheme="majorBidi"/>
          <w:sz w:val="18"/>
          <w:szCs w:val="18"/>
          <w:lang w:val="en-US"/>
        </w:rPr>
      </w:pPr>
      <w:r w:rsidRPr="00B67E8A">
        <w:rPr>
          <w:rStyle w:val="FootnoteReference"/>
          <w:rFonts w:asciiTheme="majorBidi" w:hAnsiTheme="majorBidi" w:cstheme="majorBidi"/>
          <w:sz w:val="18"/>
          <w:szCs w:val="18"/>
        </w:rPr>
        <w:footnoteRef/>
      </w:r>
      <w:r w:rsidRPr="00B67E8A">
        <w:rPr>
          <w:rFonts w:asciiTheme="majorBidi" w:hAnsiTheme="majorBidi" w:cstheme="majorBidi"/>
          <w:sz w:val="18"/>
          <w:szCs w:val="18"/>
        </w:rPr>
        <w:t xml:space="preserve"> </w:t>
      </w:r>
      <w:r w:rsidRPr="00B67E8A">
        <w:rPr>
          <w:rFonts w:asciiTheme="majorBidi" w:hAnsiTheme="majorBidi" w:cstheme="majorBidi"/>
          <w:sz w:val="18"/>
          <w:szCs w:val="18"/>
        </w:rPr>
        <w:fldChar w:fldCharType="begin" w:fldLock="1"/>
      </w:r>
      <w:r w:rsidR="0094546B">
        <w:rPr>
          <w:rFonts w:asciiTheme="majorBidi" w:hAnsiTheme="majorBidi" w:cstheme="majorBidi"/>
          <w:sz w:val="18"/>
          <w:szCs w:val="18"/>
        </w:rPr>
        <w:instrText>ADDIN CSL_CITATION {"citationItems":[{"id":"ITEM-1","itemData":{"author":[{"dropping-particle":"","family":"Muhammad Taufik Makarao","given":"Suhasril","non-dropping-particle":"","parse-names":false,"suffix":""}],"edition":"Cet 2","id":"ITEM-1","issued":{"date-parts":[["2022"]]},"number-of-pages":"245","publisher":"Ghalia Indonesia","publisher-place":"Bogor","title":"Hukum Acara Pidana Dalam Teori dan Praktek","type":"book"},"uris":["http://www.mendeley.com/documents/?uuid=d1e581ba-5bc0-41c7-a9b4-962be73ae7b1"]}],"mendeley":{"formattedCitation":"Muhammad Taufik Makarao, &lt;i&gt;Hukum Acara Pidana Dalam Teori Dan Praktek&lt;/i&gt;.","manualFormatting":"Muhammad Taufik Makarao, Hukum Acara Pidana dalam Teori dan Praktek.","plainTextFormattedCitation":"Muhammad Taufik Makarao, Hukum Acara Pidana Dalam Teori Dan Praktek.","previouslyFormattedCitation":"Muhammad Taufik Makarao, &lt;i&gt;Hukum Acara Pidana Dalam Teori Dan Praktek&lt;/i&gt;."},"properties":{"noteIndex":137},"schema":"https://github.com/citation-style-language/schema/raw/master/csl-citation.json"}</w:instrText>
      </w:r>
      <w:r w:rsidRPr="00B67E8A">
        <w:rPr>
          <w:rFonts w:asciiTheme="majorBidi" w:hAnsiTheme="majorBidi" w:cstheme="majorBidi"/>
          <w:sz w:val="18"/>
          <w:szCs w:val="18"/>
        </w:rPr>
        <w:fldChar w:fldCharType="separate"/>
      </w:r>
      <w:r w:rsidRPr="00B67E8A">
        <w:rPr>
          <w:rFonts w:asciiTheme="majorBidi" w:hAnsiTheme="majorBidi" w:cstheme="majorBidi"/>
          <w:noProof/>
          <w:sz w:val="18"/>
          <w:szCs w:val="18"/>
        </w:rPr>
        <w:t xml:space="preserve">Muhammad Taufik Makarao, </w:t>
      </w:r>
      <w:r w:rsidRPr="00B67E8A">
        <w:rPr>
          <w:rFonts w:asciiTheme="majorBidi" w:hAnsiTheme="majorBidi" w:cstheme="majorBidi"/>
          <w:i/>
          <w:noProof/>
          <w:sz w:val="18"/>
          <w:szCs w:val="18"/>
        </w:rPr>
        <w:t xml:space="preserve">Hukum Acara Pidana </w:t>
      </w:r>
      <w:r>
        <w:rPr>
          <w:rFonts w:asciiTheme="majorBidi" w:hAnsiTheme="majorBidi" w:cstheme="majorBidi"/>
          <w:i/>
          <w:noProof/>
          <w:sz w:val="18"/>
          <w:szCs w:val="18"/>
        </w:rPr>
        <w:t>d</w:t>
      </w:r>
      <w:r w:rsidRPr="00B67E8A">
        <w:rPr>
          <w:rFonts w:asciiTheme="majorBidi" w:hAnsiTheme="majorBidi" w:cstheme="majorBidi"/>
          <w:i/>
          <w:noProof/>
          <w:sz w:val="18"/>
          <w:szCs w:val="18"/>
        </w:rPr>
        <w:t xml:space="preserve">alam Teori </w:t>
      </w:r>
      <w:r>
        <w:rPr>
          <w:rFonts w:asciiTheme="majorBidi" w:hAnsiTheme="majorBidi" w:cstheme="majorBidi"/>
          <w:i/>
          <w:noProof/>
          <w:sz w:val="18"/>
          <w:szCs w:val="18"/>
        </w:rPr>
        <w:t>d</w:t>
      </w:r>
      <w:r w:rsidRPr="00B67E8A">
        <w:rPr>
          <w:rFonts w:asciiTheme="majorBidi" w:hAnsiTheme="majorBidi" w:cstheme="majorBidi"/>
          <w:i/>
          <w:noProof/>
          <w:sz w:val="18"/>
          <w:szCs w:val="18"/>
        </w:rPr>
        <w:t>an Praktek</w:t>
      </w:r>
      <w:r w:rsidRPr="00B67E8A">
        <w:rPr>
          <w:rFonts w:asciiTheme="majorBidi" w:hAnsiTheme="majorBidi" w:cstheme="majorBidi"/>
          <w:noProof/>
          <w:sz w:val="18"/>
          <w:szCs w:val="18"/>
        </w:rPr>
        <w:t>.</w:t>
      </w:r>
      <w:r w:rsidRPr="00B67E8A">
        <w:rPr>
          <w:rFonts w:asciiTheme="majorBidi" w:hAnsiTheme="majorBidi" w:cstheme="majorBidi"/>
          <w:sz w:val="18"/>
          <w:szCs w:val="18"/>
        </w:rPr>
        <w:fldChar w:fldCharType="end"/>
      </w:r>
      <w:r>
        <w:rPr>
          <w:rFonts w:asciiTheme="majorBidi" w:hAnsiTheme="majorBidi" w:cstheme="majorBidi"/>
          <w:sz w:val="18"/>
          <w:szCs w:val="18"/>
        </w:rPr>
        <w:t>,hlm 121-122</w:t>
      </w:r>
    </w:p>
  </w:footnote>
  <w:footnote w:id="137">
    <w:p w14:paraId="0CE76E02" w14:textId="1F8CC4AF" w:rsidR="008D372B" w:rsidRPr="00306E39" w:rsidRDefault="008D372B" w:rsidP="00A00E91">
      <w:pPr>
        <w:pStyle w:val="FootnoteText"/>
        <w:ind w:firstLine="720"/>
        <w:jc w:val="both"/>
        <w:rPr>
          <w:rFonts w:asciiTheme="majorBidi" w:hAnsiTheme="majorBidi" w:cstheme="majorBidi"/>
          <w:sz w:val="18"/>
          <w:szCs w:val="18"/>
          <w:lang w:val="en-US"/>
        </w:rPr>
      </w:pPr>
      <w:r w:rsidRPr="00306E39">
        <w:rPr>
          <w:rStyle w:val="FootnoteReference"/>
          <w:rFonts w:asciiTheme="majorBidi" w:hAnsiTheme="majorBidi" w:cstheme="majorBidi"/>
          <w:sz w:val="18"/>
          <w:szCs w:val="18"/>
        </w:rPr>
        <w:footnoteRef/>
      </w:r>
      <w:r w:rsidRPr="00306E39">
        <w:rPr>
          <w:rFonts w:asciiTheme="majorBidi" w:hAnsiTheme="majorBidi" w:cstheme="majorBidi"/>
          <w:sz w:val="18"/>
          <w:szCs w:val="18"/>
        </w:rPr>
        <w:t xml:space="preserve"> Lihat Pasal 185 ayat 6, </w:t>
      </w:r>
      <w:r w:rsidRPr="00306E39">
        <w:rPr>
          <w:rFonts w:asciiTheme="majorBidi" w:hAnsiTheme="majorBidi" w:cstheme="majorBidi"/>
          <w:sz w:val="18"/>
          <w:szCs w:val="18"/>
        </w:rPr>
        <w:fldChar w:fldCharType="begin" w:fldLock="1"/>
      </w:r>
      <w:r w:rsidR="0094546B">
        <w:rPr>
          <w:rFonts w:asciiTheme="majorBidi" w:hAnsiTheme="majorBidi" w:cstheme="majorBidi"/>
          <w:sz w:val="18"/>
          <w:szCs w:val="18"/>
        </w:rPr>
        <w:instrText>ADDIN CSL_CITATION {"citationItems":[{"id":"ITEM-1","itemData":{"ISBN":"978-979-518-141-5","author":[{"dropping-particle":"","family":"Andi Hamzah","given":"","non-dropping-particle":"","parse-names":false,"suffix":""}],"edition":"cet 20","id":"ITEM-1","issued":{"date-parts":[["2016"]]},"number-of-pages":"432","publisher":"Rineka Cipta","publisher-place":"Jakarta, Indonesia","title":"KUHP dan KUHAP","type":"book"},"uris":["http://www.mendeley.com/documents/?uuid=6a7acdc1-456e-4a33-9142-8886727b093c"]}],"mendeley":{"formattedCitation":"Andi Hamzah, &lt;i&gt;KUHP Dan KUHAP&lt;/i&gt;.","plainTextFormattedCitation":"Andi Hamzah, KUHP Dan KUHAP.","previouslyFormattedCitation":"Andi Hamzah, &lt;i&gt;KUHP Dan KUHAP&lt;/i&gt;."},"properties":{"noteIndex":138},"schema":"https://github.com/citation-style-language/schema/raw/master/csl-citation.json"}</w:instrText>
      </w:r>
      <w:r w:rsidRPr="00306E39">
        <w:rPr>
          <w:rFonts w:asciiTheme="majorBidi" w:hAnsiTheme="majorBidi" w:cstheme="majorBidi"/>
          <w:sz w:val="18"/>
          <w:szCs w:val="18"/>
        </w:rPr>
        <w:fldChar w:fldCharType="separate"/>
      </w:r>
      <w:r w:rsidRPr="00306E39">
        <w:rPr>
          <w:rFonts w:asciiTheme="majorBidi" w:hAnsiTheme="majorBidi" w:cstheme="majorBidi"/>
          <w:noProof/>
          <w:sz w:val="18"/>
          <w:szCs w:val="18"/>
        </w:rPr>
        <w:t xml:space="preserve">Andi Hamzah, </w:t>
      </w:r>
      <w:r w:rsidRPr="00306E39">
        <w:rPr>
          <w:rFonts w:asciiTheme="majorBidi" w:hAnsiTheme="majorBidi" w:cstheme="majorBidi"/>
          <w:i/>
          <w:noProof/>
          <w:sz w:val="18"/>
          <w:szCs w:val="18"/>
        </w:rPr>
        <w:t xml:space="preserve">KUHP </w:t>
      </w:r>
      <w:r w:rsidR="00D22D4A">
        <w:rPr>
          <w:rFonts w:asciiTheme="majorBidi" w:hAnsiTheme="majorBidi" w:cstheme="majorBidi"/>
          <w:i/>
          <w:noProof/>
          <w:sz w:val="18"/>
          <w:szCs w:val="18"/>
        </w:rPr>
        <w:t>d</w:t>
      </w:r>
      <w:r w:rsidRPr="00306E39">
        <w:rPr>
          <w:rFonts w:asciiTheme="majorBidi" w:hAnsiTheme="majorBidi" w:cstheme="majorBidi"/>
          <w:i/>
          <w:noProof/>
          <w:sz w:val="18"/>
          <w:szCs w:val="18"/>
        </w:rPr>
        <w:t>an KUHAP</w:t>
      </w:r>
      <w:r w:rsidRPr="00306E39">
        <w:rPr>
          <w:rFonts w:asciiTheme="majorBidi" w:hAnsiTheme="majorBidi" w:cstheme="majorBidi"/>
          <w:noProof/>
          <w:sz w:val="18"/>
          <w:szCs w:val="18"/>
        </w:rPr>
        <w:t>.</w:t>
      </w:r>
      <w:r w:rsidRPr="00306E39">
        <w:rPr>
          <w:rFonts w:asciiTheme="majorBidi" w:hAnsiTheme="majorBidi" w:cstheme="majorBidi"/>
          <w:sz w:val="18"/>
          <w:szCs w:val="18"/>
        </w:rPr>
        <w:fldChar w:fldCharType="end"/>
      </w:r>
    </w:p>
  </w:footnote>
  <w:footnote w:id="138">
    <w:p w14:paraId="2573FFF2" w14:textId="7916F505" w:rsidR="008D372B" w:rsidRPr="00485BD1" w:rsidRDefault="008D372B" w:rsidP="00A00E91">
      <w:pPr>
        <w:pStyle w:val="FootnoteText"/>
        <w:ind w:firstLine="720"/>
        <w:jc w:val="both"/>
        <w:rPr>
          <w:rFonts w:asciiTheme="majorBidi" w:hAnsiTheme="majorBidi" w:cstheme="majorBidi"/>
          <w:sz w:val="18"/>
          <w:szCs w:val="18"/>
          <w:lang w:val="en-US"/>
        </w:rPr>
      </w:pPr>
      <w:r w:rsidRPr="00485BD1">
        <w:rPr>
          <w:rStyle w:val="FootnoteReference"/>
          <w:rFonts w:asciiTheme="majorBidi" w:hAnsiTheme="majorBidi" w:cstheme="majorBidi"/>
          <w:sz w:val="18"/>
          <w:szCs w:val="18"/>
        </w:rPr>
        <w:footnoteRef/>
      </w:r>
      <w:r w:rsidRPr="00485BD1">
        <w:rPr>
          <w:rFonts w:asciiTheme="majorBidi" w:hAnsiTheme="majorBidi" w:cstheme="majorBidi"/>
          <w:sz w:val="18"/>
          <w:szCs w:val="18"/>
        </w:rPr>
        <w:t xml:space="preserve"> Keterangan Ibu Kasyani binti Musiman dalam </w:t>
      </w:r>
      <w:r w:rsidRPr="00485BD1">
        <w:rPr>
          <w:rFonts w:asciiTheme="majorBidi" w:hAnsiTheme="majorBidi" w:cstheme="majorBidi"/>
          <w:sz w:val="18"/>
          <w:szCs w:val="18"/>
        </w:rPr>
        <w:fldChar w:fldCharType="begin" w:fldLock="1"/>
      </w:r>
      <w:r w:rsidR="0094546B">
        <w:rPr>
          <w:rFonts w:asciiTheme="majorBidi" w:hAnsiTheme="majorBidi" w:cstheme="majorBidi"/>
          <w:sz w:val="18"/>
          <w:szCs w:val="18"/>
        </w:rPr>
        <w:instrText>ADDIN CSL_CITATION {"citationItems":[{"id":"ITEM-1","itemData":{"author":[{"dropping-particle":"","family":"Direktori Putusan Mahkamah Agung Republik Indonesia","given":"","non-dropping-particle":"","parse-names":false,"suffix":""}],"id":"ITEM-1","issued":{"date-parts":[["2023"]]},"page":"42","publisher-place":"Indonesia","title":"Putusan Perkara Nomor 9/JN/2023/MS.Tkn","type":"legislation"},"uris":["http://www.mendeley.com/documents/?uuid=6c2eac34-1cee-46f1-a82c-34befe649e8a"]}],"mendeley":{"formattedCitation":"Direktori Putusan Mahkamah Agung Republik Indonesia, &lt;i&gt;Putusan Perkara Nomor 9/JN/2023/MS.Tkn&lt;/i&gt;.","plainTextFormattedCitation":"Direktori Putusan Mahkamah Agung Republik Indonesia, Putusan Perkara Nomor 9/JN/2023/MS.Tkn.","previouslyFormattedCitation":"Direktori Putusan Mahkamah Agung Republik Indonesia, &lt;i&gt;Putusan Perkara Nomor 9/JN/2023/MS.Tkn&lt;/i&gt;."},"properties":{"noteIndex":139},"schema":"https://github.com/citation-style-language/schema/raw/master/csl-citation.json"}</w:instrText>
      </w:r>
      <w:r w:rsidRPr="00485BD1">
        <w:rPr>
          <w:rFonts w:asciiTheme="majorBidi" w:hAnsiTheme="majorBidi" w:cstheme="majorBidi"/>
          <w:sz w:val="18"/>
          <w:szCs w:val="18"/>
        </w:rPr>
        <w:fldChar w:fldCharType="separate"/>
      </w:r>
      <w:r w:rsidR="008C19B8" w:rsidRPr="008C19B8">
        <w:rPr>
          <w:rFonts w:asciiTheme="majorBidi" w:hAnsiTheme="majorBidi" w:cstheme="majorBidi"/>
          <w:noProof/>
          <w:sz w:val="18"/>
          <w:szCs w:val="18"/>
        </w:rPr>
        <w:t xml:space="preserve">Direktori Putusan Mahkamah Agung Republik Indonesia, </w:t>
      </w:r>
      <w:r w:rsidR="008C19B8" w:rsidRPr="008C19B8">
        <w:rPr>
          <w:rFonts w:asciiTheme="majorBidi" w:hAnsiTheme="majorBidi" w:cstheme="majorBidi"/>
          <w:i/>
          <w:noProof/>
          <w:sz w:val="18"/>
          <w:szCs w:val="18"/>
        </w:rPr>
        <w:t>Putusan Perkara Nomor 9/JN/2023/MS.Tkn</w:t>
      </w:r>
      <w:r w:rsidR="008C19B8" w:rsidRPr="008C19B8">
        <w:rPr>
          <w:rFonts w:asciiTheme="majorBidi" w:hAnsiTheme="majorBidi" w:cstheme="majorBidi"/>
          <w:noProof/>
          <w:sz w:val="18"/>
          <w:szCs w:val="18"/>
        </w:rPr>
        <w:t>.</w:t>
      </w:r>
      <w:r w:rsidRPr="00485BD1">
        <w:rPr>
          <w:rFonts w:asciiTheme="majorBidi" w:hAnsiTheme="majorBidi" w:cstheme="majorBidi"/>
          <w:sz w:val="18"/>
          <w:szCs w:val="18"/>
        </w:rPr>
        <w:fldChar w:fldCharType="end"/>
      </w:r>
    </w:p>
  </w:footnote>
  <w:footnote w:id="139">
    <w:p w14:paraId="6E2EA9BF" w14:textId="4C2420AC" w:rsidR="008D372B" w:rsidRPr="00692851" w:rsidRDefault="008D372B" w:rsidP="00A00E91">
      <w:pPr>
        <w:pStyle w:val="FootnoteText"/>
        <w:ind w:firstLine="720"/>
        <w:jc w:val="both"/>
        <w:rPr>
          <w:rFonts w:asciiTheme="majorBidi" w:hAnsiTheme="majorBidi" w:cstheme="majorBidi"/>
          <w:sz w:val="18"/>
          <w:szCs w:val="18"/>
          <w:lang w:val="en-US"/>
        </w:rPr>
      </w:pPr>
      <w:r w:rsidRPr="00692851">
        <w:rPr>
          <w:rStyle w:val="FootnoteReference"/>
          <w:rFonts w:asciiTheme="majorBidi" w:hAnsiTheme="majorBidi" w:cstheme="majorBidi"/>
          <w:sz w:val="18"/>
          <w:szCs w:val="18"/>
        </w:rPr>
        <w:footnoteRef/>
      </w:r>
      <w:r w:rsidRPr="00692851">
        <w:rPr>
          <w:rFonts w:asciiTheme="majorBidi" w:hAnsiTheme="majorBidi" w:cstheme="majorBidi"/>
          <w:sz w:val="18"/>
          <w:szCs w:val="18"/>
        </w:rPr>
        <w:t xml:space="preserve"> Lihat Pasal 2 </w:t>
      </w:r>
      <w:r w:rsidR="005E0104">
        <w:rPr>
          <w:rFonts w:asciiTheme="majorBidi" w:hAnsiTheme="majorBidi" w:cstheme="majorBidi"/>
          <w:sz w:val="18"/>
          <w:szCs w:val="18"/>
        </w:rPr>
        <w:t>H</w:t>
      </w:r>
      <w:r w:rsidRPr="00692851">
        <w:rPr>
          <w:rFonts w:asciiTheme="majorBidi" w:hAnsiTheme="majorBidi" w:cstheme="majorBidi"/>
          <w:sz w:val="18"/>
          <w:szCs w:val="18"/>
        </w:rPr>
        <w:t xml:space="preserve">uruf e dalam </w:t>
      </w:r>
      <w:r w:rsidRPr="00692851">
        <w:rPr>
          <w:rFonts w:asciiTheme="majorBidi" w:hAnsiTheme="majorBidi" w:cstheme="majorBidi"/>
          <w:sz w:val="18"/>
          <w:szCs w:val="18"/>
        </w:rPr>
        <w:fldChar w:fldCharType="begin" w:fldLock="1"/>
      </w:r>
      <w:r w:rsidR="0094546B">
        <w:rPr>
          <w:rFonts w:asciiTheme="majorBidi" w:hAnsiTheme="majorBidi" w:cstheme="majorBidi"/>
          <w:sz w:val="18"/>
          <w:szCs w:val="18"/>
        </w:rPr>
        <w:instrText>ADDIN CSL_CITATION {"citationItems":[{"id":"ITEM-1","itemData":{"author":[{"dropping-particle":"","family":"Presiden Republik Indonesi","given":"","non-dropping-particle":"","parse-names":false,"suffix":""}],"id":"ITEM-1","issued":{"date-parts":[["2012"]]},"page":"75","publisher-place":"Indonesia","title":"Undang Undang Republik Indonesia Nomor 11 Tahun 2012 tentang Sistem Peradilan Pidana Anak","type":"legislation"},"uris":["http://www.mendeley.com/documents/?uuid=735db346-9248-4e96-88d6-c8034de05878"]}],"mendeley":{"formattedCitation":"Presiden Republik Indonesi, &lt;i&gt;Undang Undang Republik Indonesia Nomor 11 Tahun 2012 Tentang Sistem Peradilan Pidana Anak&lt;/i&gt; (Indonesia, 2012).","plainTextFormattedCitation":"Presiden Republik Indonesi, Undang Undang Republik Indonesia Nomor 11 Tahun 2012 Tentang Sistem Peradilan Pidana Anak (Indonesia, 2012).","previouslyFormattedCitation":"Presiden Republik Indonesi, &lt;i&gt;Undang Undang Republik Indonesia Nomor 11 Tahun 2012 Tentang Sistem Peradilan Pidana Anak&lt;/i&gt; (Indonesia, 2012)."},"properties":{"noteIndex":140},"schema":"https://github.com/citation-style-language/schema/raw/master/csl-citation.json"}</w:instrText>
      </w:r>
      <w:r w:rsidRPr="00692851">
        <w:rPr>
          <w:rFonts w:asciiTheme="majorBidi" w:hAnsiTheme="majorBidi" w:cstheme="majorBidi"/>
          <w:sz w:val="18"/>
          <w:szCs w:val="18"/>
        </w:rPr>
        <w:fldChar w:fldCharType="separate"/>
      </w:r>
      <w:r w:rsidRPr="00692851">
        <w:rPr>
          <w:rFonts w:asciiTheme="majorBidi" w:hAnsiTheme="majorBidi" w:cstheme="majorBidi"/>
          <w:noProof/>
          <w:sz w:val="18"/>
          <w:szCs w:val="18"/>
        </w:rPr>
        <w:t>Presiden Republik Indonesi</w:t>
      </w:r>
      <w:r w:rsidR="008752B4">
        <w:rPr>
          <w:rFonts w:asciiTheme="majorBidi" w:hAnsiTheme="majorBidi" w:cstheme="majorBidi"/>
          <w:noProof/>
          <w:sz w:val="18"/>
          <w:szCs w:val="18"/>
        </w:rPr>
        <w:t>a</w:t>
      </w:r>
      <w:r w:rsidRPr="00692851">
        <w:rPr>
          <w:rFonts w:asciiTheme="majorBidi" w:hAnsiTheme="majorBidi" w:cstheme="majorBidi"/>
          <w:noProof/>
          <w:sz w:val="18"/>
          <w:szCs w:val="18"/>
        </w:rPr>
        <w:t xml:space="preserve">, </w:t>
      </w:r>
      <w:r w:rsidRPr="00692851">
        <w:rPr>
          <w:rFonts w:asciiTheme="majorBidi" w:hAnsiTheme="majorBidi" w:cstheme="majorBidi"/>
          <w:i/>
          <w:noProof/>
          <w:sz w:val="18"/>
          <w:szCs w:val="18"/>
        </w:rPr>
        <w:t>Undang Undang Republik Indonesia Nomor 11 Tahun 2012 Tentang Sistem Peradilan Pidana Anak</w:t>
      </w:r>
      <w:r w:rsidRPr="00692851">
        <w:rPr>
          <w:rFonts w:asciiTheme="majorBidi" w:hAnsiTheme="majorBidi" w:cstheme="majorBidi"/>
          <w:noProof/>
          <w:sz w:val="18"/>
          <w:szCs w:val="18"/>
        </w:rPr>
        <w:t xml:space="preserve"> (Indonesia, 2012).</w:t>
      </w:r>
      <w:r w:rsidRPr="00692851">
        <w:rPr>
          <w:rFonts w:asciiTheme="majorBidi" w:hAnsiTheme="majorBidi" w:cstheme="majorBidi"/>
          <w:sz w:val="18"/>
          <w:szCs w:val="18"/>
        </w:rPr>
        <w:fldChar w:fldCharType="end"/>
      </w:r>
    </w:p>
  </w:footnote>
  <w:footnote w:id="140">
    <w:p w14:paraId="0F33057E" w14:textId="6D01D989" w:rsidR="008D372B" w:rsidRPr="00BF5961" w:rsidRDefault="008D372B" w:rsidP="00A00E91">
      <w:pPr>
        <w:pStyle w:val="FootnoteText"/>
        <w:ind w:firstLine="720"/>
        <w:jc w:val="both"/>
        <w:rPr>
          <w:rFonts w:asciiTheme="majorBidi" w:hAnsiTheme="majorBidi" w:cstheme="majorBidi"/>
          <w:sz w:val="18"/>
          <w:szCs w:val="18"/>
          <w:lang w:val="en-US"/>
        </w:rPr>
      </w:pPr>
      <w:r w:rsidRPr="00BF5961">
        <w:rPr>
          <w:rStyle w:val="FootnoteReference"/>
          <w:rFonts w:asciiTheme="majorBidi" w:hAnsiTheme="majorBidi" w:cstheme="majorBidi"/>
          <w:sz w:val="18"/>
          <w:szCs w:val="18"/>
        </w:rPr>
        <w:footnoteRef/>
      </w:r>
      <w:r w:rsidRPr="00BF5961">
        <w:rPr>
          <w:rFonts w:asciiTheme="majorBidi" w:hAnsiTheme="majorBidi" w:cstheme="majorBidi"/>
          <w:sz w:val="18"/>
          <w:szCs w:val="18"/>
        </w:rPr>
        <w:t xml:space="preserve"> </w:t>
      </w:r>
      <w:r w:rsidRPr="00BF5961">
        <w:rPr>
          <w:rFonts w:asciiTheme="majorBidi" w:hAnsiTheme="majorBidi" w:cstheme="majorBidi"/>
          <w:sz w:val="18"/>
          <w:szCs w:val="18"/>
        </w:rPr>
        <w:fldChar w:fldCharType="begin" w:fldLock="1"/>
      </w:r>
      <w:r w:rsidR="0094546B">
        <w:rPr>
          <w:rFonts w:asciiTheme="majorBidi" w:hAnsiTheme="majorBidi" w:cstheme="majorBidi"/>
          <w:sz w:val="18"/>
          <w:szCs w:val="18"/>
        </w:rPr>
        <w:instrText>ADDIN CSL_CITATION {"citationItems":[{"id":"ITEM-1","itemData":{"author":[{"dropping-particle":"","family":"Zulkarnain Lubis","given":"Bakti Ritonga","non-dropping-particle":"","parse-names":false,"suffix":""}],"edition":"Cet 1","editor":[{"dropping-particle":"","family":"Rendy","given":"","non-dropping-particle":"","parse-names":false,"suffix":""}],"id":"ITEM-1","issued":{"date-parts":[["2016"]]},"number-of-pages":"258","publisher":"Kencana Prenada Media Group","publisher-place":"Jakarta","title":"Dasar Dasar Hukum Acara Jinayat","type":"book"},"uris":["http://www.mendeley.com/documents/?uuid=338e14ed-bec1-4781-b0c2-080dedfc4a3e"]}],"mendeley":{"formattedCitation":"Zulkarnain Lubis, &lt;i&gt;Dasar Dasar Hukum Acara Jinayat&lt;/i&gt;.","plainTextFormattedCitation":"Zulkarnain Lubis, Dasar Dasar Hukum Acara Jinayat.","previouslyFormattedCitation":"Zulkarnain Lubis, &lt;i&gt;Dasar Dasar Hukum Acara Jinayat&lt;/i&gt;."},"properties":{"noteIndex":141},"schema":"https://github.com/citation-style-language/schema/raw/master/csl-citation.json"}</w:instrText>
      </w:r>
      <w:r w:rsidRPr="00BF5961">
        <w:rPr>
          <w:rFonts w:asciiTheme="majorBidi" w:hAnsiTheme="majorBidi" w:cstheme="majorBidi"/>
          <w:sz w:val="18"/>
          <w:szCs w:val="18"/>
        </w:rPr>
        <w:fldChar w:fldCharType="separate"/>
      </w:r>
      <w:r w:rsidRPr="00BF5961">
        <w:rPr>
          <w:rFonts w:asciiTheme="majorBidi" w:hAnsiTheme="majorBidi" w:cstheme="majorBidi"/>
          <w:noProof/>
          <w:sz w:val="18"/>
          <w:szCs w:val="18"/>
        </w:rPr>
        <w:t xml:space="preserve">Zulkarnain Lubis, </w:t>
      </w:r>
      <w:r w:rsidRPr="00BF5961">
        <w:rPr>
          <w:rFonts w:asciiTheme="majorBidi" w:hAnsiTheme="majorBidi" w:cstheme="majorBidi"/>
          <w:i/>
          <w:noProof/>
          <w:sz w:val="18"/>
          <w:szCs w:val="18"/>
        </w:rPr>
        <w:t>Dasar Dasar Hukum Acara Jinayat</w:t>
      </w:r>
      <w:r w:rsidRPr="00BF5961">
        <w:rPr>
          <w:rFonts w:asciiTheme="majorBidi" w:hAnsiTheme="majorBidi" w:cstheme="majorBidi"/>
          <w:noProof/>
          <w:sz w:val="18"/>
          <w:szCs w:val="18"/>
        </w:rPr>
        <w:t>.</w:t>
      </w:r>
      <w:r w:rsidRPr="00BF5961">
        <w:rPr>
          <w:rFonts w:asciiTheme="majorBidi" w:hAnsiTheme="majorBidi" w:cstheme="majorBidi"/>
          <w:sz w:val="18"/>
          <w:szCs w:val="18"/>
        </w:rPr>
        <w:fldChar w:fldCharType="end"/>
      </w:r>
      <w:r w:rsidRPr="00BF5961">
        <w:rPr>
          <w:rFonts w:asciiTheme="majorBidi" w:hAnsiTheme="majorBidi" w:cstheme="majorBidi"/>
          <w:sz w:val="18"/>
          <w:szCs w:val="18"/>
        </w:rPr>
        <w:t>, hlm 132</w:t>
      </w:r>
    </w:p>
  </w:footnote>
  <w:footnote w:id="141">
    <w:p w14:paraId="3366650D" w14:textId="1F948018" w:rsidR="008D372B" w:rsidRDefault="008D372B" w:rsidP="00A00E91">
      <w:pPr>
        <w:pStyle w:val="FootnoteText"/>
        <w:ind w:firstLine="720"/>
        <w:jc w:val="both"/>
        <w:rPr>
          <w:rFonts w:asciiTheme="majorBidi" w:hAnsiTheme="majorBidi" w:cstheme="majorBidi"/>
          <w:noProof/>
          <w:sz w:val="18"/>
          <w:szCs w:val="18"/>
        </w:rPr>
      </w:pPr>
      <w:r w:rsidRPr="004F296D">
        <w:rPr>
          <w:rStyle w:val="FootnoteReference"/>
          <w:rFonts w:asciiTheme="majorBidi" w:hAnsiTheme="majorBidi" w:cstheme="majorBidi"/>
          <w:sz w:val="18"/>
          <w:szCs w:val="18"/>
        </w:rPr>
        <w:footnoteRef/>
      </w:r>
      <w:r w:rsidRPr="004F296D">
        <w:rPr>
          <w:rFonts w:asciiTheme="majorBidi" w:hAnsiTheme="majorBidi" w:cstheme="majorBidi"/>
          <w:sz w:val="18"/>
          <w:szCs w:val="18"/>
        </w:rPr>
        <w:t xml:space="preserve"> </w:t>
      </w:r>
      <w:r w:rsidRPr="004F296D">
        <w:rPr>
          <w:rFonts w:asciiTheme="majorBidi" w:hAnsiTheme="majorBidi" w:cstheme="majorBidi"/>
          <w:sz w:val="18"/>
          <w:szCs w:val="18"/>
        </w:rPr>
        <w:fldChar w:fldCharType="begin" w:fldLock="1"/>
      </w:r>
      <w:r w:rsidR="0094546B">
        <w:rPr>
          <w:rFonts w:asciiTheme="majorBidi" w:hAnsiTheme="majorBidi" w:cstheme="majorBidi"/>
          <w:sz w:val="18"/>
          <w:szCs w:val="18"/>
        </w:rPr>
        <w:instrText>ADDIN CSL_CITATION {"citationItems":[{"id":"ITEM-1","itemData":{"URL":"https://www.hukumonline.com/klinik/a/dasar-hukum-pelaksanaan-pemerintahan-di-aceh-lt563a237f66b9e/","accessed":{"date-parts":[["2024","9","20"]]},"author":[{"dropping-particle":"","family":"Tri Jata Ayu Pramesti","given":"","non-dropping-particle":"","parse-names":false,"suffix":""}],"container-title":"Hukum Online.Com","id":"ITEM-1","issued":{"date-parts":[["2023"]]},"title":"Dasar Hukum Pelaksanaan Pemerintahan di Aceh","type":"webpage"},"uris":["http://www.mendeley.com/documents/?uuid=0e2c58c2-74f2-43bd-a02d-32e2e6e0d607"]}],"mendeley":{"formattedCitation":"Tri Jata Ayu Pramesti, “Dasar Hukum Pelaksanaan Pemerintahan Di Aceh,” &lt;i&gt;Hukum Online.Com&lt;/i&gt;, last modified 2023, accessed September 20, 2024, https://www.hukumonline.com/klinik/a/dasar-hukum-pelaksanaan-pemerintahan-di-aceh-lt563a237f66b9e/.","manualFormatting":"Tri Jata Ayu Pramesti, “Dasar Hukum Pelaksanaan Pemerintahan di Aceh,” Hukum Online.Com, last modified 2023, accessed September 20, 2024, \rhttps://www.hukumonline.com/klinik/a/dasar-hukum-pelaksanaan-pemerintahan-di-aceh-lt563a237f66b9e/.","plainTextFormattedCitation":"Tri Jata Ayu Pramesti, “Dasar Hukum Pelaksanaan Pemerintahan Di Aceh,” Hukum Online.Com, last modified 2023, accessed September 20, 2024, https://www.hukumonline.com/klinik/a/dasar-hukum-pelaksanaan-pemerintahan-di-aceh-lt563a237f66b9e/.","previouslyFormattedCitation":"Tri Jata Ayu Pramesti, “Dasar Hukum Pelaksanaan Pemerintahan Di Aceh,” &lt;i&gt;Hukum Online.Com&lt;/i&gt;, last modified 2023, accessed September 20, 2024, https://www.hukumonline.com/klinik/a/dasar-hukum-pelaksanaan-pemerintahan-di-aceh-lt563a237f66b9e/."},"properties":{"noteIndex":142},"schema":"https://github.com/citation-style-language/schema/raw/master/csl-citation.json"}</w:instrText>
      </w:r>
      <w:r w:rsidRPr="004F296D">
        <w:rPr>
          <w:rFonts w:asciiTheme="majorBidi" w:hAnsiTheme="majorBidi" w:cstheme="majorBidi"/>
          <w:sz w:val="18"/>
          <w:szCs w:val="18"/>
        </w:rPr>
        <w:fldChar w:fldCharType="separate"/>
      </w:r>
      <w:r w:rsidRPr="004F296D">
        <w:rPr>
          <w:rFonts w:asciiTheme="majorBidi" w:hAnsiTheme="majorBidi" w:cstheme="majorBidi"/>
          <w:noProof/>
          <w:sz w:val="18"/>
          <w:szCs w:val="18"/>
        </w:rPr>
        <w:t xml:space="preserve">Tri Jata Ayu Pramesti, “Dasar Hukum Pelaksanaan Pemerintahan </w:t>
      </w:r>
      <w:r>
        <w:rPr>
          <w:rFonts w:asciiTheme="majorBidi" w:hAnsiTheme="majorBidi" w:cstheme="majorBidi"/>
          <w:noProof/>
          <w:sz w:val="18"/>
          <w:szCs w:val="18"/>
        </w:rPr>
        <w:t>d</w:t>
      </w:r>
      <w:r w:rsidRPr="004F296D">
        <w:rPr>
          <w:rFonts w:asciiTheme="majorBidi" w:hAnsiTheme="majorBidi" w:cstheme="majorBidi"/>
          <w:noProof/>
          <w:sz w:val="18"/>
          <w:szCs w:val="18"/>
        </w:rPr>
        <w:t xml:space="preserve">i Aceh,” </w:t>
      </w:r>
      <w:r w:rsidRPr="004F296D">
        <w:rPr>
          <w:rFonts w:asciiTheme="majorBidi" w:hAnsiTheme="majorBidi" w:cstheme="majorBidi"/>
          <w:i/>
          <w:noProof/>
          <w:sz w:val="18"/>
          <w:szCs w:val="18"/>
        </w:rPr>
        <w:t>Hukum</w:t>
      </w:r>
      <w:r w:rsidR="008752B4">
        <w:rPr>
          <w:rFonts w:asciiTheme="majorBidi" w:hAnsiTheme="majorBidi" w:cstheme="majorBidi"/>
          <w:i/>
          <w:noProof/>
          <w:sz w:val="18"/>
          <w:szCs w:val="18"/>
        </w:rPr>
        <w:t>o</w:t>
      </w:r>
      <w:r w:rsidRPr="004F296D">
        <w:rPr>
          <w:rFonts w:asciiTheme="majorBidi" w:hAnsiTheme="majorBidi" w:cstheme="majorBidi"/>
          <w:i/>
          <w:noProof/>
          <w:sz w:val="18"/>
          <w:szCs w:val="18"/>
        </w:rPr>
        <w:t>nline.Com</w:t>
      </w:r>
      <w:r w:rsidRPr="004F296D">
        <w:rPr>
          <w:rFonts w:asciiTheme="majorBidi" w:hAnsiTheme="majorBidi" w:cstheme="majorBidi"/>
          <w:noProof/>
          <w:sz w:val="18"/>
          <w:szCs w:val="18"/>
        </w:rPr>
        <w:t xml:space="preserve">, last modified 2023, accessed September 20, 2024, </w:t>
      </w:r>
    </w:p>
    <w:p w14:paraId="7A3F78FD" w14:textId="77777777" w:rsidR="008D372B" w:rsidRPr="004F296D" w:rsidRDefault="008D372B" w:rsidP="00194317">
      <w:pPr>
        <w:pStyle w:val="FootnoteText"/>
        <w:jc w:val="both"/>
        <w:rPr>
          <w:rFonts w:asciiTheme="majorBidi" w:hAnsiTheme="majorBidi" w:cstheme="majorBidi"/>
          <w:sz w:val="18"/>
          <w:szCs w:val="18"/>
          <w:lang w:val="en-US"/>
        </w:rPr>
      </w:pPr>
      <w:r w:rsidRPr="004F296D">
        <w:rPr>
          <w:rFonts w:asciiTheme="majorBidi" w:hAnsiTheme="majorBidi" w:cstheme="majorBidi"/>
          <w:noProof/>
          <w:sz w:val="18"/>
          <w:szCs w:val="18"/>
        </w:rPr>
        <w:t>https://www.hukumonline.com/klinik/a/dasar-hukum-pelaksanaan-pemerintahan-di-aceh-lt563a237f66b9e/.</w:t>
      </w:r>
      <w:r w:rsidRPr="004F296D">
        <w:rPr>
          <w:rFonts w:asciiTheme="majorBidi" w:hAnsiTheme="majorBidi" w:cstheme="majorBidi"/>
          <w:sz w:val="18"/>
          <w:szCs w:val="18"/>
        </w:rPr>
        <w:fldChar w:fldCharType="end"/>
      </w:r>
    </w:p>
  </w:footnote>
  <w:footnote w:id="142">
    <w:p w14:paraId="701176DF" w14:textId="1F02CAB3" w:rsidR="008D372B" w:rsidRPr="00B73244" w:rsidRDefault="008D372B" w:rsidP="00A00E91">
      <w:pPr>
        <w:pStyle w:val="FootnoteText"/>
        <w:ind w:firstLine="720"/>
        <w:jc w:val="both"/>
        <w:rPr>
          <w:rFonts w:asciiTheme="majorBidi" w:hAnsiTheme="majorBidi" w:cstheme="majorBidi"/>
          <w:sz w:val="18"/>
          <w:szCs w:val="18"/>
          <w:lang w:val="en-US"/>
        </w:rPr>
      </w:pPr>
      <w:r w:rsidRPr="00B73244">
        <w:rPr>
          <w:rStyle w:val="FootnoteReference"/>
          <w:rFonts w:asciiTheme="majorBidi" w:hAnsiTheme="majorBidi" w:cstheme="majorBidi"/>
          <w:sz w:val="18"/>
          <w:szCs w:val="18"/>
        </w:rPr>
        <w:footnoteRef/>
      </w:r>
      <w:r w:rsidRPr="00B73244">
        <w:rPr>
          <w:rFonts w:asciiTheme="majorBidi" w:hAnsiTheme="majorBidi" w:cstheme="majorBidi"/>
          <w:sz w:val="18"/>
          <w:szCs w:val="18"/>
        </w:rPr>
        <w:t xml:space="preserve"> </w:t>
      </w:r>
      <w:r>
        <w:rPr>
          <w:rFonts w:asciiTheme="majorBidi" w:hAnsiTheme="majorBidi" w:cstheme="majorBidi"/>
          <w:sz w:val="18"/>
          <w:szCs w:val="18"/>
        </w:rPr>
        <w:t xml:space="preserve">Lihat Pasal 1 angka 10, </w:t>
      </w:r>
      <w:r w:rsidRPr="00B73244">
        <w:rPr>
          <w:rFonts w:asciiTheme="majorBidi" w:hAnsiTheme="majorBidi" w:cstheme="majorBidi"/>
          <w:sz w:val="18"/>
          <w:szCs w:val="18"/>
        </w:rPr>
        <w:fldChar w:fldCharType="begin" w:fldLock="1"/>
      </w:r>
      <w:r w:rsidR="0094546B">
        <w:rPr>
          <w:rFonts w:asciiTheme="majorBidi" w:hAnsiTheme="majorBidi" w:cstheme="majorBidi"/>
          <w:sz w:val="18"/>
          <w:szCs w:val="18"/>
        </w:rPr>
        <w:instrText>ADDIN CSL_CITATION {"citationItems":[{"id":"ITEM-1","itemData":{"author":[{"dropping-particle":"","family":"Presiden Republik Indonesi","given":"","non-dropping-particle":"","parse-names":false,"suffix":""}],"id":"ITEM-1","issued":{"date-parts":[["1999"]]},"number":"44","page":"6","publisher":"Dinas Syariat Islam Aceh","publisher-place":"Indonesia","title":"Undang Undang Nomor 44 Tahun 1999 Tentang Penyelenggaraan Keistimewaan Provinsi Aceh","type":"legislation"},"uris":["http://www.mendeley.com/documents/?uuid=af465334-9928-4535-ba08-0537fe95c956"]}],"mendeley":{"formattedCitation":"Presiden Republik Indonesi, &lt;i&gt;Undang Undang Nomor 44 Tahun 1999 Tentang Penyelenggaraan Keistimewaan Provinsi Aceh&lt;/i&gt; (Indonesia: Dinas Syariat Islam Aceh, 1999).","plainTextFormattedCitation":"Presiden Republik Indonesi, Undang Undang Nomor 44 Tahun 1999 Tentang Penyelenggaraan Keistimewaan Provinsi Aceh (Indonesia: Dinas Syariat Islam Aceh, 1999).","previouslyFormattedCitation":"Presiden Republik Indonesi, &lt;i&gt;Undang Undang Nomor 44 Tahun 1999 Tentang Penyelenggaraan Keistimewaan Provinsi Aceh&lt;/i&gt; (Indonesia: Dinas Syariat Islam Aceh, 1999)."},"properties":{"noteIndex":143},"schema":"https://github.com/citation-style-language/schema/raw/master/csl-citation.json"}</w:instrText>
      </w:r>
      <w:r w:rsidRPr="00B73244">
        <w:rPr>
          <w:rFonts w:asciiTheme="majorBidi" w:hAnsiTheme="majorBidi" w:cstheme="majorBidi"/>
          <w:sz w:val="18"/>
          <w:szCs w:val="18"/>
        </w:rPr>
        <w:fldChar w:fldCharType="separate"/>
      </w:r>
      <w:r w:rsidRPr="00B73244">
        <w:rPr>
          <w:rFonts w:asciiTheme="majorBidi" w:hAnsiTheme="majorBidi" w:cstheme="majorBidi"/>
          <w:noProof/>
          <w:sz w:val="18"/>
          <w:szCs w:val="18"/>
        </w:rPr>
        <w:t>Presiden Republik Indonesi</w:t>
      </w:r>
      <w:r w:rsidR="008752B4">
        <w:rPr>
          <w:rFonts w:asciiTheme="majorBidi" w:hAnsiTheme="majorBidi" w:cstheme="majorBidi"/>
          <w:noProof/>
          <w:sz w:val="18"/>
          <w:szCs w:val="18"/>
        </w:rPr>
        <w:t>a</w:t>
      </w:r>
      <w:r w:rsidRPr="00B73244">
        <w:rPr>
          <w:rFonts w:asciiTheme="majorBidi" w:hAnsiTheme="majorBidi" w:cstheme="majorBidi"/>
          <w:noProof/>
          <w:sz w:val="18"/>
          <w:szCs w:val="18"/>
        </w:rPr>
        <w:t xml:space="preserve">, </w:t>
      </w:r>
      <w:r w:rsidRPr="00B73244">
        <w:rPr>
          <w:rFonts w:asciiTheme="majorBidi" w:hAnsiTheme="majorBidi" w:cstheme="majorBidi"/>
          <w:i/>
          <w:noProof/>
          <w:sz w:val="18"/>
          <w:szCs w:val="18"/>
        </w:rPr>
        <w:t>Undang Undang Nomor 44 Tahun 1999 Tentang Penyelenggaraan Keistimewaan Provinsi Aceh</w:t>
      </w:r>
      <w:r w:rsidRPr="00B73244">
        <w:rPr>
          <w:rFonts w:asciiTheme="majorBidi" w:hAnsiTheme="majorBidi" w:cstheme="majorBidi"/>
          <w:noProof/>
          <w:sz w:val="18"/>
          <w:szCs w:val="18"/>
        </w:rPr>
        <w:t xml:space="preserve"> (Indonesia: Dinas Syariat Islam Aceh, 1999).</w:t>
      </w:r>
      <w:r w:rsidRPr="00B73244">
        <w:rPr>
          <w:rFonts w:asciiTheme="majorBidi" w:hAnsiTheme="majorBidi" w:cstheme="majorBidi"/>
          <w:sz w:val="18"/>
          <w:szCs w:val="18"/>
        </w:rPr>
        <w:fldChar w:fldCharType="end"/>
      </w:r>
    </w:p>
  </w:footnote>
  <w:footnote w:id="143">
    <w:p w14:paraId="690A37AE" w14:textId="4926EE6C" w:rsidR="008D372B" w:rsidRPr="001B60C3" w:rsidRDefault="008D372B" w:rsidP="00A00E91">
      <w:pPr>
        <w:pStyle w:val="FootnoteText"/>
        <w:ind w:firstLine="720"/>
        <w:jc w:val="both"/>
        <w:rPr>
          <w:rFonts w:asciiTheme="majorBidi" w:hAnsiTheme="majorBidi" w:cstheme="majorBidi"/>
          <w:sz w:val="18"/>
          <w:szCs w:val="18"/>
          <w:lang w:val="en-US"/>
        </w:rPr>
      </w:pPr>
      <w:r w:rsidRPr="001B60C3">
        <w:rPr>
          <w:rStyle w:val="FootnoteReference"/>
          <w:rFonts w:asciiTheme="majorBidi" w:hAnsiTheme="majorBidi" w:cstheme="majorBidi"/>
          <w:sz w:val="18"/>
          <w:szCs w:val="18"/>
        </w:rPr>
        <w:footnoteRef/>
      </w:r>
      <w:r w:rsidRPr="001B60C3">
        <w:rPr>
          <w:rFonts w:asciiTheme="majorBidi" w:hAnsiTheme="majorBidi" w:cstheme="majorBidi"/>
          <w:sz w:val="18"/>
          <w:szCs w:val="18"/>
        </w:rPr>
        <w:t xml:space="preserve"> </w:t>
      </w:r>
      <w:r>
        <w:rPr>
          <w:rFonts w:asciiTheme="majorBidi" w:hAnsiTheme="majorBidi" w:cstheme="majorBidi"/>
          <w:sz w:val="18"/>
          <w:szCs w:val="18"/>
        </w:rPr>
        <w:t xml:space="preserve">Lihat Pasal 1 angka 8, </w:t>
      </w:r>
      <w:r w:rsidRPr="001B60C3">
        <w:rPr>
          <w:rFonts w:asciiTheme="majorBidi" w:hAnsiTheme="majorBidi" w:cstheme="majorBidi"/>
          <w:sz w:val="18"/>
          <w:szCs w:val="18"/>
        </w:rPr>
        <w:fldChar w:fldCharType="begin" w:fldLock="1"/>
      </w:r>
      <w:r w:rsidR="0094546B">
        <w:rPr>
          <w:rFonts w:asciiTheme="majorBidi" w:hAnsiTheme="majorBidi" w:cstheme="majorBidi"/>
          <w:sz w:val="18"/>
          <w:szCs w:val="18"/>
        </w:rPr>
        <w:instrText>ADDIN CSL_CITATION {"citationItems":[{"id":"ITEM-1","itemData":{"author":[{"dropping-particle":"","family":"Presiden Republik Indonesi","given":"","non-dropping-particle":"","parse-names":false,"suffix":""}],"id":"ITEM-1","issued":{"date-parts":[["2001"]]},"number":"Nomor 18","publisher-place":"Indonesia","title":"Undang-Undang Nomor 18 Tahun 2001 tentang Otonomi Khusus bagi Provinsi Daerah Istimewa Aceh Sebagai Provinsi Nanggroe Aceh Darussalam","type":"legislation"},"uris":["http://www.mendeley.com/documents/?uuid=77d939d4-f7fe-4e10-b79a-63ad20f29b6d"]}],"mendeley":{"formattedCitation":"Presiden Republik Indonesi, &lt;i&gt;Undang-Undang Nomor 18 Tahun 2001 Tentang Otonomi Khusus Bagi Provinsi Daerah Istimewa Aceh Sebagai Provinsi Nanggroe Aceh Darussalam&lt;/i&gt; (Indonesia, 2001).","plainTextFormattedCitation":"Presiden Republik Indonesi, Undang-Undang Nomor 18 Tahun 2001 Tentang Otonomi Khusus Bagi Provinsi Daerah Istimewa Aceh Sebagai Provinsi Nanggroe Aceh Darussalam (Indonesia, 2001).","previouslyFormattedCitation":"Presiden Republik Indonesi, &lt;i&gt;Undang-Undang Nomor 18 Tahun 2001 Tentang Otonomi Khusus Bagi Provinsi Daerah Istimewa Aceh Sebagai Provinsi Nanggroe Aceh Darussalam&lt;/i&gt; (Indonesia, 2001)."},"properties":{"noteIndex":144},"schema":"https://github.com/citation-style-language/schema/raw/master/csl-citation.json"}</w:instrText>
      </w:r>
      <w:r w:rsidRPr="001B60C3">
        <w:rPr>
          <w:rFonts w:asciiTheme="majorBidi" w:hAnsiTheme="majorBidi" w:cstheme="majorBidi"/>
          <w:sz w:val="18"/>
          <w:szCs w:val="18"/>
        </w:rPr>
        <w:fldChar w:fldCharType="separate"/>
      </w:r>
      <w:r w:rsidRPr="001B60C3">
        <w:rPr>
          <w:rFonts w:asciiTheme="majorBidi" w:hAnsiTheme="majorBidi" w:cstheme="majorBidi"/>
          <w:noProof/>
          <w:sz w:val="18"/>
          <w:szCs w:val="18"/>
        </w:rPr>
        <w:t>Presiden Republik Indonesi</w:t>
      </w:r>
      <w:r w:rsidR="008752B4">
        <w:rPr>
          <w:rFonts w:asciiTheme="majorBidi" w:hAnsiTheme="majorBidi" w:cstheme="majorBidi"/>
          <w:noProof/>
          <w:sz w:val="18"/>
          <w:szCs w:val="18"/>
        </w:rPr>
        <w:t>a</w:t>
      </w:r>
      <w:r w:rsidRPr="001B60C3">
        <w:rPr>
          <w:rFonts w:asciiTheme="majorBidi" w:hAnsiTheme="majorBidi" w:cstheme="majorBidi"/>
          <w:noProof/>
          <w:sz w:val="18"/>
          <w:szCs w:val="18"/>
        </w:rPr>
        <w:t xml:space="preserve">, </w:t>
      </w:r>
      <w:r w:rsidRPr="001B60C3">
        <w:rPr>
          <w:rFonts w:asciiTheme="majorBidi" w:hAnsiTheme="majorBidi" w:cstheme="majorBidi"/>
          <w:i/>
          <w:noProof/>
          <w:sz w:val="18"/>
          <w:szCs w:val="18"/>
        </w:rPr>
        <w:t>Undang-Undang Nomor 18 Tahun 2001 Tentang Otonomi Khusus Bagi Provinsi Daerah Istimewa Aceh Sebagai Provinsi Nanggroe Aceh Darussalam</w:t>
      </w:r>
      <w:r w:rsidRPr="001B60C3">
        <w:rPr>
          <w:rFonts w:asciiTheme="majorBidi" w:hAnsiTheme="majorBidi" w:cstheme="majorBidi"/>
          <w:noProof/>
          <w:sz w:val="18"/>
          <w:szCs w:val="18"/>
        </w:rPr>
        <w:t xml:space="preserve"> (Indonesia, 2001).</w:t>
      </w:r>
      <w:r w:rsidRPr="001B60C3">
        <w:rPr>
          <w:rFonts w:asciiTheme="majorBidi" w:hAnsiTheme="majorBidi" w:cstheme="majorBidi"/>
          <w:sz w:val="18"/>
          <w:szCs w:val="18"/>
        </w:rPr>
        <w:fldChar w:fldCharType="end"/>
      </w:r>
    </w:p>
  </w:footnote>
  <w:footnote w:id="144">
    <w:p w14:paraId="4806F2FD" w14:textId="5AEAEBD4" w:rsidR="008D372B" w:rsidRPr="009637C1" w:rsidRDefault="008D372B" w:rsidP="00A00E91">
      <w:pPr>
        <w:pStyle w:val="FootnoteText"/>
        <w:ind w:firstLine="720"/>
        <w:jc w:val="both"/>
        <w:rPr>
          <w:rFonts w:asciiTheme="majorBidi" w:hAnsiTheme="majorBidi" w:cstheme="majorBidi"/>
          <w:sz w:val="18"/>
          <w:szCs w:val="18"/>
          <w:lang w:val="en-US"/>
        </w:rPr>
      </w:pPr>
      <w:r w:rsidRPr="009637C1">
        <w:rPr>
          <w:rStyle w:val="FootnoteReference"/>
          <w:rFonts w:asciiTheme="majorBidi" w:hAnsiTheme="majorBidi" w:cstheme="majorBidi"/>
          <w:sz w:val="18"/>
          <w:szCs w:val="18"/>
        </w:rPr>
        <w:footnoteRef/>
      </w:r>
      <w:r w:rsidRPr="009637C1">
        <w:rPr>
          <w:rFonts w:asciiTheme="majorBidi" w:hAnsiTheme="majorBidi" w:cstheme="majorBidi"/>
          <w:sz w:val="18"/>
          <w:szCs w:val="18"/>
        </w:rPr>
        <w:t xml:space="preserve"> </w:t>
      </w:r>
      <w:r>
        <w:rPr>
          <w:rFonts w:asciiTheme="majorBidi" w:hAnsiTheme="majorBidi" w:cstheme="majorBidi"/>
          <w:sz w:val="18"/>
          <w:szCs w:val="18"/>
        </w:rPr>
        <w:t>Lihat Pasal 182 ayat 5</w:t>
      </w:r>
      <w:r w:rsidR="005E0104">
        <w:rPr>
          <w:rFonts w:asciiTheme="majorBidi" w:hAnsiTheme="majorBidi" w:cstheme="majorBidi"/>
          <w:sz w:val="18"/>
          <w:szCs w:val="18"/>
        </w:rPr>
        <w:t xml:space="preserve"> dalam</w:t>
      </w:r>
      <w:r>
        <w:rPr>
          <w:rFonts w:asciiTheme="majorBidi" w:hAnsiTheme="majorBidi" w:cstheme="majorBidi"/>
          <w:sz w:val="18"/>
          <w:szCs w:val="18"/>
        </w:rPr>
        <w:t xml:space="preserve"> </w:t>
      </w:r>
      <w:r w:rsidRPr="009637C1">
        <w:rPr>
          <w:rFonts w:asciiTheme="majorBidi" w:hAnsiTheme="majorBidi" w:cstheme="majorBidi"/>
          <w:sz w:val="18"/>
          <w:szCs w:val="18"/>
        </w:rPr>
        <w:fldChar w:fldCharType="begin" w:fldLock="1"/>
      </w:r>
      <w:r w:rsidR="0094546B">
        <w:rPr>
          <w:rFonts w:asciiTheme="majorBidi" w:hAnsiTheme="majorBidi" w:cstheme="majorBidi"/>
          <w:sz w:val="18"/>
          <w:szCs w:val="18"/>
        </w:rPr>
        <w:instrText>ADDIN CSL_CITATION {"citationItems":[{"id":"ITEM-1","itemData":{"author":[{"dropping-particle":"","family":"Gubernur Provinsi Aceh","given":"","non-dropping-particle":"","parse-names":false,"suffix":""}],"id":"ITEM-1","issued":{"date-parts":[["2013"]]},"page":"112","publisher-place":"Indonesia","title":"Qanun Aceh Nomor 7 tahun 2013 Tentang Hukum Acara Jinayat","type":"legislation"},"uris":["http://www.mendeley.com/documents/?uuid=dcdd0077-68a6-4123-980f-f0586d8c5b75"]}],"mendeley":{"formattedCitation":"Gubernur Provinsi Aceh, &lt;i&gt;Qanun Aceh Nomor 7 Tahun 2013 Tentang Hukum Acara Jinayat&lt;/i&gt;.","plainTextFormattedCitation":"Gubernur Provinsi Aceh, Qanun Aceh Nomor 7 Tahun 2013 Tentang Hukum Acara Jinayat.","previouslyFormattedCitation":"Gubernur Provinsi Aceh, &lt;i&gt;Qanun Aceh Nomor 7 Tahun 2013 Tentang Hukum Acara Jinayat&lt;/i&gt;."},"properties":{"noteIndex":145},"schema":"https://github.com/citation-style-language/schema/raw/master/csl-citation.json"}</w:instrText>
      </w:r>
      <w:r w:rsidRPr="009637C1">
        <w:rPr>
          <w:rFonts w:asciiTheme="majorBidi" w:hAnsiTheme="majorBidi" w:cstheme="majorBidi"/>
          <w:sz w:val="18"/>
          <w:szCs w:val="18"/>
        </w:rPr>
        <w:fldChar w:fldCharType="separate"/>
      </w:r>
      <w:r w:rsidRPr="009637C1">
        <w:rPr>
          <w:rFonts w:asciiTheme="majorBidi" w:hAnsiTheme="majorBidi" w:cstheme="majorBidi"/>
          <w:noProof/>
          <w:sz w:val="18"/>
          <w:szCs w:val="18"/>
        </w:rPr>
        <w:t xml:space="preserve">Gubernur Provinsi Aceh, </w:t>
      </w:r>
      <w:r w:rsidRPr="009637C1">
        <w:rPr>
          <w:rFonts w:asciiTheme="majorBidi" w:hAnsiTheme="majorBidi" w:cstheme="majorBidi"/>
          <w:i/>
          <w:noProof/>
          <w:sz w:val="18"/>
          <w:szCs w:val="18"/>
        </w:rPr>
        <w:t>Qanun Aceh Nomor 7 Tahun 2013 Tentang Hukum Acara Jinayat</w:t>
      </w:r>
      <w:r w:rsidRPr="009637C1">
        <w:rPr>
          <w:rFonts w:asciiTheme="majorBidi" w:hAnsiTheme="majorBidi" w:cstheme="majorBidi"/>
          <w:noProof/>
          <w:sz w:val="18"/>
          <w:szCs w:val="18"/>
        </w:rPr>
        <w:t>.</w:t>
      </w:r>
      <w:r w:rsidRPr="009637C1">
        <w:rPr>
          <w:rFonts w:asciiTheme="majorBidi" w:hAnsiTheme="majorBidi" w:cstheme="majorBidi"/>
          <w:sz w:val="18"/>
          <w:szCs w:val="18"/>
        </w:rPr>
        <w:fldChar w:fldCharType="end"/>
      </w:r>
    </w:p>
  </w:footnote>
  <w:footnote w:id="145">
    <w:p w14:paraId="4DA4B983" w14:textId="42C14A74" w:rsidR="008D372B" w:rsidRPr="001D54E2" w:rsidRDefault="008D372B" w:rsidP="00A00E91">
      <w:pPr>
        <w:pStyle w:val="FootnoteText"/>
        <w:ind w:firstLine="720"/>
        <w:jc w:val="both"/>
        <w:rPr>
          <w:rFonts w:asciiTheme="majorBidi" w:hAnsiTheme="majorBidi" w:cstheme="majorBidi"/>
          <w:sz w:val="18"/>
          <w:szCs w:val="18"/>
          <w:lang w:val="en-US"/>
        </w:rPr>
      </w:pPr>
      <w:r w:rsidRPr="001D54E2">
        <w:rPr>
          <w:rStyle w:val="FootnoteReference"/>
          <w:rFonts w:asciiTheme="majorBidi" w:hAnsiTheme="majorBidi" w:cstheme="majorBidi"/>
          <w:sz w:val="18"/>
          <w:szCs w:val="18"/>
        </w:rPr>
        <w:footnoteRef/>
      </w:r>
      <w:r w:rsidRPr="001D54E2">
        <w:rPr>
          <w:rFonts w:asciiTheme="majorBidi" w:hAnsiTheme="majorBidi" w:cstheme="majorBidi"/>
          <w:sz w:val="18"/>
          <w:szCs w:val="18"/>
        </w:rPr>
        <w:t xml:space="preserve"> </w:t>
      </w:r>
      <w:r w:rsidRPr="001D54E2">
        <w:rPr>
          <w:rFonts w:asciiTheme="majorBidi" w:hAnsiTheme="majorBidi" w:cstheme="majorBidi"/>
          <w:sz w:val="18"/>
          <w:szCs w:val="18"/>
        </w:rPr>
        <w:fldChar w:fldCharType="begin" w:fldLock="1"/>
      </w:r>
      <w:r w:rsidR="0094546B">
        <w:rPr>
          <w:rFonts w:asciiTheme="majorBidi" w:hAnsiTheme="majorBidi" w:cstheme="majorBidi"/>
          <w:sz w:val="18"/>
          <w:szCs w:val="18"/>
        </w:rPr>
        <w:instrText>ADDIN CSL_CITATION {"citationItems":[{"id":"ITEM-1","itemData":{"author":[{"dropping-particle":"","family":"Syamsuri, Abdul Basit Junaidy, Nur Lailatul Musyafa'ah","given":"Moh. Mufid","non-dropping-particle":"","parse-names":false,"suffix":""}],"edition":"cet 1","editor":[{"dropping-particle":"","family":"Wahyono Abdul Ghofur","given":"Iklilah Muzayyanah Dini Fajriyah","non-dropping-particle":"","parse-names":false,"suffix":""}],"id":"ITEM-1","issued":{"date-parts":[["2020"]]},"number-of-pages":"426","publisher":"PT Rajawali Buana Pustaka","publisher-place":"Depok","title":"Hukum Pidana Islam","type":"book"},"uris":["http://www.mendeley.com/documents/?uuid=3974180b-66a1-4556-9eb0-87dc8d8afc15"]}],"mendeley":{"formattedCitation":"Syamsuri, Abdul Basit Junaidy, Nur Lailatul Musyafa’ah, &lt;i&gt;Hukum Pidana Islam&lt;/i&gt;.","plainTextFormattedCitation":"Syamsuri, Abdul Basit Junaidy, Nur Lailatul Musyafa’ah, Hukum Pidana Islam.","previouslyFormattedCitation":"Syamsuri, Abdul Basit Junaidy, Nur Lailatul Musyafa’ah, &lt;i&gt;Hukum Pidana Islam&lt;/i&gt;."},"properties":{"noteIndex":146},"schema":"https://github.com/citation-style-language/schema/raw/master/csl-citation.json"}</w:instrText>
      </w:r>
      <w:r w:rsidRPr="001D54E2">
        <w:rPr>
          <w:rFonts w:asciiTheme="majorBidi" w:hAnsiTheme="majorBidi" w:cstheme="majorBidi"/>
          <w:sz w:val="18"/>
          <w:szCs w:val="18"/>
        </w:rPr>
        <w:fldChar w:fldCharType="separate"/>
      </w:r>
      <w:r w:rsidRPr="001D54E2">
        <w:rPr>
          <w:rFonts w:asciiTheme="majorBidi" w:hAnsiTheme="majorBidi" w:cstheme="majorBidi"/>
          <w:noProof/>
          <w:sz w:val="18"/>
          <w:szCs w:val="18"/>
        </w:rPr>
        <w:t xml:space="preserve">Syamsuri, Abdul Basit Junaidy, Nur Lailatul Musyafa’ah, </w:t>
      </w:r>
      <w:r w:rsidRPr="001D54E2">
        <w:rPr>
          <w:rFonts w:asciiTheme="majorBidi" w:hAnsiTheme="majorBidi" w:cstheme="majorBidi"/>
          <w:i/>
          <w:noProof/>
          <w:sz w:val="18"/>
          <w:szCs w:val="18"/>
        </w:rPr>
        <w:t>Hukum Pidana Islam</w:t>
      </w:r>
      <w:r w:rsidRPr="001D54E2">
        <w:rPr>
          <w:rFonts w:asciiTheme="majorBidi" w:hAnsiTheme="majorBidi" w:cstheme="majorBidi"/>
          <w:noProof/>
          <w:sz w:val="18"/>
          <w:szCs w:val="18"/>
        </w:rPr>
        <w:t>.</w:t>
      </w:r>
      <w:r w:rsidRPr="001D54E2">
        <w:rPr>
          <w:rFonts w:asciiTheme="majorBidi" w:hAnsiTheme="majorBidi" w:cstheme="majorBidi"/>
          <w:sz w:val="18"/>
          <w:szCs w:val="18"/>
        </w:rPr>
        <w:fldChar w:fldCharType="end"/>
      </w:r>
      <w:r>
        <w:rPr>
          <w:rFonts w:asciiTheme="majorBidi" w:hAnsiTheme="majorBidi" w:cstheme="majorBidi"/>
          <w:sz w:val="18"/>
          <w:szCs w:val="18"/>
        </w:rPr>
        <w:t>, hlm 143-144</w:t>
      </w:r>
    </w:p>
  </w:footnote>
  <w:footnote w:id="146">
    <w:p w14:paraId="436DBC1E" w14:textId="32046E92" w:rsidR="008D372B" w:rsidRPr="000745E5" w:rsidRDefault="008D372B" w:rsidP="00A00E91">
      <w:pPr>
        <w:pStyle w:val="FootnoteText"/>
        <w:ind w:firstLine="720"/>
        <w:jc w:val="both"/>
        <w:rPr>
          <w:lang w:val="en-US"/>
        </w:rPr>
      </w:pPr>
      <w:r>
        <w:rPr>
          <w:rStyle w:val="FootnoteReference"/>
        </w:rPr>
        <w:footnoteRef/>
      </w:r>
      <w:r>
        <w:t xml:space="preserve"> </w:t>
      </w:r>
      <w:r w:rsidRPr="000745E5">
        <w:rPr>
          <w:rFonts w:asciiTheme="majorBidi" w:hAnsiTheme="majorBidi" w:cstheme="majorBidi"/>
          <w:sz w:val="18"/>
          <w:szCs w:val="18"/>
        </w:rPr>
        <w:fldChar w:fldCharType="begin" w:fldLock="1"/>
      </w:r>
      <w:r w:rsidR="0094546B">
        <w:rPr>
          <w:rFonts w:asciiTheme="majorBidi" w:hAnsiTheme="majorBidi" w:cstheme="majorBidi"/>
          <w:sz w:val="18"/>
          <w:szCs w:val="18"/>
        </w:rPr>
        <w:instrText>ADDIN CSL_CITATION {"citationItems":[{"id":"ITEM-1","itemData":{"author":[{"dropping-particle":"","family":"Nur Moklis","given":"Agus Sanwani Arif","non-dropping-particle":"","parse-names":false,"suffix":""}],"id":"ITEM-1","issued":{"date-parts":[["2012"]]},"number-of-pages":"203","publisher":"Dipublikasikan secara Online Email: nurmoklis@yahoo.com agussanwaniarif@yahoo.com","publisher-place":"MegaMendung","title":"Penerapan Hukum Acara Pidana/Jinayah Mahkamah Syar’iyah Di Aceh","type":"book"},"uris":["http://www.mendeley.com/documents/?uuid=ad1e4895-7231-49b3-9309-9173a2b57740"]}],"mendeley":{"formattedCitation":"Agus Sanwani Arif Nur Moklis, &lt;i&gt;Penerapan Hukum Acara Pidana/Jinayah Mahkamah Syar’iyah Di Aceh&lt;/i&gt; (MegaMendung: Dipublikasikan secara Online Email: nurmoklis@yahoo.com agussanwaniarif@yahoo.com, 2012).","plainTextFormattedCitation":"Agus Sanwani Arif Nur Moklis, Penerapan Hukum Acara Pidana/Jinayah Mahkamah Syar’iyah Di Aceh (MegaMendung: Dipublikasikan secara Online Email: nurmoklis@yahoo.com agussanwaniarif@yahoo.com, 2012).","previouslyFormattedCitation":"Agus Sanwani Arif Nur Moklis, &lt;i&gt;Penerapan Hukum Acara Pidana/Jinayah Mahkamah Syar’iyah Di Aceh&lt;/i&gt; (MegaMendung: Dipublikasikan secara Online Email: nurmoklis@yahoo.com agussanwaniarif@yahoo.com, 2012)."},"properties":{"noteIndex":147},"schema":"https://github.com/citation-style-language/schema/raw/master/csl-citation.json"}</w:instrText>
      </w:r>
      <w:r w:rsidRPr="000745E5">
        <w:rPr>
          <w:rFonts w:asciiTheme="majorBidi" w:hAnsiTheme="majorBidi" w:cstheme="majorBidi"/>
          <w:sz w:val="18"/>
          <w:szCs w:val="18"/>
        </w:rPr>
        <w:fldChar w:fldCharType="separate"/>
      </w:r>
      <w:r w:rsidRPr="000745E5">
        <w:rPr>
          <w:rFonts w:asciiTheme="majorBidi" w:hAnsiTheme="majorBidi" w:cstheme="majorBidi"/>
          <w:noProof/>
          <w:sz w:val="18"/>
          <w:szCs w:val="18"/>
        </w:rPr>
        <w:t xml:space="preserve">Agus Sanwani Arif Nur Moklis, </w:t>
      </w:r>
      <w:r w:rsidRPr="000745E5">
        <w:rPr>
          <w:rFonts w:asciiTheme="majorBidi" w:hAnsiTheme="majorBidi" w:cstheme="majorBidi"/>
          <w:i/>
          <w:noProof/>
          <w:sz w:val="18"/>
          <w:szCs w:val="18"/>
        </w:rPr>
        <w:t>Penerapan Hukum Acara Pidana/Jinayah Mahkamah Syar’iyah Di Aceh</w:t>
      </w:r>
      <w:r w:rsidRPr="000745E5">
        <w:rPr>
          <w:rFonts w:asciiTheme="majorBidi" w:hAnsiTheme="majorBidi" w:cstheme="majorBidi"/>
          <w:noProof/>
          <w:sz w:val="18"/>
          <w:szCs w:val="18"/>
        </w:rPr>
        <w:t xml:space="preserve"> (MegaMendung: </w:t>
      </w:r>
      <w:r w:rsidR="00D22D4A">
        <w:rPr>
          <w:rFonts w:asciiTheme="majorBidi" w:hAnsiTheme="majorBidi" w:cstheme="majorBidi"/>
          <w:noProof/>
          <w:sz w:val="18"/>
          <w:szCs w:val="18"/>
        </w:rPr>
        <w:t>d</w:t>
      </w:r>
      <w:r w:rsidRPr="000745E5">
        <w:rPr>
          <w:rFonts w:asciiTheme="majorBidi" w:hAnsiTheme="majorBidi" w:cstheme="majorBidi"/>
          <w:noProof/>
          <w:sz w:val="18"/>
          <w:szCs w:val="18"/>
        </w:rPr>
        <w:t>ipublikasikan secara Online Email: nurmoklis@yahoo.com agussanwaniarif@yahoo.com, 2012).</w:t>
      </w:r>
      <w:r w:rsidRPr="000745E5">
        <w:rPr>
          <w:rFonts w:asciiTheme="majorBidi" w:hAnsiTheme="majorBidi" w:cstheme="majorBidi"/>
          <w:sz w:val="18"/>
          <w:szCs w:val="18"/>
        </w:rPr>
        <w:fldChar w:fldCharType="end"/>
      </w:r>
      <w:r w:rsidRPr="000745E5">
        <w:rPr>
          <w:rFonts w:asciiTheme="majorBidi" w:hAnsiTheme="majorBidi" w:cstheme="majorBidi"/>
          <w:sz w:val="18"/>
          <w:szCs w:val="18"/>
        </w:rPr>
        <w:t>, hlm 180</w:t>
      </w:r>
    </w:p>
  </w:footnote>
  <w:footnote w:id="147">
    <w:p w14:paraId="63D6A975" w14:textId="60749A49" w:rsidR="008D372B" w:rsidRPr="008419B5" w:rsidRDefault="008D372B" w:rsidP="00D22D4A">
      <w:pPr>
        <w:pStyle w:val="FootnoteText"/>
        <w:ind w:firstLine="720"/>
        <w:jc w:val="both"/>
        <w:rPr>
          <w:rFonts w:asciiTheme="majorBidi" w:hAnsiTheme="majorBidi" w:cstheme="majorBidi"/>
          <w:sz w:val="18"/>
          <w:szCs w:val="18"/>
          <w:lang w:val="en-US"/>
        </w:rPr>
      </w:pPr>
      <w:r w:rsidRPr="008419B5">
        <w:rPr>
          <w:rStyle w:val="FootnoteReference"/>
          <w:rFonts w:asciiTheme="majorBidi" w:hAnsiTheme="majorBidi" w:cstheme="majorBidi"/>
          <w:sz w:val="18"/>
          <w:szCs w:val="18"/>
        </w:rPr>
        <w:footnoteRef/>
      </w:r>
      <w:r w:rsidRPr="008419B5">
        <w:rPr>
          <w:rFonts w:asciiTheme="majorBidi" w:hAnsiTheme="majorBidi" w:cstheme="majorBidi"/>
          <w:sz w:val="18"/>
          <w:szCs w:val="18"/>
        </w:rPr>
        <w:t xml:space="preserve"> </w:t>
      </w:r>
      <w:r w:rsidRPr="008419B5">
        <w:rPr>
          <w:rFonts w:asciiTheme="majorBidi" w:hAnsiTheme="majorBidi" w:cstheme="majorBidi"/>
          <w:sz w:val="18"/>
          <w:szCs w:val="18"/>
        </w:rPr>
        <w:fldChar w:fldCharType="begin" w:fldLock="1"/>
      </w:r>
      <w:r w:rsidR="0094546B">
        <w:rPr>
          <w:rFonts w:asciiTheme="majorBidi" w:hAnsiTheme="majorBidi" w:cstheme="majorBidi"/>
          <w:sz w:val="18"/>
          <w:szCs w:val="18"/>
        </w:rPr>
        <w:instrText>ADDIN CSL_CITATION {"citationItems":[{"id":"ITEM-1","itemData":{"author":[{"dropping-particle":"","family":"Ibnu Rusyd","given":"","non-dropping-particle":"","parse-names":false,"suffix":""}],"editor":[{"dropping-particle":"","family":"penerjemah: Imam Ghazali Said","given":"Achmad Zaidun","non-dropping-particle":"","parse-names":false,"suffix":""}],"id":"ITEM-1","issued":{"date-parts":[["2007"]]},"number-of-pages":"721","publisher":"Pustaka Amani","publisher-place":"Jakarta","title":"Bidayatul mujtahid jilid 3 : Analisa fiqih para mujtahid","type":"book"},"uris":["http://www.mendeley.com/documents/?uuid=62a291db-d33e-46b1-9310-469399e80d56"]}],"mendeley":{"formattedCitation":"Ibnu Rusyd, &lt;i&gt;Bidayatul Mujtahid Jilid 3 : Analisa Fiqih Para Mujtahid&lt;/i&gt;, ed. Achmad Zaidun penerjemah: Imam Ghazali Said (Jakarta: Pustaka Amani, 2007).","plainTextFormattedCitation":"Ibnu Rusyd, Bidayatul Mujtahid Jilid 3 : Analisa Fiqih Para Mujtahid, ed. Achmad Zaidun penerjemah: Imam Ghazali Said (Jakarta: Pustaka Amani, 2007).","previouslyFormattedCitation":"Ibnu Rusyd, &lt;i&gt;Bidayatul Mujtahid Jilid 3 : Analisa Fiqih Para Mujtahid&lt;/i&gt;, ed. Achmad Zaidun penerjemah: Imam Ghazali Said (Jakarta: Pustaka Amani, 2007)."},"properties":{"noteIndex":148},"schema":"https://github.com/citation-style-language/schema/raw/master/csl-citation.json"}</w:instrText>
      </w:r>
      <w:r w:rsidRPr="008419B5">
        <w:rPr>
          <w:rFonts w:asciiTheme="majorBidi" w:hAnsiTheme="majorBidi" w:cstheme="majorBidi"/>
          <w:sz w:val="18"/>
          <w:szCs w:val="18"/>
        </w:rPr>
        <w:fldChar w:fldCharType="separate"/>
      </w:r>
      <w:r w:rsidRPr="008419B5">
        <w:rPr>
          <w:rFonts w:asciiTheme="majorBidi" w:hAnsiTheme="majorBidi" w:cstheme="majorBidi"/>
          <w:noProof/>
          <w:sz w:val="18"/>
          <w:szCs w:val="18"/>
        </w:rPr>
        <w:t xml:space="preserve">Ibnu Rusyd, </w:t>
      </w:r>
      <w:r w:rsidRPr="008419B5">
        <w:rPr>
          <w:rFonts w:asciiTheme="majorBidi" w:hAnsiTheme="majorBidi" w:cstheme="majorBidi"/>
          <w:i/>
          <w:noProof/>
          <w:sz w:val="18"/>
          <w:szCs w:val="18"/>
        </w:rPr>
        <w:t>Bidayatul Mujtahid Jilid 3 : Analisa Fiqih Para Mujtahid</w:t>
      </w:r>
      <w:r w:rsidRPr="008419B5">
        <w:rPr>
          <w:rFonts w:asciiTheme="majorBidi" w:hAnsiTheme="majorBidi" w:cstheme="majorBidi"/>
          <w:noProof/>
          <w:sz w:val="18"/>
          <w:szCs w:val="18"/>
        </w:rPr>
        <w:t>, ed. Achmad Zaidun penerjemah: Imam Ghazali Said (Jakarta: Pustaka Amani, 2007).</w:t>
      </w:r>
      <w:r w:rsidRPr="008419B5">
        <w:rPr>
          <w:rFonts w:asciiTheme="majorBidi" w:hAnsiTheme="majorBidi" w:cstheme="majorBidi"/>
          <w:sz w:val="18"/>
          <w:szCs w:val="18"/>
        </w:rPr>
        <w:fldChar w:fldCharType="end"/>
      </w:r>
      <w:r w:rsidRPr="008419B5">
        <w:rPr>
          <w:rFonts w:asciiTheme="majorBidi" w:hAnsiTheme="majorBidi" w:cstheme="majorBidi"/>
          <w:sz w:val="18"/>
          <w:szCs w:val="18"/>
        </w:rPr>
        <w:t>, hlm 688</w:t>
      </w:r>
    </w:p>
  </w:footnote>
  <w:footnote w:id="148">
    <w:p w14:paraId="3D2FD02F" w14:textId="58D6E98F" w:rsidR="008D372B" w:rsidRPr="00E6676E" w:rsidRDefault="008D372B" w:rsidP="00A00E91">
      <w:pPr>
        <w:pStyle w:val="FootnoteText"/>
        <w:ind w:firstLine="720"/>
        <w:jc w:val="both"/>
        <w:rPr>
          <w:rFonts w:asciiTheme="majorBidi" w:hAnsiTheme="majorBidi" w:cstheme="majorBidi"/>
          <w:sz w:val="18"/>
          <w:szCs w:val="18"/>
          <w:lang w:val="en-US"/>
        </w:rPr>
      </w:pPr>
      <w:r w:rsidRPr="00E6676E">
        <w:rPr>
          <w:rStyle w:val="FootnoteReference"/>
          <w:rFonts w:asciiTheme="majorBidi" w:hAnsiTheme="majorBidi" w:cstheme="majorBidi"/>
          <w:sz w:val="18"/>
          <w:szCs w:val="18"/>
        </w:rPr>
        <w:footnoteRef/>
      </w:r>
      <w:r w:rsidRPr="00E6676E">
        <w:rPr>
          <w:rFonts w:asciiTheme="majorBidi" w:hAnsiTheme="majorBidi" w:cstheme="majorBidi"/>
          <w:sz w:val="18"/>
          <w:szCs w:val="18"/>
        </w:rPr>
        <w:t xml:space="preserve"> Syaikhu al-Islam Zakariya al-Anshari</w:t>
      </w:r>
      <w:r>
        <w:rPr>
          <w:rFonts w:asciiTheme="majorBidi" w:hAnsiTheme="majorBidi" w:cstheme="majorBidi"/>
          <w:sz w:val="18"/>
          <w:szCs w:val="18"/>
        </w:rPr>
        <w:t xml:space="preserve"> dalam </w:t>
      </w:r>
      <w:r w:rsidRPr="00E6676E">
        <w:rPr>
          <w:rFonts w:asciiTheme="majorBidi" w:hAnsiTheme="majorBidi" w:cstheme="majorBidi"/>
          <w:sz w:val="18"/>
          <w:szCs w:val="18"/>
        </w:rPr>
        <w:fldChar w:fldCharType="begin" w:fldLock="1"/>
      </w:r>
      <w:r w:rsidR="0094546B">
        <w:rPr>
          <w:rFonts w:asciiTheme="majorBidi" w:hAnsiTheme="majorBidi" w:cstheme="majorBidi"/>
          <w:sz w:val="18"/>
          <w:szCs w:val="18"/>
        </w:rPr>
        <w:instrText>ADDIN CSL_CITATION {"citationItems":[{"id":"ITEM-1","itemData":{"author":[{"dropping-particle":"","family":"Ari Rahmat","given":"","non-dropping-particle":"","parse-names":false,"suffix":""}],"id":"ITEM-1","issued":{"date-parts":[["2022"]]},"number-of-pages":"73","publisher":"Universitas Islam Negeri Ar Raniry Darussalam Banda Aceh","title":"Kedudukan Persaksian Syahadah al Istifadah Sebagai Alat Bukti dalam Perkara Perdata di Persidangan (Studi Komparatif Ibnu Qayyim Al Jauziyyah dan Al Shan'ani)","type":"thesis"},"uris":["http://www.mendeley.com/documents/?uuid=e999dc9b-91c8-4fb3-a09c-7abf59eb4ce2"]}],"mendeley":{"formattedCitation":"Ari Rahmat, “Kedudukan Persaksian Syahadah Al Istifadah Sebagai Alat Bukti Dalam Perkara Perdata Di Persidangan (Studi Komparatif Ibnu Qayyim Al Jauziyyah Dan Al Shan’ani).”","plainTextFormattedCitation":"Ari Rahmat, “Kedudukan Persaksian Syahadah Al Istifadah Sebagai Alat Bukti Dalam Perkara Perdata Di Persidangan (Studi Komparatif Ibnu Qayyim Al Jauziyyah Dan Al Shan’ani).”","previouslyFormattedCitation":"Ari Rahmat, “Kedudukan Persaksian Syahadah Al Istifadah Sebagai Alat Bukti Dalam Perkara Perdata Di Persidangan (Studi Komparatif Ibnu Qayyim Al Jauziyyah Dan Al Shan’ani).”"},"properties":{"noteIndex":149},"schema":"https://github.com/citation-style-language/schema/raw/master/csl-citation.json"}</w:instrText>
      </w:r>
      <w:r w:rsidRPr="00E6676E">
        <w:rPr>
          <w:rFonts w:asciiTheme="majorBidi" w:hAnsiTheme="majorBidi" w:cstheme="majorBidi"/>
          <w:sz w:val="18"/>
          <w:szCs w:val="18"/>
        </w:rPr>
        <w:fldChar w:fldCharType="separate"/>
      </w:r>
      <w:r w:rsidRPr="00E6676E">
        <w:rPr>
          <w:rFonts w:asciiTheme="majorBidi" w:hAnsiTheme="majorBidi" w:cstheme="majorBidi"/>
          <w:noProof/>
          <w:sz w:val="18"/>
          <w:szCs w:val="18"/>
        </w:rPr>
        <w:t>Ari Rahmat, “Kedudukan Persaksian Syahadah Al Istifadah Sebagai Alat Bukti Dalam Perkara Perdata Di Persidangan (Studi Komparatif Ibnu Qayyim Al Jauziyyah Dan Al Shan’ani).”</w:t>
      </w:r>
      <w:r w:rsidRPr="00E6676E">
        <w:rPr>
          <w:rFonts w:asciiTheme="majorBidi" w:hAnsiTheme="majorBidi" w:cstheme="majorBidi"/>
          <w:sz w:val="18"/>
          <w:szCs w:val="18"/>
        </w:rPr>
        <w:fldChar w:fldCharType="end"/>
      </w:r>
      <w:r>
        <w:rPr>
          <w:rFonts w:asciiTheme="majorBidi" w:hAnsiTheme="majorBidi" w:cstheme="majorBidi"/>
          <w:sz w:val="18"/>
          <w:szCs w:val="18"/>
        </w:rPr>
        <w:t>, hlm 33</w:t>
      </w:r>
    </w:p>
  </w:footnote>
  <w:footnote w:id="149">
    <w:p w14:paraId="6E527D61" w14:textId="120FAD85" w:rsidR="008D372B" w:rsidRPr="0001395B" w:rsidRDefault="008D372B" w:rsidP="00A00E91">
      <w:pPr>
        <w:pStyle w:val="FootnoteText"/>
        <w:ind w:firstLine="720"/>
        <w:jc w:val="both"/>
        <w:rPr>
          <w:rFonts w:asciiTheme="majorBidi" w:hAnsiTheme="majorBidi" w:cstheme="majorBidi"/>
          <w:sz w:val="18"/>
          <w:szCs w:val="18"/>
          <w:lang w:val="en-US"/>
        </w:rPr>
      </w:pPr>
      <w:r w:rsidRPr="0001395B">
        <w:rPr>
          <w:rStyle w:val="FootnoteReference"/>
          <w:rFonts w:asciiTheme="majorBidi" w:hAnsiTheme="majorBidi" w:cstheme="majorBidi"/>
          <w:sz w:val="18"/>
          <w:szCs w:val="18"/>
        </w:rPr>
        <w:footnoteRef/>
      </w:r>
      <w:r w:rsidRPr="0001395B">
        <w:rPr>
          <w:rFonts w:asciiTheme="majorBidi" w:hAnsiTheme="majorBidi" w:cstheme="majorBidi"/>
          <w:sz w:val="18"/>
          <w:szCs w:val="18"/>
        </w:rPr>
        <w:t xml:space="preserve"> </w:t>
      </w:r>
      <w:r w:rsidRPr="0001395B">
        <w:rPr>
          <w:rFonts w:asciiTheme="majorBidi" w:hAnsiTheme="majorBidi" w:cstheme="majorBidi"/>
          <w:sz w:val="18"/>
          <w:szCs w:val="18"/>
        </w:rPr>
        <w:fldChar w:fldCharType="begin" w:fldLock="1"/>
      </w:r>
      <w:r w:rsidR="0094546B">
        <w:rPr>
          <w:rFonts w:asciiTheme="majorBidi" w:hAnsiTheme="majorBidi" w:cstheme="majorBidi"/>
          <w:sz w:val="18"/>
          <w:szCs w:val="18"/>
        </w:rPr>
        <w:instrText>ADDIN CSL_CITATION {"citationItems":[{"id":"ITEM-1","itemData":{"author":[{"dropping-particle":"","family":"Wahbah Az-Zuhaili","given":"","non-dropping-particle":"","parse-names":false,"suffix":""}],"id":"ITEM-1","issued":{"date-parts":[["2011"]]},"number-of-pages":"540","publisher":"Gema Insani Press","publisher-place":"Jakarta","title":"Fiqih Islam Wa Adillatuhu Jilid 8","type":"book"},"uris":["http://www.mendeley.com/documents/?uuid=5904bb3d-6276-4c5b-a218-86871b0c479d"]}],"mendeley":{"formattedCitation":"Wahbah Az-Zuhaili, &lt;i&gt;Fiqih Islam Wa Adillatuhu Jilid 8&lt;/i&gt;.","plainTextFormattedCitation":"Wahbah Az-Zuhaili, Fiqih Islam Wa Adillatuhu Jilid 8.","previouslyFormattedCitation":"Wahbah Az-Zuhaili, &lt;i&gt;Fiqih Islam Wa Adillatuhu Jilid 8&lt;/i&gt;."},"properties":{"noteIndex":150},"schema":"https://github.com/citation-style-language/schema/raw/master/csl-citation.json"}</w:instrText>
      </w:r>
      <w:r w:rsidRPr="0001395B">
        <w:rPr>
          <w:rFonts w:asciiTheme="majorBidi" w:hAnsiTheme="majorBidi" w:cstheme="majorBidi"/>
          <w:sz w:val="18"/>
          <w:szCs w:val="18"/>
        </w:rPr>
        <w:fldChar w:fldCharType="separate"/>
      </w:r>
      <w:r w:rsidRPr="008419B5">
        <w:rPr>
          <w:rFonts w:asciiTheme="majorBidi" w:hAnsiTheme="majorBidi" w:cstheme="majorBidi"/>
          <w:noProof/>
          <w:sz w:val="18"/>
          <w:szCs w:val="18"/>
        </w:rPr>
        <w:t xml:space="preserve">Wahbah Az-Zuhaili, </w:t>
      </w:r>
      <w:r w:rsidRPr="008419B5">
        <w:rPr>
          <w:rFonts w:asciiTheme="majorBidi" w:hAnsiTheme="majorBidi" w:cstheme="majorBidi"/>
          <w:i/>
          <w:noProof/>
          <w:sz w:val="18"/>
          <w:szCs w:val="18"/>
        </w:rPr>
        <w:t>Fiqih Islam Wa Adillatuhu Jilid 8</w:t>
      </w:r>
      <w:r w:rsidRPr="008419B5">
        <w:rPr>
          <w:rFonts w:asciiTheme="majorBidi" w:hAnsiTheme="majorBidi" w:cstheme="majorBidi"/>
          <w:noProof/>
          <w:sz w:val="18"/>
          <w:szCs w:val="18"/>
        </w:rPr>
        <w:t>.</w:t>
      </w:r>
      <w:r w:rsidRPr="0001395B">
        <w:rPr>
          <w:rFonts w:asciiTheme="majorBidi" w:hAnsiTheme="majorBidi" w:cstheme="majorBidi"/>
          <w:sz w:val="18"/>
          <w:szCs w:val="18"/>
        </w:rPr>
        <w:fldChar w:fldCharType="end"/>
      </w:r>
      <w:r>
        <w:rPr>
          <w:rFonts w:asciiTheme="majorBidi" w:hAnsiTheme="majorBidi" w:cstheme="majorBidi"/>
          <w:sz w:val="18"/>
          <w:szCs w:val="18"/>
        </w:rPr>
        <w:t>, hlm 175</w:t>
      </w:r>
    </w:p>
  </w:footnote>
  <w:footnote w:id="150">
    <w:p w14:paraId="6DA0D810" w14:textId="664507D1" w:rsidR="008D372B" w:rsidRPr="00D50C0C" w:rsidRDefault="008D372B" w:rsidP="00A00E91">
      <w:pPr>
        <w:pStyle w:val="FootnoteText"/>
        <w:ind w:firstLine="720"/>
        <w:jc w:val="both"/>
        <w:rPr>
          <w:rFonts w:asciiTheme="majorBidi" w:hAnsiTheme="majorBidi" w:cstheme="majorBidi"/>
          <w:sz w:val="18"/>
          <w:szCs w:val="18"/>
          <w:lang w:val="en-US"/>
        </w:rPr>
      </w:pPr>
      <w:r w:rsidRPr="00B40363">
        <w:rPr>
          <w:rStyle w:val="FootnoteReference"/>
          <w:rFonts w:asciiTheme="majorBidi" w:hAnsiTheme="majorBidi" w:cstheme="majorBidi"/>
          <w:sz w:val="18"/>
          <w:szCs w:val="18"/>
        </w:rPr>
        <w:footnoteRef/>
      </w:r>
      <w:r>
        <w:rPr>
          <w:rFonts w:asciiTheme="majorBidi" w:hAnsiTheme="majorBidi" w:cstheme="majorBidi"/>
          <w:sz w:val="18"/>
          <w:szCs w:val="18"/>
        </w:rPr>
        <w:t>Lihat Pasal 182,</w:t>
      </w:r>
      <w:r w:rsidRPr="00B40363">
        <w:rPr>
          <w:rFonts w:asciiTheme="majorBidi" w:hAnsiTheme="majorBidi" w:cstheme="majorBidi"/>
          <w:sz w:val="18"/>
          <w:szCs w:val="18"/>
        </w:rPr>
        <w:t xml:space="preserve"> </w:t>
      </w:r>
      <w:r w:rsidRPr="00D50C0C">
        <w:rPr>
          <w:rFonts w:asciiTheme="majorBidi" w:hAnsiTheme="majorBidi" w:cstheme="majorBidi"/>
          <w:sz w:val="18"/>
          <w:szCs w:val="18"/>
        </w:rPr>
        <w:fldChar w:fldCharType="begin" w:fldLock="1"/>
      </w:r>
      <w:r w:rsidR="0094546B">
        <w:rPr>
          <w:rFonts w:asciiTheme="majorBidi" w:hAnsiTheme="majorBidi" w:cstheme="majorBidi"/>
          <w:sz w:val="18"/>
          <w:szCs w:val="18"/>
        </w:rPr>
        <w:instrText>ADDIN CSL_CITATION {"citationItems":[{"id":"ITEM-1","itemData":{"author":[{"dropping-particle":"","family":"Gubernur Provinsi Aceh","given":"","non-dropping-particle":"","parse-names":false,"suffix":""}],"id":"ITEM-1","issued":{"date-parts":[["2013"]]},"page":"112","publisher-place":"Indonesia","title":"Qanun Aceh Nomor 7 tahun 2013 Tentang Hukum Acara Jinayat","type":"legislation"},"uris":["http://www.mendeley.com/documents/?uuid=dcdd0077-68a6-4123-980f-f0586d8c5b75"]}],"mendeley":{"formattedCitation":"Gubernur Provinsi Aceh, &lt;i&gt;Qanun Aceh Nomor 7 Tahun 2013 Tentang Hukum Acara Jinayat&lt;/i&gt;.","plainTextFormattedCitation":"Gubernur Provinsi Aceh, Qanun Aceh Nomor 7 Tahun 2013 Tentang Hukum Acara Jinayat.","previouslyFormattedCitation":"Gubernur Provinsi Aceh, &lt;i&gt;Qanun Aceh Nomor 7 Tahun 2013 Tentang Hukum Acara Jinayat&lt;/i&gt;."},"properties":{"noteIndex":151},"schema":"https://github.com/citation-style-language/schema/raw/master/csl-citation.json"}</w:instrText>
      </w:r>
      <w:r w:rsidRPr="00D50C0C">
        <w:rPr>
          <w:rFonts w:asciiTheme="majorBidi" w:hAnsiTheme="majorBidi" w:cstheme="majorBidi"/>
          <w:sz w:val="18"/>
          <w:szCs w:val="18"/>
        </w:rPr>
        <w:fldChar w:fldCharType="separate"/>
      </w:r>
      <w:r w:rsidRPr="00BC541D">
        <w:rPr>
          <w:rFonts w:asciiTheme="majorBidi" w:hAnsiTheme="majorBidi" w:cstheme="majorBidi"/>
          <w:noProof/>
          <w:sz w:val="18"/>
          <w:szCs w:val="18"/>
        </w:rPr>
        <w:t xml:space="preserve">Gubernur Provinsi Aceh, </w:t>
      </w:r>
      <w:r w:rsidRPr="00BC541D">
        <w:rPr>
          <w:rFonts w:asciiTheme="majorBidi" w:hAnsiTheme="majorBidi" w:cstheme="majorBidi"/>
          <w:i/>
          <w:noProof/>
          <w:sz w:val="18"/>
          <w:szCs w:val="18"/>
        </w:rPr>
        <w:t>Qanun Aceh Nomor 7 Tahun 2013 Tentang Hukum Acara Jinayat</w:t>
      </w:r>
      <w:r w:rsidRPr="00BC541D">
        <w:rPr>
          <w:rFonts w:asciiTheme="majorBidi" w:hAnsiTheme="majorBidi" w:cstheme="majorBidi"/>
          <w:noProof/>
          <w:sz w:val="18"/>
          <w:szCs w:val="18"/>
        </w:rPr>
        <w:t>.</w:t>
      </w:r>
      <w:r w:rsidRPr="00D50C0C">
        <w:rPr>
          <w:rFonts w:asciiTheme="majorBidi" w:hAnsiTheme="majorBidi" w:cstheme="majorBidi"/>
          <w:sz w:val="18"/>
          <w:szCs w:val="18"/>
        </w:rPr>
        <w:fldChar w:fldCharType="end"/>
      </w:r>
    </w:p>
  </w:footnote>
  <w:footnote w:id="151">
    <w:p w14:paraId="4E8DD852" w14:textId="3B9E7B51" w:rsidR="008D372B" w:rsidRPr="007C45D7" w:rsidRDefault="008D372B" w:rsidP="00A00E91">
      <w:pPr>
        <w:pStyle w:val="FootnoteText"/>
        <w:ind w:left="720"/>
        <w:jc w:val="both"/>
        <w:rPr>
          <w:rFonts w:asciiTheme="majorBidi" w:hAnsiTheme="majorBidi" w:cstheme="majorBidi"/>
          <w:sz w:val="18"/>
          <w:szCs w:val="18"/>
          <w:lang w:val="en-US"/>
        </w:rPr>
      </w:pPr>
      <w:r w:rsidRPr="007C45D7">
        <w:rPr>
          <w:rStyle w:val="FootnoteReference"/>
          <w:rFonts w:asciiTheme="majorBidi" w:hAnsiTheme="majorBidi" w:cstheme="majorBidi"/>
          <w:sz w:val="18"/>
          <w:szCs w:val="18"/>
        </w:rPr>
        <w:footnoteRef/>
      </w:r>
      <w:r w:rsidRPr="007C45D7">
        <w:rPr>
          <w:rFonts w:asciiTheme="majorBidi" w:hAnsiTheme="majorBidi" w:cstheme="majorBidi"/>
          <w:sz w:val="18"/>
          <w:szCs w:val="18"/>
        </w:rPr>
        <w:t xml:space="preserve"> </w:t>
      </w:r>
      <w:r w:rsidRPr="007C45D7">
        <w:rPr>
          <w:rFonts w:asciiTheme="majorBidi" w:hAnsiTheme="majorBidi" w:cstheme="majorBidi"/>
          <w:sz w:val="18"/>
          <w:szCs w:val="18"/>
        </w:rPr>
        <w:fldChar w:fldCharType="begin" w:fldLock="1"/>
      </w:r>
      <w:r w:rsidR="0094546B">
        <w:rPr>
          <w:rFonts w:asciiTheme="majorBidi" w:hAnsiTheme="majorBidi" w:cstheme="majorBidi"/>
          <w:sz w:val="18"/>
          <w:szCs w:val="18"/>
        </w:rPr>
        <w:instrText>ADDIN CSL_CITATION {"citationItems":[{"id":"ITEM-1","itemData":{"author":[{"dropping-particle":"","family":"Wahbah Az-Zuhaili","given":"","non-dropping-particle":"","parse-names":false,"suffix":""}],"id":"ITEM-1","issued":{"date-parts":[["2011"]]},"number-of-pages":"540","publisher":"Gema Insani Press","publisher-place":"Jakarta","title":"Fiqih Islam Wa Adillatuhu Jilid 8","type":"book"},"uris":["http://www.mendeley.com/documents/?uuid=5904bb3d-6276-4c5b-a218-86871b0c479d"]}],"mendeley":{"formattedCitation":"Wahbah Az-Zuhaili, &lt;i&gt;Fiqih Islam Wa Adillatuhu Jilid 8&lt;/i&gt;.","plainTextFormattedCitation":"Wahbah Az-Zuhaili, Fiqih Islam Wa Adillatuhu Jilid 8.","previouslyFormattedCitation":"Wahbah Az-Zuhaili, &lt;i&gt;Fiqih Islam Wa Adillatuhu Jilid 8&lt;/i&gt;."},"properties":{"noteIndex":152},"schema":"https://github.com/citation-style-language/schema/raw/master/csl-citation.json"}</w:instrText>
      </w:r>
      <w:r w:rsidRPr="007C45D7">
        <w:rPr>
          <w:rFonts w:asciiTheme="majorBidi" w:hAnsiTheme="majorBidi" w:cstheme="majorBidi"/>
          <w:sz w:val="18"/>
          <w:szCs w:val="18"/>
        </w:rPr>
        <w:fldChar w:fldCharType="separate"/>
      </w:r>
      <w:r w:rsidRPr="007C45D7">
        <w:rPr>
          <w:rFonts w:asciiTheme="majorBidi" w:hAnsiTheme="majorBidi" w:cstheme="majorBidi"/>
          <w:noProof/>
          <w:sz w:val="18"/>
          <w:szCs w:val="18"/>
        </w:rPr>
        <w:t xml:space="preserve">Wahbah Az-Zuhaili, </w:t>
      </w:r>
      <w:r w:rsidRPr="007C45D7">
        <w:rPr>
          <w:rFonts w:asciiTheme="majorBidi" w:hAnsiTheme="majorBidi" w:cstheme="majorBidi"/>
          <w:i/>
          <w:noProof/>
          <w:sz w:val="18"/>
          <w:szCs w:val="18"/>
        </w:rPr>
        <w:t>Fiqih Islam Wa Adillatuhu Jilid 8</w:t>
      </w:r>
      <w:r w:rsidRPr="007C45D7">
        <w:rPr>
          <w:rFonts w:asciiTheme="majorBidi" w:hAnsiTheme="majorBidi" w:cstheme="majorBidi"/>
          <w:noProof/>
          <w:sz w:val="18"/>
          <w:szCs w:val="18"/>
        </w:rPr>
        <w:t>.</w:t>
      </w:r>
      <w:r w:rsidRPr="007C45D7">
        <w:rPr>
          <w:rFonts w:asciiTheme="majorBidi" w:hAnsiTheme="majorBidi" w:cstheme="majorBidi"/>
          <w:sz w:val="18"/>
          <w:szCs w:val="18"/>
        </w:rPr>
        <w:fldChar w:fldCharType="end"/>
      </w:r>
      <w:r w:rsidRPr="007C45D7">
        <w:rPr>
          <w:rFonts w:asciiTheme="majorBidi" w:hAnsiTheme="majorBidi" w:cstheme="majorBidi"/>
          <w:sz w:val="18"/>
          <w:szCs w:val="18"/>
        </w:rPr>
        <w:t>, hlm 644</w:t>
      </w:r>
    </w:p>
  </w:footnote>
  <w:footnote w:id="152">
    <w:p w14:paraId="32B09B08" w14:textId="389DF670" w:rsidR="008D372B" w:rsidRPr="00910A7E" w:rsidRDefault="008D372B" w:rsidP="00A00E91">
      <w:pPr>
        <w:pStyle w:val="FootnoteText"/>
        <w:ind w:left="720"/>
        <w:jc w:val="both"/>
        <w:rPr>
          <w:rFonts w:asciiTheme="majorBidi" w:hAnsiTheme="majorBidi" w:cstheme="majorBidi"/>
          <w:sz w:val="18"/>
          <w:szCs w:val="18"/>
          <w:lang w:val="en-US"/>
        </w:rPr>
      </w:pPr>
      <w:r w:rsidRPr="00910A7E">
        <w:rPr>
          <w:rStyle w:val="FootnoteReference"/>
          <w:rFonts w:asciiTheme="majorBidi" w:hAnsiTheme="majorBidi" w:cstheme="majorBidi"/>
          <w:sz w:val="18"/>
          <w:szCs w:val="18"/>
        </w:rPr>
        <w:footnoteRef/>
      </w:r>
      <w:r w:rsidRPr="00910A7E">
        <w:rPr>
          <w:rFonts w:asciiTheme="majorBidi" w:hAnsiTheme="majorBidi" w:cstheme="majorBidi"/>
          <w:sz w:val="18"/>
          <w:szCs w:val="18"/>
        </w:rPr>
        <w:t xml:space="preserve"> Al </w:t>
      </w:r>
      <w:r>
        <w:rPr>
          <w:rFonts w:asciiTheme="majorBidi" w:hAnsiTheme="majorBidi" w:cstheme="majorBidi"/>
          <w:sz w:val="18"/>
          <w:szCs w:val="18"/>
        </w:rPr>
        <w:t>F</w:t>
      </w:r>
      <w:r w:rsidRPr="00910A7E">
        <w:rPr>
          <w:rFonts w:asciiTheme="majorBidi" w:hAnsiTheme="majorBidi" w:cstheme="majorBidi"/>
          <w:sz w:val="18"/>
          <w:szCs w:val="18"/>
        </w:rPr>
        <w:t xml:space="preserve">aruq dalam </w:t>
      </w:r>
      <w:r w:rsidRPr="00910A7E">
        <w:rPr>
          <w:rFonts w:asciiTheme="majorBidi" w:hAnsiTheme="majorBidi" w:cstheme="majorBidi"/>
          <w:sz w:val="18"/>
          <w:szCs w:val="18"/>
        </w:rPr>
        <w:fldChar w:fldCharType="begin" w:fldLock="1"/>
      </w:r>
      <w:r w:rsidR="0094546B">
        <w:rPr>
          <w:rFonts w:asciiTheme="majorBidi" w:hAnsiTheme="majorBidi" w:cstheme="majorBidi"/>
          <w:sz w:val="18"/>
          <w:szCs w:val="18"/>
        </w:rPr>
        <w:instrText>ADDIN CSL_CITATION {"citationItems":[{"id":"ITEM-1","itemData":{"author":[{"dropping-particle":"","family":"Dr. Rohmadi","given":"","non-dropping-particle":"","parse-names":false,"suffix":""}],"edition":"cet 1","editor":[{"dropping-particle":"","family":"Nazar Nurdin","given":"","non-dropping-particle":"","parse-names":false,"suffix":""}],"id":"ITEM-1","issued":{"date-parts":[["2021"]]},"number-of-pages":"196","publisher":"CV. Lawwana","publisher-place":"Semarang","title":"Hukum acara Pidana Islam","type":"book"},"uris":["http://www.mendeley.com/documents/?uuid=da804e95-c012-4b54-8638-32341dd4e0cf"]}],"mendeley":{"formattedCitation":"Dr. Rohmadi, &lt;i&gt;Hukum Acara Pidana Islam&lt;/i&gt;.","plainTextFormattedCitation":"Dr. Rohmadi, Hukum Acara Pidana Islam.","previouslyFormattedCitation":"Dr. Rohmadi, &lt;i&gt;Hukum Acara Pidana Islam&lt;/i&gt;."},"properties":{"noteIndex":153},"schema":"https://github.com/citation-style-language/schema/raw/master/csl-citation.json"}</w:instrText>
      </w:r>
      <w:r w:rsidRPr="00910A7E">
        <w:rPr>
          <w:rFonts w:asciiTheme="majorBidi" w:hAnsiTheme="majorBidi" w:cstheme="majorBidi"/>
          <w:sz w:val="18"/>
          <w:szCs w:val="18"/>
        </w:rPr>
        <w:fldChar w:fldCharType="separate"/>
      </w:r>
      <w:r w:rsidRPr="00910A7E">
        <w:rPr>
          <w:rFonts w:asciiTheme="majorBidi" w:hAnsiTheme="majorBidi" w:cstheme="majorBidi"/>
          <w:noProof/>
          <w:sz w:val="18"/>
          <w:szCs w:val="18"/>
        </w:rPr>
        <w:t xml:space="preserve">Dr. Rohmadi, </w:t>
      </w:r>
      <w:r w:rsidRPr="00910A7E">
        <w:rPr>
          <w:rFonts w:asciiTheme="majorBidi" w:hAnsiTheme="majorBidi" w:cstheme="majorBidi"/>
          <w:i/>
          <w:noProof/>
          <w:sz w:val="18"/>
          <w:szCs w:val="18"/>
        </w:rPr>
        <w:t>Hukum Acara Pidana Islam</w:t>
      </w:r>
      <w:r w:rsidRPr="00910A7E">
        <w:rPr>
          <w:rFonts w:asciiTheme="majorBidi" w:hAnsiTheme="majorBidi" w:cstheme="majorBidi"/>
          <w:noProof/>
          <w:sz w:val="18"/>
          <w:szCs w:val="18"/>
        </w:rPr>
        <w:t>.</w:t>
      </w:r>
      <w:r w:rsidRPr="00910A7E">
        <w:rPr>
          <w:rFonts w:asciiTheme="majorBidi" w:hAnsiTheme="majorBidi" w:cstheme="majorBidi"/>
          <w:sz w:val="18"/>
          <w:szCs w:val="18"/>
        </w:rPr>
        <w:fldChar w:fldCharType="end"/>
      </w:r>
      <w:r>
        <w:rPr>
          <w:rFonts w:asciiTheme="majorBidi" w:hAnsiTheme="majorBidi" w:cstheme="majorBidi"/>
          <w:sz w:val="18"/>
          <w:szCs w:val="18"/>
        </w:rPr>
        <w:t>, hlm 108</w:t>
      </w:r>
    </w:p>
  </w:footnote>
  <w:footnote w:id="153">
    <w:p w14:paraId="3C384232" w14:textId="51B8BCA5" w:rsidR="008D372B" w:rsidRPr="00D50C0C" w:rsidRDefault="008D372B" w:rsidP="00A00E91">
      <w:pPr>
        <w:pStyle w:val="FootnoteText"/>
        <w:ind w:firstLine="720"/>
        <w:jc w:val="both"/>
        <w:rPr>
          <w:lang w:val="en-US"/>
        </w:rPr>
      </w:pPr>
      <w:r w:rsidRPr="00D50C0C">
        <w:rPr>
          <w:rStyle w:val="FootnoteReference"/>
          <w:rFonts w:asciiTheme="majorBidi" w:hAnsiTheme="majorBidi" w:cstheme="majorBidi"/>
          <w:sz w:val="18"/>
          <w:szCs w:val="18"/>
        </w:rPr>
        <w:footnoteRef/>
      </w:r>
      <w:r w:rsidRPr="00D50C0C">
        <w:rPr>
          <w:rFonts w:asciiTheme="majorBidi" w:hAnsiTheme="majorBidi" w:cstheme="majorBidi"/>
          <w:sz w:val="18"/>
          <w:szCs w:val="18"/>
        </w:rPr>
        <w:t xml:space="preserve"> </w:t>
      </w:r>
      <w:r w:rsidRPr="008419B5">
        <w:rPr>
          <w:rFonts w:asciiTheme="majorBidi" w:hAnsiTheme="majorBidi" w:cstheme="majorBidi"/>
          <w:noProof/>
          <w:sz w:val="18"/>
          <w:szCs w:val="18"/>
        </w:rPr>
        <w:t>Wahbah Az-Zuhaili</w:t>
      </w:r>
      <w:r w:rsidRPr="00D50C0C">
        <w:rPr>
          <w:rFonts w:asciiTheme="majorBidi" w:hAnsiTheme="majorBidi" w:cstheme="majorBidi"/>
          <w:sz w:val="18"/>
          <w:szCs w:val="18"/>
        </w:rPr>
        <w:t xml:space="preserve"> </w:t>
      </w:r>
      <w:r>
        <w:rPr>
          <w:rFonts w:asciiTheme="majorBidi" w:hAnsiTheme="majorBidi" w:cstheme="majorBidi"/>
          <w:sz w:val="18"/>
          <w:szCs w:val="18"/>
        </w:rPr>
        <w:t xml:space="preserve">dalam </w:t>
      </w:r>
      <w:r w:rsidRPr="00D50C0C">
        <w:rPr>
          <w:rFonts w:asciiTheme="majorBidi" w:hAnsiTheme="majorBidi" w:cstheme="majorBidi"/>
          <w:sz w:val="18"/>
          <w:szCs w:val="18"/>
        </w:rPr>
        <w:fldChar w:fldCharType="begin" w:fldLock="1"/>
      </w:r>
      <w:r w:rsidR="0094546B">
        <w:rPr>
          <w:rFonts w:asciiTheme="majorBidi" w:hAnsiTheme="majorBidi" w:cstheme="majorBidi"/>
          <w:sz w:val="18"/>
          <w:szCs w:val="18"/>
        </w:rPr>
        <w:instrText>ADDIN CSL_CITATION {"citationItems":[{"id":"ITEM-1","itemData":{"author":[{"dropping-particle":"","family":"Dr. Rohmadi","given":"","non-dropping-particle":"","parse-names":false,"suffix":""}],"edition":"cet 1","editor":[{"dropping-particle":"","family":"Nazar Nurdin","given":"","non-dropping-particle":"","parse-names":false,"suffix":""}],"id":"ITEM-1","issued":{"date-parts":[["2021"]]},"number-of-pages":"196","publisher":"CV. Lawwana","publisher-place":"Semarang","title":"Hukum acara Pidana Islam","type":"book"},"uris":["http://www.mendeley.com/documents/?uuid=da804e95-c012-4b54-8638-32341dd4e0cf"]}],"mendeley":{"formattedCitation":"Ibid.","plainTextFormattedCitation":"Ibid.","previouslyFormattedCitation":"Ibid."},"properties":{"noteIndex":154},"schema":"https://github.com/citation-style-language/schema/raw/master/csl-citation.json"}</w:instrText>
      </w:r>
      <w:r w:rsidRPr="00D50C0C">
        <w:rPr>
          <w:rFonts w:asciiTheme="majorBidi" w:hAnsiTheme="majorBidi" w:cstheme="majorBidi"/>
          <w:sz w:val="18"/>
          <w:szCs w:val="18"/>
        </w:rPr>
        <w:fldChar w:fldCharType="separate"/>
      </w:r>
      <w:r w:rsidRPr="00910A7E">
        <w:rPr>
          <w:rFonts w:asciiTheme="majorBidi" w:hAnsiTheme="majorBidi" w:cstheme="majorBidi"/>
          <w:noProof/>
          <w:sz w:val="18"/>
          <w:szCs w:val="18"/>
        </w:rPr>
        <w:t>Ibid.</w:t>
      </w:r>
      <w:r w:rsidRPr="00D50C0C">
        <w:rPr>
          <w:rFonts w:asciiTheme="majorBidi" w:hAnsiTheme="majorBidi" w:cstheme="majorBidi"/>
          <w:sz w:val="18"/>
          <w:szCs w:val="18"/>
        </w:rPr>
        <w:fldChar w:fldCharType="end"/>
      </w:r>
      <w:r>
        <w:rPr>
          <w:rFonts w:asciiTheme="majorBidi" w:hAnsiTheme="majorBidi" w:cstheme="majorBidi"/>
          <w:sz w:val="18"/>
          <w:szCs w:val="18"/>
        </w:rPr>
        <w:t>, hlm 109</w:t>
      </w:r>
    </w:p>
  </w:footnote>
  <w:footnote w:id="154">
    <w:p w14:paraId="55504C28" w14:textId="04020486" w:rsidR="008D372B" w:rsidRPr="00A11505" w:rsidRDefault="008D372B" w:rsidP="00A00E91">
      <w:pPr>
        <w:pStyle w:val="FootnoteText"/>
        <w:ind w:left="720"/>
        <w:jc w:val="both"/>
        <w:rPr>
          <w:rFonts w:asciiTheme="majorBidi" w:hAnsiTheme="majorBidi" w:cstheme="majorBidi"/>
          <w:sz w:val="18"/>
          <w:szCs w:val="18"/>
          <w:lang w:val="en-US"/>
        </w:rPr>
      </w:pPr>
      <w:r w:rsidRPr="00A11505">
        <w:rPr>
          <w:rStyle w:val="FootnoteReference"/>
          <w:rFonts w:asciiTheme="majorBidi" w:hAnsiTheme="majorBidi" w:cstheme="majorBidi"/>
          <w:sz w:val="18"/>
          <w:szCs w:val="18"/>
        </w:rPr>
        <w:footnoteRef/>
      </w:r>
      <w:r w:rsidRPr="00A11505">
        <w:rPr>
          <w:rFonts w:asciiTheme="majorBidi" w:hAnsiTheme="majorBidi" w:cstheme="majorBidi"/>
          <w:sz w:val="18"/>
          <w:szCs w:val="18"/>
        </w:rPr>
        <w:t xml:space="preserve"> </w:t>
      </w:r>
      <w:r w:rsidRPr="00A11505">
        <w:rPr>
          <w:rFonts w:asciiTheme="majorBidi" w:hAnsiTheme="majorBidi" w:cstheme="majorBidi"/>
          <w:sz w:val="18"/>
          <w:szCs w:val="18"/>
        </w:rPr>
        <w:fldChar w:fldCharType="begin" w:fldLock="1"/>
      </w:r>
      <w:r w:rsidR="0094546B">
        <w:rPr>
          <w:rFonts w:asciiTheme="majorBidi" w:hAnsiTheme="majorBidi" w:cstheme="majorBidi"/>
          <w:sz w:val="18"/>
          <w:szCs w:val="18"/>
        </w:rPr>
        <w:instrText>ADDIN CSL_CITATION {"citationItems":[{"id":"ITEM-1","itemData":{"author":[{"dropping-particle":"","family":"Ibnu Qayyim Al Jauriyyah","given":"","non-dropping-particle":"","parse-names":false,"suffix":""}],"edition":"Cet 1","id":"ITEM-1","issued":{"date-parts":[["2006"]]},"number-of-pages":"463","publisher":"Pustaka Pelajar","publisher-place":"Yogyakarta","title":"Hukum Acara Peradilan Islam","type":"book"},"uris":["http://www.mendeley.com/documents/?uuid=280fbc5d-9656-4b3a-94e6-b854a2cd8a80"]}],"mendeley":{"formattedCitation":"Ibnu Qayyim Al Jauriyyah, &lt;i&gt;Hukum Acara Peradilan Islam&lt;/i&gt;.","plainTextFormattedCitation":"Ibnu Qayyim Al Jauriyyah, Hukum Acara Peradilan Islam.","previouslyFormattedCitation":"Ibnu Qayyim Al Jauriyyah, &lt;i&gt;Hukum Acara Peradilan Islam&lt;/i&gt;."},"properties":{"noteIndex":155},"schema":"https://github.com/citation-style-language/schema/raw/master/csl-citation.json"}</w:instrText>
      </w:r>
      <w:r w:rsidRPr="00A11505">
        <w:rPr>
          <w:rFonts w:asciiTheme="majorBidi" w:hAnsiTheme="majorBidi" w:cstheme="majorBidi"/>
          <w:sz w:val="18"/>
          <w:szCs w:val="18"/>
        </w:rPr>
        <w:fldChar w:fldCharType="separate"/>
      </w:r>
      <w:r w:rsidRPr="00A11505">
        <w:rPr>
          <w:rFonts w:asciiTheme="majorBidi" w:hAnsiTheme="majorBidi" w:cstheme="majorBidi"/>
          <w:noProof/>
          <w:sz w:val="18"/>
          <w:szCs w:val="18"/>
        </w:rPr>
        <w:t>Ibnu Qayyim Al Jau</w:t>
      </w:r>
      <w:r w:rsidR="008752B4">
        <w:rPr>
          <w:rFonts w:asciiTheme="majorBidi" w:hAnsiTheme="majorBidi" w:cstheme="majorBidi"/>
          <w:noProof/>
          <w:sz w:val="18"/>
          <w:szCs w:val="18"/>
        </w:rPr>
        <w:t>z</w:t>
      </w:r>
      <w:r w:rsidRPr="00A11505">
        <w:rPr>
          <w:rFonts w:asciiTheme="majorBidi" w:hAnsiTheme="majorBidi" w:cstheme="majorBidi"/>
          <w:noProof/>
          <w:sz w:val="18"/>
          <w:szCs w:val="18"/>
        </w:rPr>
        <w:t xml:space="preserve">iyyah, </w:t>
      </w:r>
      <w:r w:rsidRPr="00A11505">
        <w:rPr>
          <w:rFonts w:asciiTheme="majorBidi" w:hAnsiTheme="majorBidi" w:cstheme="majorBidi"/>
          <w:i/>
          <w:noProof/>
          <w:sz w:val="18"/>
          <w:szCs w:val="18"/>
        </w:rPr>
        <w:t>Hukum Acara Peradilan Islam</w:t>
      </w:r>
      <w:r w:rsidRPr="00A11505">
        <w:rPr>
          <w:rFonts w:asciiTheme="majorBidi" w:hAnsiTheme="majorBidi" w:cstheme="majorBidi"/>
          <w:noProof/>
          <w:sz w:val="18"/>
          <w:szCs w:val="18"/>
        </w:rPr>
        <w:t>.</w:t>
      </w:r>
      <w:r w:rsidRPr="00A11505">
        <w:rPr>
          <w:rFonts w:asciiTheme="majorBidi" w:hAnsiTheme="majorBidi" w:cstheme="majorBidi"/>
          <w:sz w:val="18"/>
          <w:szCs w:val="18"/>
        </w:rPr>
        <w:fldChar w:fldCharType="end"/>
      </w:r>
      <w:r w:rsidRPr="00A11505">
        <w:rPr>
          <w:rFonts w:asciiTheme="majorBidi" w:hAnsiTheme="majorBidi" w:cstheme="majorBidi"/>
          <w:sz w:val="18"/>
          <w:szCs w:val="18"/>
        </w:rPr>
        <w:t>, hlm 345</w:t>
      </w:r>
    </w:p>
  </w:footnote>
  <w:footnote w:id="155">
    <w:p w14:paraId="04868C20" w14:textId="032C9EF8" w:rsidR="008D372B" w:rsidRPr="00022B70" w:rsidRDefault="008D372B" w:rsidP="00A00E91">
      <w:pPr>
        <w:pStyle w:val="FootnoteText"/>
        <w:ind w:firstLine="720"/>
        <w:jc w:val="both"/>
        <w:rPr>
          <w:rFonts w:asciiTheme="majorBidi" w:hAnsiTheme="majorBidi" w:cstheme="majorBidi"/>
          <w:sz w:val="18"/>
          <w:szCs w:val="18"/>
          <w:lang w:val="en-US"/>
        </w:rPr>
      </w:pPr>
      <w:r w:rsidRPr="00022B70">
        <w:rPr>
          <w:rStyle w:val="FootnoteReference"/>
          <w:rFonts w:asciiTheme="majorBidi" w:hAnsiTheme="majorBidi" w:cstheme="majorBidi"/>
          <w:sz w:val="18"/>
          <w:szCs w:val="18"/>
        </w:rPr>
        <w:footnoteRef/>
      </w:r>
      <w:r w:rsidRPr="00022B70">
        <w:rPr>
          <w:rFonts w:asciiTheme="majorBidi" w:hAnsiTheme="majorBidi" w:cstheme="majorBidi"/>
          <w:sz w:val="18"/>
          <w:szCs w:val="18"/>
        </w:rPr>
        <w:t xml:space="preserve"> Ke</w:t>
      </w:r>
      <w:r>
        <w:rPr>
          <w:rFonts w:asciiTheme="majorBidi" w:hAnsiTheme="majorBidi" w:cstheme="majorBidi"/>
          <w:sz w:val="18"/>
          <w:szCs w:val="18"/>
        </w:rPr>
        <w:t>terangan</w:t>
      </w:r>
      <w:r w:rsidRPr="00022B70">
        <w:rPr>
          <w:rFonts w:asciiTheme="majorBidi" w:hAnsiTheme="majorBidi" w:cstheme="majorBidi"/>
          <w:sz w:val="18"/>
          <w:szCs w:val="18"/>
        </w:rPr>
        <w:t xml:space="preserve"> </w:t>
      </w:r>
      <w:r>
        <w:rPr>
          <w:rFonts w:asciiTheme="majorBidi" w:hAnsiTheme="majorBidi" w:cstheme="majorBidi"/>
          <w:sz w:val="18"/>
          <w:szCs w:val="18"/>
        </w:rPr>
        <w:t>I</w:t>
      </w:r>
      <w:r w:rsidRPr="00022B70">
        <w:rPr>
          <w:rFonts w:asciiTheme="majorBidi" w:hAnsiTheme="majorBidi" w:cstheme="majorBidi"/>
          <w:sz w:val="18"/>
          <w:szCs w:val="18"/>
        </w:rPr>
        <w:t xml:space="preserve">bu Itawari binti Munawar dalam </w:t>
      </w:r>
      <w:r w:rsidRPr="00022B70">
        <w:rPr>
          <w:rFonts w:asciiTheme="majorBidi" w:hAnsiTheme="majorBidi" w:cstheme="majorBidi"/>
          <w:sz w:val="18"/>
          <w:szCs w:val="18"/>
        </w:rPr>
        <w:fldChar w:fldCharType="begin" w:fldLock="1"/>
      </w:r>
      <w:r w:rsidR="0094546B">
        <w:rPr>
          <w:rFonts w:asciiTheme="majorBidi" w:hAnsiTheme="majorBidi" w:cstheme="majorBidi"/>
          <w:sz w:val="18"/>
          <w:szCs w:val="18"/>
        </w:rPr>
        <w:instrText>ADDIN CSL_CITATION {"citationItems":[{"id":"ITEM-1","itemData":{"author":[{"dropping-particle":"","family":"Direktori Putusan Mahkamah Agung Republik Indonesia","given":"","non-dropping-particle":"","parse-names":false,"suffix":""}],"id":"ITEM-1","issued":{"date-parts":[["2023"]]},"page":"42","publisher-place":"Indonesia","title":"Putusan Perkara Nomor 9/JN/2023/MS.Tkn","type":"legislation"},"uris":["http://www.mendeley.com/documents/?uuid=6c2eac34-1cee-46f1-a82c-34befe649e8a"]}],"mendeley":{"formattedCitation":"Direktori Putusan Mahkamah Agung Republik Indonesia, &lt;i&gt;Putusan Perkara Nomor 9/JN/2023/MS.Tkn&lt;/i&gt;.","plainTextFormattedCitation":"Direktori Putusan Mahkamah Agung Republik Indonesia, Putusan Perkara Nomor 9/JN/2023/MS.Tkn.","previouslyFormattedCitation":"Direktori Putusan Mahkamah Agung Republik Indonesia, &lt;i&gt;Putusan Perkara Nomor 9/JN/2023/MS.Tkn&lt;/i&gt;."},"properties":{"noteIndex":156},"schema":"https://github.com/citation-style-language/schema/raw/master/csl-citation.json"}</w:instrText>
      </w:r>
      <w:r w:rsidRPr="00022B70">
        <w:rPr>
          <w:rFonts w:asciiTheme="majorBidi" w:hAnsiTheme="majorBidi" w:cstheme="majorBidi"/>
          <w:sz w:val="18"/>
          <w:szCs w:val="18"/>
        </w:rPr>
        <w:fldChar w:fldCharType="separate"/>
      </w:r>
      <w:r w:rsidRPr="00485BD1">
        <w:rPr>
          <w:rFonts w:asciiTheme="majorBidi" w:hAnsiTheme="majorBidi" w:cstheme="majorBidi"/>
          <w:noProof/>
          <w:sz w:val="18"/>
          <w:szCs w:val="18"/>
        </w:rPr>
        <w:t xml:space="preserve">Direktori Putusan Mahkamah Agung Republik Indonesia, </w:t>
      </w:r>
      <w:r w:rsidRPr="00485BD1">
        <w:rPr>
          <w:rFonts w:asciiTheme="majorBidi" w:hAnsiTheme="majorBidi" w:cstheme="majorBidi"/>
          <w:i/>
          <w:noProof/>
          <w:sz w:val="18"/>
          <w:szCs w:val="18"/>
        </w:rPr>
        <w:t>Putusan Perkara Nomor 9/JN/2023/MS.Tkn</w:t>
      </w:r>
      <w:r w:rsidRPr="00485BD1">
        <w:rPr>
          <w:rFonts w:asciiTheme="majorBidi" w:hAnsiTheme="majorBidi" w:cstheme="majorBidi"/>
          <w:noProof/>
          <w:sz w:val="18"/>
          <w:szCs w:val="18"/>
        </w:rPr>
        <w:t>.</w:t>
      </w:r>
      <w:r w:rsidRPr="00022B70">
        <w:rPr>
          <w:rFonts w:asciiTheme="majorBidi" w:hAnsiTheme="majorBidi" w:cstheme="majorBidi"/>
          <w:sz w:val="18"/>
          <w:szCs w:val="18"/>
        </w:rPr>
        <w:fldChar w:fldCharType="end"/>
      </w:r>
    </w:p>
  </w:footnote>
  <w:footnote w:id="156">
    <w:p w14:paraId="38BA6930" w14:textId="5CD55C5B" w:rsidR="008D372B" w:rsidRPr="004B16DC" w:rsidRDefault="008D372B" w:rsidP="00A00E91">
      <w:pPr>
        <w:pStyle w:val="FootnoteText"/>
        <w:ind w:firstLine="720"/>
        <w:jc w:val="both"/>
        <w:rPr>
          <w:rFonts w:asciiTheme="majorBidi" w:hAnsiTheme="majorBidi" w:cstheme="majorBidi"/>
          <w:sz w:val="18"/>
          <w:szCs w:val="18"/>
          <w:lang w:val="en-US"/>
        </w:rPr>
      </w:pPr>
      <w:r w:rsidRPr="004B16DC">
        <w:rPr>
          <w:rStyle w:val="FootnoteReference"/>
          <w:rFonts w:asciiTheme="majorBidi" w:hAnsiTheme="majorBidi" w:cstheme="majorBidi"/>
          <w:sz w:val="18"/>
          <w:szCs w:val="18"/>
        </w:rPr>
        <w:footnoteRef/>
      </w:r>
      <w:r w:rsidRPr="004B16DC">
        <w:rPr>
          <w:rFonts w:asciiTheme="majorBidi" w:hAnsiTheme="majorBidi" w:cstheme="majorBidi"/>
          <w:sz w:val="18"/>
          <w:szCs w:val="18"/>
        </w:rPr>
        <w:t xml:space="preserve"> Abul Wafa Ibrahim Ibn al-Imam Syamsuddin Abu Abdillah Ibn Farhun al-Ya’mari al-Maliki dalam </w:t>
      </w:r>
      <w:r w:rsidRPr="004B16DC">
        <w:rPr>
          <w:rFonts w:asciiTheme="majorBidi" w:hAnsiTheme="majorBidi" w:cstheme="majorBidi"/>
          <w:sz w:val="18"/>
          <w:szCs w:val="18"/>
        </w:rPr>
        <w:fldChar w:fldCharType="begin" w:fldLock="1"/>
      </w:r>
      <w:r w:rsidR="0094546B">
        <w:rPr>
          <w:rFonts w:asciiTheme="majorBidi" w:hAnsiTheme="majorBidi" w:cstheme="majorBidi"/>
          <w:sz w:val="18"/>
          <w:szCs w:val="18"/>
        </w:rPr>
        <w:instrText>ADDIN CSL_CITATION {"citationItems":[{"id":"ITEM-1","itemData":{"author":[{"dropping-particle":"","family":"Ari Rahmat","given":"","non-dropping-particle":"","parse-names":false,"suffix":""}],"id":"ITEM-1","issued":{"date-parts":[["2022"]]},"number-of-pages":"73","publisher":"Universitas Islam Negeri Ar Raniry Darussalam Banda Aceh","title":"Kedudukan Persaksian Syahadah al Istifadah Sebagai Alat Bukti dalam Perkara Perdata di Persidangan (Studi Komparatif Ibnu Qayyim Al Jauziyyah dan Al Shan'ani)","type":"thesis"},"uris":["http://www.mendeley.com/documents/?uuid=e999dc9b-91c8-4fb3-a09c-7abf59eb4ce2"]}],"mendeley":{"formattedCitation":"Ari Rahmat, “Kedudukan Persaksian Syahadah Al Istifadah Sebagai Alat Bukti Dalam Perkara Perdata Di Persidangan (Studi Komparatif Ibnu Qayyim Al Jauziyyah Dan Al Shan’ani).”","plainTextFormattedCitation":"Ari Rahmat, “Kedudukan Persaksian Syahadah Al Istifadah Sebagai Alat Bukti Dalam Perkara Perdata Di Persidangan (Studi Komparatif Ibnu Qayyim Al Jauziyyah Dan Al Shan’ani).”","previouslyFormattedCitation":"Ari Rahmat, “Kedudukan Persaksian Syahadah Al Istifadah Sebagai Alat Bukti Dalam Perkara Perdata Di Persidangan (Studi Komparatif Ibnu Qayyim Al Jauziyyah Dan Al Shan’ani).”"},"properties":{"noteIndex":157},"schema":"https://github.com/citation-style-language/schema/raw/master/csl-citation.json"}</w:instrText>
      </w:r>
      <w:r w:rsidRPr="004B16DC">
        <w:rPr>
          <w:rFonts w:asciiTheme="majorBidi" w:hAnsiTheme="majorBidi" w:cstheme="majorBidi"/>
          <w:sz w:val="18"/>
          <w:szCs w:val="18"/>
        </w:rPr>
        <w:fldChar w:fldCharType="separate"/>
      </w:r>
      <w:r w:rsidRPr="004B16DC">
        <w:rPr>
          <w:rFonts w:asciiTheme="majorBidi" w:hAnsiTheme="majorBidi" w:cstheme="majorBidi"/>
          <w:noProof/>
          <w:sz w:val="18"/>
          <w:szCs w:val="18"/>
        </w:rPr>
        <w:t>Ari Rahmat, “Kedudukan Persaksian Syahadah Al Istifadah Sebagai Alat Bukti Dalam Perkara Perdata Di Persidangan (Studi Komparatif Ibnu Qayyim Al Jauziyyah Dan Al Shan’ani).”</w:t>
      </w:r>
      <w:r w:rsidRPr="004B16DC">
        <w:rPr>
          <w:rFonts w:asciiTheme="majorBidi" w:hAnsiTheme="majorBidi" w:cstheme="majorBidi"/>
          <w:sz w:val="18"/>
          <w:szCs w:val="18"/>
        </w:rPr>
        <w:fldChar w:fldCharType="end"/>
      </w:r>
      <w:r>
        <w:rPr>
          <w:rFonts w:asciiTheme="majorBidi" w:hAnsiTheme="majorBidi" w:cstheme="majorBidi"/>
          <w:sz w:val="18"/>
          <w:szCs w:val="18"/>
        </w:rPr>
        <w:t>, hlm 35</w:t>
      </w:r>
    </w:p>
  </w:footnote>
  <w:footnote w:id="157">
    <w:p w14:paraId="62622DCD" w14:textId="74E67D29" w:rsidR="008D372B" w:rsidRPr="00641844" w:rsidRDefault="008D372B" w:rsidP="00A00E91">
      <w:pPr>
        <w:pStyle w:val="FootnoteText"/>
        <w:ind w:firstLine="720"/>
        <w:jc w:val="both"/>
        <w:rPr>
          <w:rFonts w:asciiTheme="majorBidi" w:hAnsiTheme="majorBidi" w:cstheme="majorBidi"/>
          <w:sz w:val="18"/>
          <w:szCs w:val="18"/>
          <w:lang w:val="en-US"/>
        </w:rPr>
      </w:pPr>
      <w:r w:rsidRPr="00641844">
        <w:rPr>
          <w:rStyle w:val="FootnoteReference"/>
          <w:rFonts w:asciiTheme="majorBidi" w:hAnsiTheme="majorBidi" w:cstheme="majorBidi"/>
          <w:sz w:val="18"/>
          <w:szCs w:val="18"/>
        </w:rPr>
        <w:footnoteRef/>
      </w:r>
      <w:r w:rsidRPr="00641844">
        <w:rPr>
          <w:rFonts w:asciiTheme="majorBidi" w:hAnsiTheme="majorBidi" w:cstheme="majorBidi"/>
          <w:sz w:val="18"/>
          <w:szCs w:val="18"/>
        </w:rPr>
        <w:t xml:space="preserve"> Lihat Pasal 180, </w:t>
      </w:r>
      <w:r w:rsidRPr="00641844">
        <w:rPr>
          <w:rFonts w:asciiTheme="majorBidi" w:hAnsiTheme="majorBidi" w:cstheme="majorBidi"/>
          <w:sz w:val="18"/>
          <w:szCs w:val="18"/>
        </w:rPr>
        <w:fldChar w:fldCharType="begin" w:fldLock="1"/>
      </w:r>
      <w:r w:rsidR="0094546B">
        <w:rPr>
          <w:rFonts w:asciiTheme="majorBidi" w:hAnsiTheme="majorBidi" w:cstheme="majorBidi"/>
          <w:sz w:val="18"/>
          <w:szCs w:val="18"/>
        </w:rPr>
        <w:instrText>ADDIN CSL_CITATION {"citationItems":[{"id":"ITEM-1","itemData":{"author":[{"dropping-particle":"","family":"Gubernur Provinsi Aceh","given":"","non-dropping-particle":"","parse-names":false,"suffix":""}],"id":"ITEM-1","issued":{"date-parts":[["2014"]]},"number":"Nomor 6","page":"41","publisher-place":"Indonesia","title":"Qanun Nomor 6 Tahun 2014 Tantang Hukum Jinayah","type":"legislation"},"uris":["http://www.mendeley.com/documents/?uuid=af3fb756-a6f9-4f6e-93f7-f7e753e47793"]}],"mendeley":{"formattedCitation":"Gubernur Provinsi Aceh, &lt;i&gt;Qanun Nomor 6 Tahun 2014 Tantang Hukum Jinayah&lt;/i&gt;.","plainTextFormattedCitation":"Gubernur Provinsi Aceh, Qanun Nomor 6 Tahun 2014 Tantang Hukum Jinayah.","previouslyFormattedCitation":"Gubernur Provinsi Aceh, &lt;i&gt;Qanun Nomor 6 Tahun 2014 Tantang Hukum Jinayah&lt;/i&gt;."},"properties":{"noteIndex":158},"schema":"https://github.com/citation-style-language/schema/raw/master/csl-citation.json"}</w:instrText>
      </w:r>
      <w:r w:rsidRPr="00641844">
        <w:rPr>
          <w:rFonts w:asciiTheme="majorBidi" w:hAnsiTheme="majorBidi" w:cstheme="majorBidi"/>
          <w:sz w:val="18"/>
          <w:szCs w:val="18"/>
        </w:rPr>
        <w:fldChar w:fldCharType="separate"/>
      </w:r>
      <w:r w:rsidR="004E5132" w:rsidRPr="004E5132">
        <w:rPr>
          <w:rFonts w:asciiTheme="majorBidi" w:hAnsiTheme="majorBidi" w:cstheme="majorBidi"/>
          <w:noProof/>
          <w:sz w:val="18"/>
          <w:szCs w:val="18"/>
        </w:rPr>
        <w:t xml:space="preserve">Gubernur Provinsi Aceh, </w:t>
      </w:r>
      <w:r w:rsidR="004E5132" w:rsidRPr="004E5132">
        <w:rPr>
          <w:rFonts w:asciiTheme="majorBidi" w:hAnsiTheme="majorBidi" w:cstheme="majorBidi"/>
          <w:i/>
          <w:noProof/>
          <w:sz w:val="18"/>
          <w:szCs w:val="18"/>
        </w:rPr>
        <w:t>Qanun Nomor 6 Tahun 2014 T</w:t>
      </w:r>
      <w:r w:rsidR="008752B4">
        <w:rPr>
          <w:rFonts w:asciiTheme="majorBidi" w:hAnsiTheme="majorBidi" w:cstheme="majorBidi"/>
          <w:i/>
          <w:noProof/>
          <w:sz w:val="18"/>
          <w:szCs w:val="18"/>
        </w:rPr>
        <w:t>e</w:t>
      </w:r>
      <w:r w:rsidR="004E5132" w:rsidRPr="004E5132">
        <w:rPr>
          <w:rFonts w:asciiTheme="majorBidi" w:hAnsiTheme="majorBidi" w:cstheme="majorBidi"/>
          <w:i/>
          <w:noProof/>
          <w:sz w:val="18"/>
          <w:szCs w:val="18"/>
        </w:rPr>
        <w:t>ntang Hukum Jinayah</w:t>
      </w:r>
      <w:r w:rsidR="004E5132" w:rsidRPr="004E5132">
        <w:rPr>
          <w:rFonts w:asciiTheme="majorBidi" w:hAnsiTheme="majorBidi" w:cstheme="majorBidi"/>
          <w:noProof/>
          <w:sz w:val="18"/>
          <w:szCs w:val="18"/>
        </w:rPr>
        <w:t>.</w:t>
      </w:r>
      <w:r w:rsidRPr="00641844">
        <w:rPr>
          <w:rFonts w:asciiTheme="majorBidi" w:hAnsiTheme="majorBidi" w:cstheme="majorBidi"/>
          <w:sz w:val="18"/>
          <w:szCs w:val="18"/>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sz w:val="24"/>
        <w:szCs w:val="24"/>
      </w:rPr>
      <w:id w:val="-1972972403"/>
      <w:docPartObj>
        <w:docPartGallery w:val="Page Numbers (Top of Page)"/>
        <w:docPartUnique/>
      </w:docPartObj>
    </w:sdtPr>
    <w:sdtEndPr>
      <w:rPr>
        <w:noProof/>
      </w:rPr>
    </w:sdtEndPr>
    <w:sdtContent>
      <w:p w14:paraId="0E61A1A4" w14:textId="77777777" w:rsidR="008D372B" w:rsidRPr="00733744" w:rsidRDefault="008D372B">
        <w:pPr>
          <w:pStyle w:val="Header"/>
          <w:jc w:val="right"/>
          <w:rPr>
            <w:rFonts w:asciiTheme="majorBidi" w:hAnsiTheme="majorBidi" w:cstheme="majorBidi"/>
            <w:sz w:val="24"/>
            <w:szCs w:val="24"/>
          </w:rPr>
        </w:pPr>
        <w:r w:rsidRPr="00733744">
          <w:rPr>
            <w:rFonts w:asciiTheme="majorBidi" w:hAnsiTheme="majorBidi" w:cstheme="majorBidi"/>
            <w:sz w:val="24"/>
            <w:szCs w:val="24"/>
          </w:rPr>
          <w:fldChar w:fldCharType="begin"/>
        </w:r>
        <w:r w:rsidRPr="00733744">
          <w:rPr>
            <w:rFonts w:asciiTheme="majorBidi" w:hAnsiTheme="majorBidi" w:cstheme="majorBidi"/>
            <w:sz w:val="24"/>
            <w:szCs w:val="24"/>
          </w:rPr>
          <w:instrText xml:space="preserve"> PAGE   \* MERGEFORMAT </w:instrText>
        </w:r>
        <w:r w:rsidRPr="00733744">
          <w:rPr>
            <w:rFonts w:asciiTheme="majorBidi" w:hAnsiTheme="majorBidi" w:cstheme="majorBidi"/>
            <w:sz w:val="24"/>
            <w:szCs w:val="24"/>
          </w:rPr>
          <w:fldChar w:fldCharType="separate"/>
        </w:r>
        <w:r w:rsidRPr="00733744">
          <w:rPr>
            <w:rFonts w:asciiTheme="majorBidi" w:hAnsiTheme="majorBidi" w:cstheme="majorBidi"/>
            <w:noProof/>
            <w:sz w:val="24"/>
            <w:szCs w:val="24"/>
          </w:rPr>
          <w:t>2</w:t>
        </w:r>
        <w:r w:rsidRPr="00733744">
          <w:rPr>
            <w:rFonts w:asciiTheme="majorBidi" w:hAnsiTheme="majorBidi" w:cstheme="majorBidi"/>
            <w:noProof/>
            <w:sz w:val="24"/>
            <w:szCs w:val="24"/>
          </w:rPr>
          <w:fldChar w:fldCharType="end"/>
        </w:r>
      </w:p>
    </w:sdtContent>
  </w:sdt>
  <w:p w14:paraId="5282D3A3" w14:textId="77777777" w:rsidR="008D372B" w:rsidRPr="00733744" w:rsidRDefault="008D372B">
    <w:pPr>
      <w:pStyle w:val="Header"/>
      <w:rPr>
        <w:rFonts w:asciiTheme="majorBidi" w:hAnsiTheme="majorBidi" w:cstheme="majorBidi"/>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4459840"/>
      <w:docPartObj>
        <w:docPartGallery w:val="Page Numbers (Top of Page)"/>
        <w:docPartUnique/>
      </w:docPartObj>
    </w:sdtPr>
    <w:sdtEndPr>
      <w:rPr>
        <w:rFonts w:asciiTheme="majorBidi" w:hAnsiTheme="majorBidi" w:cstheme="majorBidi"/>
        <w:noProof/>
        <w:sz w:val="24"/>
        <w:szCs w:val="24"/>
      </w:rPr>
    </w:sdtEndPr>
    <w:sdtContent>
      <w:p w14:paraId="1672DA16" w14:textId="77777777" w:rsidR="008D372B" w:rsidRPr="009174A7" w:rsidRDefault="008D372B">
        <w:pPr>
          <w:pStyle w:val="Header"/>
          <w:jc w:val="right"/>
          <w:rPr>
            <w:rFonts w:asciiTheme="majorBidi" w:hAnsiTheme="majorBidi" w:cstheme="majorBidi"/>
            <w:sz w:val="24"/>
            <w:szCs w:val="24"/>
          </w:rPr>
        </w:pPr>
        <w:r w:rsidRPr="009174A7">
          <w:rPr>
            <w:rFonts w:asciiTheme="majorBidi" w:hAnsiTheme="majorBidi" w:cstheme="majorBidi"/>
            <w:sz w:val="24"/>
            <w:szCs w:val="24"/>
          </w:rPr>
          <w:fldChar w:fldCharType="begin"/>
        </w:r>
        <w:r w:rsidRPr="009174A7">
          <w:rPr>
            <w:rFonts w:asciiTheme="majorBidi" w:hAnsiTheme="majorBidi" w:cstheme="majorBidi"/>
            <w:sz w:val="24"/>
            <w:szCs w:val="24"/>
          </w:rPr>
          <w:instrText xml:space="preserve"> PAGE   \* MERGEFORMAT </w:instrText>
        </w:r>
        <w:r w:rsidRPr="009174A7">
          <w:rPr>
            <w:rFonts w:asciiTheme="majorBidi" w:hAnsiTheme="majorBidi" w:cstheme="majorBidi"/>
            <w:sz w:val="24"/>
            <w:szCs w:val="24"/>
          </w:rPr>
          <w:fldChar w:fldCharType="separate"/>
        </w:r>
        <w:r w:rsidRPr="009174A7">
          <w:rPr>
            <w:rFonts w:asciiTheme="majorBidi" w:hAnsiTheme="majorBidi" w:cstheme="majorBidi"/>
            <w:noProof/>
            <w:sz w:val="24"/>
            <w:szCs w:val="24"/>
          </w:rPr>
          <w:t>2</w:t>
        </w:r>
        <w:r w:rsidRPr="009174A7">
          <w:rPr>
            <w:rFonts w:asciiTheme="majorBidi" w:hAnsiTheme="majorBidi" w:cstheme="majorBidi"/>
            <w:noProof/>
            <w:sz w:val="24"/>
            <w:szCs w:val="24"/>
          </w:rPr>
          <w:fldChar w:fldCharType="end"/>
        </w:r>
      </w:p>
    </w:sdtContent>
  </w:sdt>
  <w:p w14:paraId="4F254E04" w14:textId="77777777" w:rsidR="008D372B" w:rsidRDefault="008D37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03F61"/>
    <w:multiLevelType w:val="hybridMultilevel"/>
    <w:tmpl w:val="2D5CA500"/>
    <w:lvl w:ilvl="0" w:tplc="28C434DC">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 w15:restartNumberingAfterBreak="0">
    <w:nsid w:val="034D4EF5"/>
    <w:multiLevelType w:val="hybridMultilevel"/>
    <w:tmpl w:val="05DC31C8"/>
    <w:lvl w:ilvl="0" w:tplc="38090015">
      <w:start w:val="1"/>
      <w:numFmt w:val="upp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59A057E"/>
    <w:multiLevelType w:val="hybridMultilevel"/>
    <w:tmpl w:val="F90E2E62"/>
    <w:lvl w:ilvl="0" w:tplc="F8E059D0">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 w15:restartNumberingAfterBreak="0">
    <w:nsid w:val="06337949"/>
    <w:multiLevelType w:val="hybridMultilevel"/>
    <w:tmpl w:val="A798EF94"/>
    <w:lvl w:ilvl="0" w:tplc="AE36005E">
      <w:start w:val="1"/>
      <w:numFmt w:val="upperLetter"/>
      <w:pStyle w:val="Heading2"/>
      <w:lvlText w:val="%1."/>
      <w:lvlJc w:val="left"/>
      <w:pPr>
        <w:ind w:left="502"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702765A"/>
    <w:multiLevelType w:val="hybridMultilevel"/>
    <w:tmpl w:val="45D6A8FE"/>
    <w:lvl w:ilvl="0" w:tplc="58EA876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7DF149F"/>
    <w:multiLevelType w:val="hybridMultilevel"/>
    <w:tmpl w:val="F3769C74"/>
    <w:lvl w:ilvl="0" w:tplc="7EE217B6">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 w15:restartNumberingAfterBreak="0">
    <w:nsid w:val="080255A9"/>
    <w:multiLevelType w:val="hybridMultilevel"/>
    <w:tmpl w:val="56207FB0"/>
    <w:lvl w:ilvl="0" w:tplc="02F4B878">
      <w:start w:val="1"/>
      <w:numFmt w:val="decimal"/>
      <w:lvlText w:val="%1."/>
      <w:lvlJc w:val="left"/>
      <w:pPr>
        <w:ind w:left="1080" w:hanging="360"/>
      </w:pPr>
      <w:rPr>
        <w:rFonts w:hint="default"/>
        <w:lang w:val="en-US"/>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 w15:restartNumberingAfterBreak="0">
    <w:nsid w:val="08746F39"/>
    <w:multiLevelType w:val="hybridMultilevel"/>
    <w:tmpl w:val="632C2970"/>
    <w:lvl w:ilvl="0" w:tplc="60EC9F5E">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 w15:restartNumberingAfterBreak="0">
    <w:nsid w:val="0B1132B0"/>
    <w:multiLevelType w:val="hybridMultilevel"/>
    <w:tmpl w:val="A386EF4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B3A50F2"/>
    <w:multiLevelType w:val="hybridMultilevel"/>
    <w:tmpl w:val="1194CA3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0D2215E4"/>
    <w:multiLevelType w:val="hybridMultilevel"/>
    <w:tmpl w:val="5AF62A7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0DA93BC9"/>
    <w:multiLevelType w:val="hybridMultilevel"/>
    <w:tmpl w:val="489609A0"/>
    <w:lvl w:ilvl="0" w:tplc="196818DE">
      <w:start w:val="1"/>
      <w:numFmt w:val="upp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2" w15:restartNumberingAfterBreak="0">
    <w:nsid w:val="0DDD1A5D"/>
    <w:multiLevelType w:val="hybridMultilevel"/>
    <w:tmpl w:val="6DB4F73C"/>
    <w:lvl w:ilvl="0" w:tplc="3F88AAD6">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3" w15:restartNumberingAfterBreak="0">
    <w:nsid w:val="0E1601DB"/>
    <w:multiLevelType w:val="hybridMultilevel"/>
    <w:tmpl w:val="9FBED6DE"/>
    <w:lvl w:ilvl="0" w:tplc="F39A122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15:restartNumberingAfterBreak="0">
    <w:nsid w:val="0E394CDA"/>
    <w:multiLevelType w:val="hybridMultilevel"/>
    <w:tmpl w:val="AA2E30C6"/>
    <w:lvl w:ilvl="0" w:tplc="A2AE5858">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5" w15:restartNumberingAfterBreak="0">
    <w:nsid w:val="0E7F455F"/>
    <w:multiLevelType w:val="hybridMultilevel"/>
    <w:tmpl w:val="F20EA4D8"/>
    <w:lvl w:ilvl="0" w:tplc="258CEA60">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6" w15:restartNumberingAfterBreak="0">
    <w:nsid w:val="104846BE"/>
    <w:multiLevelType w:val="hybridMultilevel"/>
    <w:tmpl w:val="DB4A258C"/>
    <w:lvl w:ilvl="0" w:tplc="246CBEE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15:restartNumberingAfterBreak="0">
    <w:nsid w:val="10715F21"/>
    <w:multiLevelType w:val="hybridMultilevel"/>
    <w:tmpl w:val="6A7EECF0"/>
    <w:lvl w:ilvl="0" w:tplc="98FC855A">
      <w:start w:val="1"/>
      <w:numFmt w:val="lowerLetter"/>
      <w:lvlText w:val="%1."/>
      <w:lvlJc w:val="left"/>
      <w:pPr>
        <w:ind w:left="2520" w:hanging="360"/>
      </w:pPr>
      <w:rPr>
        <w:rFonts w:hint="default"/>
        <w:i/>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18" w15:restartNumberingAfterBreak="0">
    <w:nsid w:val="11911BFE"/>
    <w:multiLevelType w:val="hybridMultilevel"/>
    <w:tmpl w:val="B0FEA66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14EA0680"/>
    <w:multiLevelType w:val="hybridMultilevel"/>
    <w:tmpl w:val="4E9C376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15D7159D"/>
    <w:multiLevelType w:val="hybridMultilevel"/>
    <w:tmpl w:val="0074D006"/>
    <w:lvl w:ilvl="0" w:tplc="0B3C38B6">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1" w15:restartNumberingAfterBreak="0">
    <w:nsid w:val="1613793E"/>
    <w:multiLevelType w:val="hybridMultilevel"/>
    <w:tmpl w:val="7FC04ECC"/>
    <w:lvl w:ilvl="0" w:tplc="A7BA2568">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2" w15:restartNumberingAfterBreak="0">
    <w:nsid w:val="174C7ED5"/>
    <w:multiLevelType w:val="hybridMultilevel"/>
    <w:tmpl w:val="87705B78"/>
    <w:lvl w:ilvl="0" w:tplc="58EA876C">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3" w15:restartNumberingAfterBreak="0">
    <w:nsid w:val="179027EB"/>
    <w:multiLevelType w:val="hybridMultilevel"/>
    <w:tmpl w:val="0A4C77C6"/>
    <w:lvl w:ilvl="0" w:tplc="320E8878">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4" w15:restartNumberingAfterBreak="0">
    <w:nsid w:val="17A95F6A"/>
    <w:multiLevelType w:val="hybridMultilevel"/>
    <w:tmpl w:val="036A66CE"/>
    <w:lvl w:ilvl="0" w:tplc="3809000F">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5" w15:restartNumberingAfterBreak="0">
    <w:nsid w:val="183321B7"/>
    <w:multiLevelType w:val="hybridMultilevel"/>
    <w:tmpl w:val="FD0E89B6"/>
    <w:lvl w:ilvl="0" w:tplc="F9501550">
      <w:start w:val="1"/>
      <w:numFmt w:val="decimal"/>
      <w:lvlText w:val="%1."/>
      <w:lvlJc w:val="left"/>
      <w:pPr>
        <w:ind w:left="1800" w:hanging="360"/>
      </w:pPr>
      <w:rPr>
        <w:rFonts w:hint="default"/>
        <w:b w:val="0"/>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6" w15:restartNumberingAfterBreak="0">
    <w:nsid w:val="18D43E8C"/>
    <w:multiLevelType w:val="hybridMultilevel"/>
    <w:tmpl w:val="1CE875F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18EB2DFF"/>
    <w:multiLevelType w:val="hybridMultilevel"/>
    <w:tmpl w:val="1EC4BF0C"/>
    <w:lvl w:ilvl="0" w:tplc="CC7092EA">
      <w:start w:val="1"/>
      <w:numFmt w:val="lowerLetter"/>
      <w:lvlText w:val="%1."/>
      <w:lvlJc w:val="left"/>
      <w:pPr>
        <w:ind w:left="1800" w:hanging="360"/>
      </w:pPr>
      <w:rPr>
        <w:rFonts w:asciiTheme="majorBidi" w:eastAsiaTheme="minorHAnsi" w:hAnsiTheme="majorBidi" w:cstheme="majorBidi"/>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8" w15:restartNumberingAfterBreak="0">
    <w:nsid w:val="192561AA"/>
    <w:multiLevelType w:val="hybridMultilevel"/>
    <w:tmpl w:val="43E654B6"/>
    <w:lvl w:ilvl="0" w:tplc="B28E63E2">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9" w15:restartNumberingAfterBreak="0">
    <w:nsid w:val="1B280E04"/>
    <w:multiLevelType w:val="hybridMultilevel"/>
    <w:tmpl w:val="5A32A5F8"/>
    <w:lvl w:ilvl="0" w:tplc="2A38F23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0" w15:restartNumberingAfterBreak="0">
    <w:nsid w:val="1C23124D"/>
    <w:multiLevelType w:val="hybridMultilevel"/>
    <w:tmpl w:val="43B49ACA"/>
    <w:lvl w:ilvl="0" w:tplc="3809000F">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1" w15:restartNumberingAfterBreak="0">
    <w:nsid w:val="1C5C3DF0"/>
    <w:multiLevelType w:val="hybridMultilevel"/>
    <w:tmpl w:val="D68C472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214E5BDF"/>
    <w:multiLevelType w:val="hybridMultilevel"/>
    <w:tmpl w:val="954AB23A"/>
    <w:lvl w:ilvl="0" w:tplc="BF6C151E">
      <w:start w:val="1"/>
      <w:numFmt w:val="lowerLetter"/>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3" w15:restartNumberingAfterBreak="0">
    <w:nsid w:val="23B10008"/>
    <w:multiLevelType w:val="hybridMultilevel"/>
    <w:tmpl w:val="8D1C0452"/>
    <w:lvl w:ilvl="0" w:tplc="BF6C151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4" w15:restartNumberingAfterBreak="0">
    <w:nsid w:val="2712281C"/>
    <w:multiLevelType w:val="hybridMultilevel"/>
    <w:tmpl w:val="F8F0AEDA"/>
    <w:lvl w:ilvl="0" w:tplc="F7AE9B0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5" w15:restartNumberingAfterBreak="0">
    <w:nsid w:val="278841CA"/>
    <w:multiLevelType w:val="hybridMultilevel"/>
    <w:tmpl w:val="24808FEA"/>
    <w:lvl w:ilvl="0" w:tplc="38090017">
      <w:start w:val="1"/>
      <w:numFmt w:val="lowerLetter"/>
      <w:lvlText w:val="%1)"/>
      <w:lvlJc w:val="left"/>
      <w:pPr>
        <w:ind w:left="2520" w:hanging="360"/>
      </w:pPr>
      <w:rPr>
        <w:rFonts w:hint="default"/>
        <w:b w:val="0"/>
        <w:bCs/>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36" w15:restartNumberingAfterBreak="0">
    <w:nsid w:val="28172B2C"/>
    <w:multiLevelType w:val="hybridMultilevel"/>
    <w:tmpl w:val="D32E1028"/>
    <w:lvl w:ilvl="0" w:tplc="CD98D27E">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7" w15:restartNumberingAfterBreak="0">
    <w:nsid w:val="29F4366B"/>
    <w:multiLevelType w:val="hybridMultilevel"/>
    <w:tmpl w:val="93C0CBC4"/>
    <w:lvl w:ilvl="0" w:tplc="3809000F">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8" w15:restartNumberingAfterBreak="0">
    <w:nsid w:val="2C4E63A6"/>
    <w:multiLevelType w:val="hybridMultilevel"/>
    <w:tmpl w:val="20C0C882"/>
    <w:lvl w:ilvl="0" w:tplc="67EE702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9" w15:restartNumberingAfterBreak="0">
    <w:nsid w:val="2CE75FCD"/>
    <w:multiLevelType w:val="hybridMultilevel"/>
    <w:tmpl w:val="675A8722"/>
    <w:lvl w:ilvl="0" w:tplc="DD7682C0">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0" w15:restartNumberingAfterBreak="0">
    <w:nsid w:val="2EC919B2"/>
    <w:multiLevelType w:val="hybridMultilevel"/>
    <w:tmpl w:val="203017E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2F0174F8"/>
    <w:multiLevelType w:val="hybridMultilevel"/>
    <w:tmpl w:val="460ED4DA"/>
    <w:lvl w:ilvl="0" w:tplc="98FC855A">
      <w:start w:val="1"/>
      <w:numFmt w:val="lowerLetter"/>
      <w:lvlText w:val="%1."/>
      <w:lvlJc w:val="left"/>
      <w:pPr>
        <w:ind w:left="1800" w:hanging="360"/>
      </w:pPr>
      <w:rPr>
        <w:rFonts w:hint="default"/>
        <w:i/>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2" w15:restartNumberingAfterBreak="0">
    <w:nsid w:val="2F1F6E12"/>
    <w:multiLevelType w:val="hybridMultilevel"/>
    <w:tmpl w:val="9236BFDC"/>
    <w:lvl w:ilvl="0" w:tplc="D820E4AE">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3" w15:restartNumberingAfterBreak="0">
    <w:nsid w:val="31402164"/>
    <w:multiLevelType w:val="hybridMultilevel"/>
    <w:tmpl w:val="D58A8E9C"/>
    <w:lvl w:ilvl="0" w:tplc="A7084AE0">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4" w15:restartNumberingAfterBreak="0">
    <w:nsid w:val="35D43F9A"/>
    <w:multiLevelType w:val="hybridMultilevel"/>
    <w:tmpl w:val="A17A64A4"/>
    <w:lvl w:ilvl="0" w:tplc="865030F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5" w15:restartNumberingAfterBreak="0">
    <w:nsid w:val="37A73A86"/>
    <w:multiLevelType w:val="hybridMultilevel"/>
    <w:tmpl w:val="DB608932"/>
    <w:lvl w:ilvl="0" w:tplc="58EA876C">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6" w15:restartNumberingAfterBreak="0">
    <w:nsid w:val="3AC85B6B"/>
    <w:multiLevelType w:val="hybridMultilevel"/>
    <w:tmpl w:val="1BAE4186"/>
    <w:lvl w:ilvl="0" w:tplc="87E85374">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7" w15:restartNumberingAfterBreak="0">
    <w:nsid w:val="3ADF3659"/>
    <w:multiLevelType w:val="hybridMultilevel"/>
    <w:tmpl w:val="7A4676B0"/>
    <w:lvl w:ilvl="0" w:tplc="BF6C151E">
      <w:start w:val="1"/>
      <w:numFmt w:val="low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8" w15:restartNumberingAfterBreak="0">
    <w:nsid w:val="3B782085"/>
    <w:multiLevelType w:val="hybridMultilevel"/>
    <w:tmpl w:val="BCCA1638"/>
    <w:lvl w:ilvl="0" w:tplc="38090015">
      <w:start w:val="1"/>
      <w:numFmt w:val="upperLetter"/>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3F1F3F45"/>
    <w:multiLevelType w:val="hybridMultilevel"/>
    <w:tmpl w:val="6AACD7AE"/>
    <w:lvl w:ilvl="0" w:tplc="3809000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0" w15:restartNumberingAfterBreak="0">
    <w:nsid w:val="3F54457B"/>
    <w:multiLevelType w:val="hybridMultilevel"/>
    <w:tmpl w:val="5616F986"/>
    <w:lvl w:ilvl="0" w:tplc="8EE670A8">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1" w15:restartNumberingAfterBreak="0">
    <w:nsid w:val="418B2BF1"/>
    <w:multiLevelType w:val="hybridMultilevel"/>
    <w:tmpl w:val="D026E51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43D20B16"/>
    <w:multiLevelType w:val="hybridMultilevel"/>
    <w:tmpl w:val="5010C712"/>
    <w:lvl w:ilvl="0" w:tplc="D60C422E">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53" w15:restartNumberingAfterBreak="0">
    <w:nsid w:val="43F677BA"/>
    <w:multiLevelType w:val="hybridMultilevel"/>
    <w:tmpl w:val="1AF6B2FC"/>
    <w:lvl w:ilvl="0" w:tplc="20DE4E16">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4" w15:restartNumberingAfterBreak="0">
    <w:nsid w:val="44523E5B"/>
    <w:multiLevelType w:val="hybridMultilevel"/>
    <w:tmpl w:val="14A2D5E0"/>
    <w:lvl w:ilvl="0" w:tplc="8466C124">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5" w15:restartNumberingAfterBreak="0">
    <w:nsid w:val="483849A7"/>
    <w:multiLevelType w:val="hybridMultilevel"/>
    <w:tmpl w:val="E4A2CCF0"/>
    <w:lvl w:ilvl="0" w:tplc="983A6786">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6" w15:restartNumberingAfterBreak="0">
    <w:nsid w:val="486934C8"/>
    <w:multiLevelType w:val="hybridMultilevel"/>
    <w:tmpl w:val="F0B4EC6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4A1125DD"/>
    <w:multiLevelType w:val="hybridMultilevel"/>
    <w:tmpl w:val="6C1C0642"/>
    <w:lvl w:ilvl="0" w:tplc="87426094">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8" w15:restartNumberingAfterBreak="0">
    <w:nsid w:val="4A3C14E8"/>
    <w:multiLevelType w:val="hybridMultilevel"/>
    <w:tmpl w:val="A82C3FBE"/>
    <w:lvl w:ilvl="0" w:tplc="3809000F">
      <w:start w:val="1"/>
      <w:numFmt w:val="decimal"/>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59" w15:restartNumberingAfterBreak="0">
    <w:nsid w:val="4C337C81"/>
    <w:multiLevelType w:val="hybridMultilevel"/>
    <w:tmpl w:val="FA90FFB4"/>
    <w:lvl w:ilvl="0" w:tplc="F7367C66">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0" w15:restartNumberingAfterBreak="0">
    <w:nsid w:val="4DA621AF"/>
    <w:multiLevelType w:val="hybridMultilevel"/>
    <w:tmpl w:val="EDBCD370"/>
    <w:lvl w:ilvl="0" w:tplc="3809000F">
      <w:start w:val="1"/>
      <w:numFmt w:val="decimal"/>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1" w15:restartNumberingAfterBreak="0">
    <w:nsid w:val="4E65349A"/>
    <w:multiLevelType w:val="hybridMultilevel"/>
    <w:tmpl w:val="3272A820"/>
    <w:lvl w:ilvl="0" w:tplc="17268E08">
      <w:start w:val="1"/>
      <w:numFmt w:val="bullet"/>
      <w:lvlText w:val="-"/>
      <w:lvlJc w:val="left"/>
      <w:pPr>
        <w:ind w:left="720" w:hanging="360"/>
      </w:pPr>
      <w:rPr>
        <w:rFonts w:ascii="Times New Roman" w:eastAsia="Calibri" w:hAnsi="Times New Roman" w:cs="Times New Roman"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2" w15:restartNumberingAfterBreak="0">
    <w:nsid w:val="4FE42942"/>
    <w:multiLevelType w:val="hybridMultilevel"/>
    <w:tmpl w:val="DB165CEA"/>
    <w:lvl w:ilvl="0" w:tplc="60EC9F5E">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3" w15:restartNumberingAfterBreak="0">
    <w:nsid w:val="5035462F"/>
    <w:multiLevelType w:val="hybridMultilevel"/>
    <w:tmpl w:val="5364AC60"/>
    <w:lvl w:ilvl="0" w:tplc="F7B0E25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4" w15:restartNumberingAfterBreak="0">
    <w:nsid w:val="50FB77C1"/>
    <w:multiLevelType w:val="hybridMultilevel"/>
    <w:tmpl w:val="988819F8"/>
    <w:lvl w:ilvl="0" w:tplc="3809000F">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5" w15:restartNumberingAfterBreak="0">
    <w:nsid w:val="52E26C90"/>
    <w:multiLevelType w:val="hybridMultilevel"/>
    <w:tmpl w:val="2D08F750"/>
    <w:lvl w:ilvl="0" w:tplc="BF6C151E">
      <w:start w:val="1"/>
      <w:numFmt w:val="lowerLetter"/>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66" w15:restartNumberingAfterBreak="0">
    <w:nsid w:val="53C0371B"/>
    <w:multiLevelType w:val="hybridMultilevel"/>
    <w:tmpl w:val="9AE849E4"/>
    <w:lvl w:ilvl="0" w:tplc="E730C06C">
      <w:start w:val="1"/>
      <w:numFmt w:val="upperLetter"/>
      <w:lvlText w:val="%1."/>
      <w:lvlJc w:val="left"/>
      <w:pPr>
        <w:ind w:left="720" w:hanging="360"/>
      </w:pPr>
      <w:rPr>
        <w:rFonts w:asciiTheme="minorHAnsi" w:hAnsiTheme="minorHAnsi" w:cstheme="minorBidi" w:hint="default"/>
        <w:b w:val="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15:restartNumberingAfterBreak="0">
    <w:nsid w:val="54127CB6"/>
    <w:multiLevelType w:val="hybridMultilevel"/>
    <w:tmpl w:val="612C5D1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54632FBC"/>
    <w:multiLevelType w:val="hybridMultilevel"/>
    <w:tmpl w:val="C8FCDFCC"/>
    <w:lvl w:ilvl="0" w:tplc="BF6C151E">
      <w:start w:val="1"/>
      <w:numFmt w:val="low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9" w15:restartNumberingAfterBreak="0">
    <w:nsid w:val="547C4F32"/>
    <w:multiLevelType w:val="hybridMultilevel"/>
    <w:tmpl w:val="222C6098"/>
    <w:lvl w:ilvl="0" w:tplc="2FFE69D8">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70" w15:restartNumberingAfterBreak="0">
    <w:nsid w:val="550E3AEC"/>
    <w:multiLevelType w:val="hybridMultilevel"/>
    <w:tmpl w:val="39F6DF1A"/>
    <w:lvl w:ilvl="0" w:tplc="CD107B9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1" w15:restartNumberingAfterBreak="0">
    <w:nsid w:val="57383749"/>
    <w:multiLevelType w:val="hybridMultilevel"/>
    <w:tmpl w:val="2CB0A31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5A2B62B3"/>
    <w:multiLevelType w:val="hybridMultilevel"/>
    <w:tmpl w:val="65F24A52"/>
    <w:lvl w:ilvl="0" w:tplc="C100CA16">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3" w15:restartNumberingAfterBreak="0">
    <w:nsid w:val="5A703723"/>
    <w:multiLevelType w:val="hybridMultilevel"/>
    <w:tmpl w:val="63148570"/>
    <w:lvl w:ilvl="0" w:tplc="171A96A2">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4" w15:restartNumberingAfterBreak="0">
    <w:nsid w:val="5CF02100"/>
    <w:multiLevelType w:val="hybridMultilevel"/>
    <w:tmpl w:val="49E68DF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15:restartNumberingAfterBreak="0">
    <w:nsid w:val="5E38505E"/>
    <w:multiLevelType w:val="hybridMultilevel"/>
    <w:tmpl w:val="BB30D17A"/>
    <w:lvl w:ilvl="0" w:tplc="33F23070">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6" w15:restartNumberingAfterBreak="0">
    <w:nsid w:val="61CD2E8D"/>
    <w:multiLevelType w:val="hybridMultilevel"/>
    <w:tmpl w:val="F91C64B0"/>
    <w:lvl w:ilvl="0" w:tplc="38090011">
      <w:start w:val="1"/>
      <w:numFmt w:val="decimal"/>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77" w15:restartNumberingAfterBreak="0">
    <w:nsid w:val="6262253F"/>
    <w:multiLevelType w:val="hybridMultilevel"/>
    <w:tmpl w:val="14B8488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15:restartNumberingAfterBreak="0">
    <w:nsid w:val="64F7145B"/>
    <w:multiLevelType w:val="hybridMultilevel"/>
    <w:tmpl w:val="ABBE034E"/>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9" w15:restartNumberingAfterBreak="0">
    <w:nsid w:val="682E7A74"/>
    <w:multiLevelType w:val="hybridMultilevel"/>
    <w:tmpl w:val="E2AC6F46"/>
    <w:lvl w:ilvl="0" w:tplc="C99621D2">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80" w15:restartNumberingAfterBreak="0">
    <w:nsid w:val="6AA57A7E"/>
    <w:multiLevelType w:val="hybridMultilevel"/>
    <w:tmpl w:val="D340D10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15:restartNumberingAfterBreak="0">
    <w:nsid w:val="6ACE3E93"/>
    <w:multiLevelType w:val="hybridMultilevel"/>
    <w:tmpl w:val="96A6FC74"/>
    <w:lvl w:ilvl="0" w:tplc="EA6021F2">
      <w:start w:val="1"/>
      <w:numFmt w:val="upperLetter"/>
      <w:lvlText w:val="%1."/>
      <w:lvlJc w:val="left"/>
      <w:pPr>
        <w:ind w:left="644" w:hanging="360"/>
      </w:pPr>
      <w:rPr>
        <w:rFonts w:hint="default"/>
        <w:i w:val="0"/>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82" w15:restartNumberingAfterBreak="0">
    <w:nsid w:val="6E3B1295"/>
    <w:multiLevelType w:val="hybridMultilevel"/>
    <w:tmpl w:val="296C6F74"/>
    <w:lvl w:ilvl="0" w:tplc="38090019">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3" w15:restartNumberingAfterBreak="0">
    <w:nsid w:val="6E6A2ADD"/>
    <w:multiLevelType w:val="hybridMultilevel"/>
    <w:tmpl w:val="08D42782"/>
    <w:lvl w:ilvl="0" w:tplc="59D47892">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84" w15:restartNumberingAfterBreak="0">
    <w:nsid w:val="6EC37F61"/>
    <w:multiLevelType w:val="hybridMultilevel"/>
    <w:tmpl w:val="3FC24648"/>
    <w:lvl w:ilvl="0" w:tplc="8DE885C2">
      <w:start w:val="1"/>
      <w:numFmt w:val="decimal"/>
      <w:lvlText w:val="(%1)"/>
      <w:lvlJc w:val="left"/>
      <w:pPr>
        <w:ind w:left="2520" w:hanging="360"/>
      </w:pPr>
      <w:rPr>
        <w:rFonts w:asciiTheme="majorBidi" w:eastAsiaTheme="minorHAnsi" w:hAnsiTheme="majorBidi" w:cstheme="majorBidi"/>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85" w15:restartNumberingAfterBreak="0">
    <w:nsid w:val="6EDA62BB"/>
    <w:multiLevelType w:val="hybridMultilevel"/>
    <w:tmpl w:val="B4C441C6"/>
    <w:lvl w:ilvl="0" w:tplc="6CA09F9C">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6" w15:restartNumberingAfterBreak="0">
    <w:nsid w:val="6F822DD3"/>
    <w:multiLevelType w:val="hybridMultilevel"/>
    <w:tmpl w:val="307A06E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7" w15:restartNumberingAfterBreak="0">
    <w:nsid w:val="71E94170"/>
    <w:multiLevelType w:val="hybridMultilevel"/>
    <w:tmpl w:val="916A0DBC"/>
    <w:lvl w:ilvl="0" w:tplc="457C049A">
      <w:start w:val="1"/>
      <w:numFmt w:val="lowerLetter"/>
      <w:lvlText w:val="%1."/>
      <w:lvlJc w:val="left"/>
      <w:pPr>
        <w:ind w:left="2520" w:hanging="360"/>
      </w:pPr>
      <w:rPr>
        <w:rFonts w:hint="default"/>
        <w:b w:val="0"/>
        <w:bCs/>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88" w15:restartNumberingAfterBreak="0">
    <w:nsid w:val="72253410"/>
    <w:multiLevelType w:val="hybridMultilevel"/>
    <w:tmpl w:val="2E0CF5BC"/>
    <w:lvl w:ilvl="0" w:tplc="EA0A45DE">
      <w:start w:val="1"/>
      <w:numFmt w:val="lowerLetter"/>
      <w:lvlText w:val="%1."/>
      <w:lvlJc w:val="left"/>
      <w:pPr>
        <w:ind w:left="2160" w:hanging="360"/>
      </w:pPr>
      <w:rPr>
        <w:rFonts w:hint="default"/>
        <w:i w:val="0"/>
        <w:iCs/>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89" w15:restartNumberingAfterBreak="0">
    <w:nsid w:val="732B7D23"/>
    <w:multiLevelType w:val="hybridMultilevel"/>
    <w:tmpl w:val="02EA49B2"/>
    <w:lvl w:ilvl="0" w:tplc="01DC8C0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0" w15:restartNumberingAfterBreak="0">
    <w:nsid w:val="747C126F"/>
    <w:multiLevelType w:val="hybridMultilevel"/>
    <w:tmpl w:val="9BB60D34"/>
    <w:lvl w:ilvl="0" w:tplc="97D0B2D2">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91" w15:restartNumberingAfterBreak="0">
    <w:nsid w:val="75033862"/>
    <w:multiLevelType w:val="hybridMultilevel"/>
    <w:tmpl w:val="4B72EB20"/>
    <w:lvl w:ilvl="0" w:tplc="62E67078">
      <w:start w:val="1"/>
      <w:numFmt w:val="decimal"/>
      <w:lvlText w:val="%1."/>
      <w:lvlJc w:val="left"/>
      <w:pPr>
        <w:ind w:left="1080" w:hanging="360"/>
      </w:pPr>
      <w:rPr>
        <w:rFonts w:hint="default"/>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2" w15:restartNumberingAfterBreak="0">
    <w:nsid w:val="75FD3787"/>
    <w:multiLevelType w:val="hybridMultilevel"/>
    <w:tmpl w:val="6EAADD04"/>
    <w:lvl w:ilvl="0" w:tplc="F93AC83E">
      <w:start w:val="1"/>
      <w:numFmt w:val="decimal"/>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93" w15:restartNumberingAfterBreak="0">
    <w:nsid w:val="76586C0D"/>
    <w:multiLevelType w:val="hybridMultilevel"/>
    <w:tmpl w:val="0FCA2C2E"/>
    <w:lvl w:ilvl="0" w:tplc="E00A826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4" w15:restartNumberingAfterBreak="0">
    <w:nsid w:val="76E46192"/>
    <w:multiLevelType w:val="hybridMultilevel"/>
    <w:tmpl w:val="FD76359E"/>
    <w:lvl w:ilvl="0" w:tplc="3809000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5" w15:restartNumberingAfterBreak="0">
    <w:nsid w:val="7C38486C"/>
    <w:multiLevelType w:val="hybridMultilevel"/>
    <w:tmpl w:val="FF3080F4"/>
    <w:lvl w:ilvl="0" w:tplc="17882036">
      <w:start w:val="1"/>
      <w:numFmt w:val="decimal"/>
      <w:lvlText w:val="%1."/>
      <w:lvlJc w:val="left"/>
      <w:pPr>
        <w:tabs>
          <w:tab w:val="num" w:pos="720"/>
        </w:tabs>
        <w:ind w:left="720" w:hanging="360"/>
      </w:pPr>
      <w:rPr>
        <w:rFonts w:ascii="Cambria" w:eastAsia="Cambria" w:hAnsi="Cambria" w:cs="Cambria" w:hint="default"/>
        <w:spacing w:val="-2"/>
        <w:w w:val="100"/>
        <w:sz w:val="24"/>
        <w:szCs w:val="24"/>
      </w:rPr>
    </w:lvl>
    <w:lvl w:ilvl="1" w:tplc="94FAD5F0">
      <w:start w:val="1"/>
      <w:numFmt w:val="decimal"/>
      <w:lvlText w:val="%2."/>
      <w:lvlJc w:val="left"/>
      <w:pPr>
        <w:tabs>
          <w:tab w:val="num" w:pos="1440"/>
        </w:tabs>
        <w:ind w:left="1440" w:hanging="360"/>
      </w:pPr>
      <w:rPr>
        <w:rFonts w:ascii="Cambria" w:eastAsia="Caladea" w:hAnsi="Cambria" w:cs="Times New Roman"/>
      </w:rPr>
    </w:lvl>
    <w:lvl w:ilvl="2" w:tplc="E252EBF0">
      <w:start w:val="1"/>
      <w:numFmt w:val="lowerRoman"/>
      <w:lvlText w:val="%3."/>
      <w:lvlJc w:val="right"/>
      <w:pPr>
        <w:tabs>
          <w:tab w:val="num" w:pos="2160"/>
        </w:tabs>
        <w:ind w:left="2160" w:hanging="180"/>
      </w:pPr>
      <w:rPr>
        <w:rFonts w:cs="Times New Roman"/>
      </w:rPr>
    </w:lvl>
    <w:lvl w:ilvl="3" w:tplc="D35AB8B0">
      <w:start w:val="1"/>
      <w:numFmt w:val="decimal"/>
      <w:lvlText w:val="%4."/>
      <w:lvlJc w:val="left"/>
      <w:pPr>
        <w:tabs>
          <w:tab w:val="num" w:pos="2880"/>
        </w:tabs>
        <w:ind w:left="2880" w:hanging="360"/>
      </w:pPr>
      <w:rPr>
        <w:rFonts w:cs="Times New Roman"/>
      </w:rPr>
    </w:lvl>
    <w:lvl w:ilvl="4" w:tplc="D3B0A772">
      <w:start w:val="1"/>
      <w:numFmt w:val="lowerLetter"/>
      <w:lvlText w:val="%5."/>
      <w:lvlJc w:val="left"/>
      <w:pPr>
        <w:tabs>
          <w:tab w:val="num" w:pos="3600"/>
        </w:tabs>
        <w:ind w:left="3600" w:hanging="360"/>
      </w:pPr>
      <w:rPr>
        <w:rFonts w:cs="Times New Roman"/>
      </w:rPr>
    </w:lvl>
    <w:lvl w:ilvl="5" w:tplc="3D067C8E">
      <w:start w:val="1"/>
      <w:numFmt w:val="lowerRoman"/>
      <w:lvlText w:val="%6."/>
      <w:lvlJc w:val="right"/>
      <w:pPr>
        <w:tabs>
          <w:tab w:val="num" w:pos="4320"/>
        </w:tabs>
        <w:ind w:left="4320" w:hanging="180"/>
      </w:pPr>
      <w:rPr>
        <w:rFonts w:cs="Times New Roman"/>
      </w:rPr>
    </w:lvl>
    <w:lvl w:ilvl="6" w:tplc="BA865752">
      <w:start w:val="1"/>
      <w:numFmt w:val="decimal"/>
      <w:lvlText w:val="%7."/>
      <w:lvlJc w:val="left"/>
      <w:pPr>
        <w:tabs>
          <w:tab w:val="num" w:pos="5040"/>
        </w:tabs>
        <w:ind w:left="5040" w:hanging="360"/>
      </w:pPr>
      <w:rPr>
        <w:rFonts w:cs="Times New Roman"/>
      </w:rPr>
    </w:lvl>
    <w:lvl w:ilvl="7" w:tplc="5712E542">
      <w:start w:val="1"/>
      <w:numFmt w:val="lowerLetter"/>
      <w:lvlText w:val="%8."/>
      <w:lvlJc w:val="left"/>
      <w:pPr>
        <w:tabs>
          <w:tab w:val="num" w:pos="5760"/>
        </w:tabs>
        <w:ind w:left="5760" w:hanging="360"/>
      </w:pPr>
      <w:rPr>
        <w:rFonts w:cs="Times New Roman"/>
      </w:rPr>
    </w:lvl>
    <w:lvl w:ilvl="8" w:tplc="93F46086">
      <w:start w:val="1"/>
      <w:numFmt w:val="lowerRoman"/>
      <w:lvlText w:val="%9."/>
      <w:lvlJc w:val="right"/>
      <w:pPr>
        <w:tabs>
          <w:tab w:val="num" w:pos="6480"/>
        </w:tabs>
        <w:ind w:left="6480" w:hanging="180"/>
      </w:pPr>
      <w:rPr>
        <w:rFonts w:cs="Times New Roman"/>
      </w:rPr>
    </w:lvl>
  </w:abstractNum>
  <w:abstractNum w:abstractNumId="96" w15:restartNumberingAfterBreak="0">
    <w:nsid w:val="7CBF098E"/>
    <w:multiLevelType w:val="hybridMultilevel"/>
    <w:tmpl w:val="960A6C28"/>
    <w:lvl w:ilvl="0" w:tplc="89EEDEB0">
      <w:start w:val="1"/>
      <w:numFmt w:val="decimal"/>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97" w15:restartNumberingAfterBreak="0">
    <w:nsid w:val="7E7B1AE2"/>
    <w:multiLevelType w:val="hybridMultilevel"/>
    <w:tmpl w:val="E45899E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8" w15:restartNumberingAfterBreak="0">
    <w:nsid w:val="7F7D41B2"/>
    <w:multiLevelType w:val="hybridMultilevel"/>
    <w:tmpl w:val="FFF03E86"/>
    <w:lvl w:ilvl="0" w:tplc="B16ACF5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16cid:durableId="414939734">
    <w:abstractNumId w:val="1"/>
  </w:num>
  <w:num w:numId="2" w16cid:durableId="547955484">
    <w:abstractNumId w:val="30"/>
  </w:num>
  <w:num w:numId="3" w16cid:durableId="259219682">
    <w:abstractNumId w:val="82"/>
  </w:num>
  <w:num w:numId="4" w16cid:durableId="1108694321">
    <w:abstractNumId w:val="24"/>
  </w:num>
  <w:num w:numId="5" w16cid:durableId="965500348">
    <w:abstractNumId w:val="64"/>
  </w:num>
  <w:num w:numId="6" w16cid:durableId="840851613">
    <w:abstractNumId w:val="74"/>
  </w:num>
  <w:num w:numId="7" w16cid:durableId="1290550285">
    <w:abstractNumId w:val="26"/>
  </w:num>
  <w:num w:numId="8" w16cid:durableId="329144404">
    <w:abstractNumId w:val="18"/>
  </w:num>
  <w:num w:numId="9" w16cid:durableId="1586649094">
    <w:abstractNumId w:val="19"/>
  </w:num>
  <w:num w:numId="10" w16cid:durableId="702051100">
    <w:abstractNumId w:val="28"/>
  </w:num>
  <w:num w:numId="11" w16cid:durableId="142426739">
    <w:abstractNumId w:val="66"/>
  </w:num>
  <w:num w:numId="12" w16cid:durableId="12535132">
    <w:abstractNumId w:val="3"/>
  </w:num>
  <w:num w:numId="13" w16cid:durableId="878395820">
    <w:abstractNumId w:val="67"/>
  </w:num>
  <w:num w:numId="14" w16cid:durableId="990447595">
    <w:abstractNumId w:val="63"/>
  </w:num>
  <w:num w:numId="15" w16cid:durableId="414522238">
    <w:abstractNumId w:val="33"/>
  </w:num>
  <w:num w:numId="16" w16cid:durableId="1629621716">
    <w:abstractNumId w:val="45"/>
  </w:num>
  <w:num w:numId="17" w16cid:durableId="1705210786">
    <w:abstractNumId w:val="52"/>
  </w:num>
  <w:num w:numId="18" w16cid:durableId="1619608138">
    <w:abstractNumId w:val="55"/>
  </w:num>
  <w:num w:numId="19" w16cid:durableId="396562104">
    <w:abstractNumId w:val="79"/>
  </w:num>
  <w:num w:numId="20" w16cid:durableId="1901671775">
    <w:abstractNumId w:val="91"/>
  </w:num>
  <w:num w:numId="21" w16cid:durableId="537014933">
    <w:abstractNumId w:val="7"/>
  </w:num>
  <w:num w:numId="22" w16cid:durableId="276643172">
    <w:abstractNumId w:val="62"/>
  </w:num>
  <w:num w:numId="23" w16cid:durableId="45376880">
    <w:abstractNumId w:val="22"/>
  </w:num>
  <w:num w:numId="24" w16cid:durableId="684602318">
    <w:abstractNumId w:val="53"/>
  </w:num>
  <w:num w:numId="25" w16cid:durableId="1501701249">
    <w:abstractNumId w:val="27"/>
  </w:num>
  <w:num w:numId="26" w16cid:durableId="1677918773">
    <w:abstractNumId w:val="90"/>
  </w:num>
  <w:num w:numId="27" w16cid:durableId="806631037">
    <w:abstractNumId w:val="15"/>
  </w:num>
  <w:num w:numId="28" w16cid:durableId="561603522">
    <w:abstractNumId w:val="57"/>
  </w:num>
  <w:num w:numId="29" w16cid:durableId="1112700488">
    <w:abstractNumId w:val="89"/>
  </w:num>
  <w:num w:numId="30" w16cid:durableId="1116143628">
    <w:abstractNumId w:val="73"/>
  </w:num>
  <w:num w:numId="31" w16cid:durableId="847907559">
    <w:abstractNumId w:val="39"/>
  </w:num>
  <w:num w:numId="32" w16cid:durableId="185409068">
    <w:abstractNumId w:val="5"/>
  </w:num>
  <w:num w:numId="33" w16cid:durableId="251859005">
    <w:abstractNumId w:val="23"/>
  </w:num>
  <w:num w:numId="34" w16cid:durableId="508177766">
    <w:abstractNumId w:val="72"/>
  </w:num>
  <w:num w:numId="35" w16cid:durableId="410661914">
    <w:abstractNumId w:val="0"/>
  </w:num>
  <w:num w:numId="36" w16cid:durableId="1937403935">
    <w:abstractNumId w:val="86"/>
  </w:num>
  <w:num w:numId="37" w16cid:durableId="1679770051">
    <w:abstractNumId w:val="71"/>
  </w:num>
  <w:num w:numId="38" w16cid:durableId="103116282">
    <w:abstractNumId w:val="48"/>
  </w:num>
  <w:num w:numId="39" w16cid:durableId="1504390949">
    <w:abstractNumId w:val="41"/>
  </w:num>
  <w:num w:numId="40" w16cid:durableId="1237327910">
    <w:abstractNumId w:val="2"/>
  </w:num>
  <w:num w:numId="41" w16cid:durableId="169762352">
    <w:abstractNumId w:val="17"/>
  </w:num>
  <w:num w:numId="42" w16cid:durableId="1097412067">
    <w:abstractNumId w:val="11"/>
  </w:num>
  <w:num w:numId="43" w16cid:durableId="499934487">
    <w:abstractNumId w:val="88"/>
  </w:num>
  <w:num w:numId="44" w16cid:durableId="1331828939">
    <w:abstractNumId w:val="43"/>
  </w:num>
  <w:num w:numId="45" w16cid:durableId="1035082915">
    <w:abstractNumId w:val="32"/>
  </w:num>
  <w:num w:numId="46" w16cid:durableId="1953856850">
    <w:abstractNumId w:val="84"/>
  </w:num>
  <w:num w:numId="47" w16cid:durableId="720248470">
    <w:abstractNumId w:val="65"/>
  </w:num>
  <w:num w:numId="48" w16cid:durableId="1129129874">
    <w:abstractNumId w:val="47"/>
  </w:num>
  <w:num w:numId="49" w16cid:durableId="2095280713">
    <w:abstractNumId w:val="75"/>
  </w:num>
  <w:num w:numId="50" w16cid:durableId="1691367881">
    <w:abstractNumId w:val="4"/>
  </w:num>
  <w:num w:numId="51" w16cid:durableId="1032923286">
    <w:abstractNumId w:val="50"/>
  </w:num>
  <w:num w:numId="52" w16cid:durableId="1068307670">
    <w:abstractNumId w:val="9"/>
  </w:num>
  <w:num w:numId="53" w16cid:durableId="78411119">
    <w:abstractNumId w:val="6"/>
  </w:num>
  <w:num w:numId="54" w16cid:durableId="849105172">
    <w:abstractNumId w:val="54"/>
  </w:num>
  <w:num w:numId="55" w16cid:durableId="980967456">
    <w:abstractNumId w:val="51"/>
  </w:num>
  <w:num w:numId="56" w16cid:durableId="1957062589">
    <w:abstractNumId w:val="34"/>
  </w:num>
  <w:num w:numId="57" w16cid:durableId="84544136">
    <w:abstractNumId w:val="83"/>
  </w:num>
  <w:num w:numId="58" w16cid:durableId="1162700845">
    <w:abstractNumId w:val="44"/>
  </w:num>
  <w:num w:numId="59" w16cid:durableId="2096441779">
    <w:abstractNumId w:val="70"/>
  </w:num>
  <w:num w:numId="60" w16cid:durableId="567376623">
    <w:abstractNumId w:val="31"/>
  </w:num>
  <w:num w:numId="61" w16cid:durableId="834612184">
    <w:abstractNumId w:val="38"/>
  </w:num>
  <w:num w:numId="62" w16cid:durableId="1383596167">
    <w:abstractNumId w:val="13"/>
  </w:num>
  <w:num w:numId="63" w16cid:durableId="963079806">
    <w:abstractNumId w:val="85"/>
  </w:num>
  <w:num w:numId="64" w16cid:durableId="751128383">
    <w:abstractNumId w:val="59"/>
  </w:num>
  <w:num w:numId="65" w16cid:durableId="817188939">
    <w:abstractNumId w:val="69"/>
  </w:num>
  <w:num w:numId="66" w16cid:durableId="283656022">
    <w:abstractNumId w:val="20"/>
  </w:num>
  <w:num w:numId="67" w16cid:durableId="1495073110">
    <w:abstractNumId w:val="80"/>
  </w:num>
  <w:num w:numId="68" w16cid:durableId="867762681">
    <w:abstractNumId w:val="58"/>
  </w:num>
  <w:num w:numId="69" w16cid:durableId="1193303071">
    <w:abstractNumId w:val="37"/>
  </w:num>
  <w:num w:numId="70" w16cid:durableId="615672252">
    <w:abstractNumId w:val="3"/>
    <w:lvlOverride w:ilvl="0"/>
  </w:num>
  <w:num w:numId="71" w16cid:durableId="1129740227">
    <w:abstractNumId w:val="3"/>
    <w:lvlOverride w:ilvl="0">
      <w:startOverride w:val="1"/>
    </w:lvlOverride>
  </w:num>
  <w:num w:numId="72" w16cid:durableId="287321785">
    <w:abstractNumId w:val="3"/>
    <w:lvlOverride w:ilvl="0">
      <w:startOverride w:val="1"/>
    </w:lvlOverride>
  </w:num>
  <w:num w:numId="73" w16cid:durableId="685134659">
    <w:abstractNumId w:val="3"/>
    <w:lvlOverride w:ilvl="0">
      <w:startOverride w:val="1"/>
    </w:lvlOverride>
  </w:num>
  <w:num w:numId="74" w16cid:durableId="147669948">
    <w:abstractNumId w:val="49"/>
  </w:num>
  <w:num w:numId="75" w16cid:durableId="127673605">
    <w:abstractNumId w:val="68"/>
  </w:num>
  <w:num w:numId="76" w16cid:durableId="554973479">
    <w:abstractNumId w:val="14"/>
  </w:num>
  <w:num w:numId="77" w16cid:durableId="480273490">
    <w:abstractNumId w:val="92"/>
  </w:num>
  <w:num w:numId="78" w16cid:durableId="1949773628">
    <w:abstractNumId w:val="87"/>
  </w:num>
  <w:num w:numId="79" w16cid:durableId="1503548146">
    <w:abstractNumId w:val="46"/>
  </w:num>
  <w:num w:numId="80" w16cid:durableId="846290837">
    <w:abstractNumId w:val="40"/>
  </w:num>
  <w:num w:numId="81" w16cid:durableId="489949644">
    <w:abstractNumId w:val="25"/>
  </w:num>
  <w:num w:numId="82" w16cid:durableId="716048015">
    <w:abstractNumId w:val="8"/>
  </w:num>
  <w:num w:numId="83" w16cid:durableId="952903684">
    <w:abstractNumId w:val="10"/>
  </w:num>
  <w:num w:numId="84" w16cid:durableId="620645433">
    <w:abstractNumId w:val="78"/>
  </w:num>
  <w:num w:numId="85" w16cid:durableId="1135290887">
    <w:abstractNumId w:val="61"/>
  </w:num>
  <w:num w:numId="86" w16cid:durableId="168983095">
    <w:abstractNumId w:val="98"/>
  </w:num>
  <w:num w:numId="87" w16cid:durableId="1848211389">
    <w:abstractNumId w:val="16"/>
  </w:num>
  <w:num w:numId="88" w16cid:durableId="1758403435">
    <w:abstractNumId w:val="95"/>
  </w:num>
  <w:num w:numId="89" w16cid:durableId="464157330">
    <w:abstractNumId w:val="56"/>
  </w:num>
  <w:num w:numId="90" w16cid:durableId="960115234">
    <w:abstractNumId w:val="77"/>
  </w:num>
  <w:num w:numId="91" w16cid:durableId="121270572">
    <w:abstractNumId w:val="93"/>
  </w:num>
  <w:num w:numId="92" w16cid:durableId="232355273">
    <w:abstractNumId w:val="42"/>
  </w:num>
  <w:num w:numId="93" w16cid:durableId="316886258">
    <w:abstractNumId w:val="29"/>
  </w:num>
  <w:num w:numId="94" w16cid:durableId="1577743563">
    <w:abstractNumId w:val="97"/>
  </w:num>
  <w:num w:numId="95" w16cid:durableId="630746682">
    <w:abstractNumId w:val="76"/>
  </w:num>
  <w:num w:numId="96" w16cid:durableId="1902136694">
    <w:abstractNumId w:val="60"/>
  </w:num>
  <w:num w:numId="97" w16cid:durableId="1525052046">
    <w:abstractNumId w:val="94"/>
  </w:num>
  <w:num w:numId="98" w16cid:durableId="814373607">
    <w:abstractNumId w:val="35"/>
  </w:num>
  <w:num w:numId="99" w16cid:durableId="288127161">
    <w:abstractNumId w:val="12"/>
  </w:num>
  <w:num w:numId="100" w16cid:durableId="1670982830">
    <w:abstractNumId w:val="21"/>
  </w:num>
  <w:num w:numId="101" w16cid:durableId="1127549090">
    <w:abstractNumId w:val="36"/>
  </w:num>
  <w:num w:numId="102" w16cid:durableId="1655911406">
    <w:abstractNumId w:val="81"/>
  </w:num>
  <w:num w:numId="103" w16cid:durableId="2018579168">
    <w:abstractNumId w:val="96"/>
  </w:num>
  <w:num w:numId="104" w16cid:durableId="1095588050">
    <w:abstractNumId w:val="3"/>
  </w:num>
  <w:num w:numId="105" w16cid:durableId="928002403">
    <w:abstractNumId w:val="3"/>
  </w:num>
  <w:num w:numId="106" w16cid:durableId="554314751">
    <w:abstractNumId w:val="3"/>
  </w:num>
  <w:num w:numId="107" w16cid:durableId="245647884">
    <w:abstractNumId w:val="3"/>
  </w:num>
  <w:num w:numId="108" w16cid:durableId="1456294941">
    <w:abstractNumId w:val="3"/>
  </w:num>
  <w:num w:numId="109" w16cid:durableId="1565798076">
    <w:abstractNumId w:val="3"/>
  </w:num>
  <w:num w:numId="110" w16cid:durableId="320736981">
    <w:abstractNumId w:val="3"/>
  </w:num>
  <w:num w:numId="111" w16cid:durableId="2007392829">
    <w:abstractNumId w:val="3"/>
  </w:num>
  <w:num w:numId="112" w16cid:durableId="488716249">
    <w:abstractNumId w:val="3"/>
    <w:lvlOverride w:ilvl="0">
      <w:startOverride w:val="1"/>
    </w:lvlOverride>
  </w:num>
  <w:num w:numId="113" w16cid:durableId="10224424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72B"/>
    <w:rsid w:val="000112D6"/>
    <w:rsid w:val="00026064"/>
    <w:rsid w:val="000328B2"/>
    <w:rsid w:val="00041248"/>
    <w:rsid w:val="00044C43"/>
    <w:rsid w:val="000469B4"/>
    <w:rsid w:val="0006189A"/>
    <w:rsid w:val="0007025E"/>
    <w:rsid w:val="000756E9"/>
    <w:rsid w:val="000816A7"/>
    <w:rsid w:val="000842BA"/>
    <w:rsid w:val="00086C9B"/>
    <w:rsid w:val="000A2E5C"/>
    <w:rsid w:val="000A7878"/>
    <w:rsid w:val="000C6E3F"/>
    <w:rsid w:val="000E69BB"/>
    <w:rsid w:val="000F73E8"/>
    <w:rsid w:val="00116F9A"/>
    <w:rsid w:val="00127BD6"/>
    <w:rsid w:val="00136A2C"/>
    <w:rsid w:val="0014375A"/>
    <w:rsid w:val="00152413"/>
    <w:rsid w:val="00164EA5"/>
    <w:rsid w:val="0016600C"/>
    <w:rsid w:val="0017188F"/>
    <w:rsid w:val="00184568"/>
    <w:rsid w:val="00194317"/>
    <w:rsid w:val="001B6706"/>
    <w:rsid w:val="001C7526"/>
    <w:rsid w:val="001D453A"/>
    <w:rsid w:val="001F6C1A"/>
    <w:rsid w:val="002015FB"/>
    <w:rsid w:val="00226CDC"/>
    <w:rsid w:val="00234FF0"/>
    <w:rsid w:val="0024675D"/>
    <w:rsid w:val="00250C5D"/>
    <w:rsid w:val="00263C8C"/>
    <w:rsid w:val="00265413"/>
    <w:rsid w:val="002720D0"/>
    <w:rsid w:val="00291B2E"/>
    <w:rsid w:val="002B0CC6"/>
    <w:rsid w:val="002C6793"/>
    <w:rsid w:val="0030260B"/>
    <w:rsid w:val="0032006D"/>
    <w:rsid w:val="00325F7D"/>
    <w:rsid w:val="0033664E"/>
    <w:rsid w:val="0034433C"/>
    <w:rsid w:val="00350FBA"/>
    <w:rsid w:val="003530F0"/>
    <w:rsid w:val="003543B5"/>
    <w:rsid w:val="003562AA"/>
    <w:rsid w:val="00387109"/>
    <w:rsid w:val="003933F9"/>
    <w:rsid w:val="003A6BFE"/>
    <w:rsid w:val="003B0E85"/>
    <w:rsid w:val="003C0517"/>
    <w:rsid w:val="003C23DD"/>
    <w:rsid w:val="003D31DB"/>
    <w:rsid w:val="003D7277"/>
    <w:rsid w:val="003E74D0"/>
    <w:rsid w:val="00432CC3"/>
    <w:rsid w:val="00463691"/>
    <w:rsid w:val="00464E48"/>
    <w:rsid w:val="0047034B"/>
    <w:rsid w:val="00474234"/>
    <w:rsid w:val="004753E0"/>
    <w:rsid w:val="0048652C"/>
    <w:rsid w:val="00491F9B"/>
    <w:rsid w:val="004C6E8C"/>
    <w:rsid w:val="004E2BC9"/>
    <w:rsid w:val="004E5132"/>
    <w:rsid w:val="00514D0C"/>
    <w:rsid w:val="005418DB"/>
    <w:rsid w:val="00543ACE"/>
    <w:rsid w:val="005548AF"/>
    <w:rsid w:val="0055758F"/>
    <w:rsid w:val="00572452"/>
    <w:rsid w:val="00577B45"/>
    <w:rsid w:val="00584E35"/>
    <w:rsid w:val="00587115"/>
    <w:rsid w:val="00595141"/>
    <w:rsid w:val="005B28C3"/>
    <w:rsid w:val="005B7E27"/>
    <w:rsid w:val="005C000B"/>
    <w:rsid w:val="005D2D6A"/>
    <w:rsid w:val="005E0104"/>
    <w:rsid w:val="005F497E"/>
    <w:rsid w:val="005F5ED0"/>
    <w:rsid w:val="00605CEB"/>
    <w:rsid w:val="006134B5"/>
    <w:rsid w:val="00614835"/>
    <w:rsid w:val="0062337A"/>
    <w:rsid w:val="00630AD4"/>
    <w:rsid w:val="00667F2B"/>
    <w:rsid w:val="006730EC"/>
    <w:rsid w:val="006854D2"/>
    <w:rsid w:val="006A65D8"/>
    <w:rsid w:val="006D5EAE"/>
    <w:rsid w:val="006E2051"/>
    <w:rsid w:val="006E258C"/>
    <w:rsid w:val="006E40BC"/>
    <w:rsid w:val="006E4E41"/>
    <w:rsid w:val="006F6E1B"/>
    <w:rsid w:val="00704603"/>
    <w:rsid w:val="00751C53"/>
    <w:rsid w:val="00761698"/>
    <w:rsid w:val="00771892"/>
    <w:rsid w:val="00790D0D"/>
    <w:rsid w:val="00796A25"/>
    <w:rsid w:val="007B4C0E"/>
    <w:rsid w:val="007B65C0"/>
    <w:rsid w:val="007C062E"/>
    <w:rsid w:val="007E3EAF"/>
    <w:rsid w:val="007F361B"/>
    <w:rsid w:val="00822145"/>
    <w:rsid w:val="00823B5C"/>
    <w:rsid w:val="0082570F"/>
    <w:rsid w:val="00826066"/>
    <w:rsid w:val="0083343C"/>
    <w:rsid w:val="008441B8"/>
    <w:rsid w:val="0084423A"/>
    <w:rsid w:val="00857FA4"/>
    <w:rsid w:val="0087427D"/>
    <w:rsid w:val="008752B4"/>
    <w:rsid w:val="008A1297"/>
    <w:rsid w:val="008C09E2"/>
    <w:rsid w:val="008C19B8"/>
    <w:rsid w:val="008C4812"/>
    <w:rsid w:val="008D0D25"/>
    <w:rsid w:val="008D1E4C"/>
    <w:rsid w:val="008D372B"/>
    <w:rsid w:val="008F37CB"/>
    <w:rsid w:val="009017FC"/>
    <w:rsid w:val="009113D6"/>
    <w:rsid w:val="00920687"/>
    <w:rsid w:val="00920E35"/>
    <w:rsid w:val="0094546B"/>
    <w:rsid w:val="00951097"/>
    <w:rsid w:val="00951C2A"/>
    <w:rsid w:val="009A18CE"/>
    <w:rsid w:val="009B7112"/>
    <w:rsid w:val="009C24A0"/>
    <w:rsid w:val="009C4EF0"/>
    <w:rsid w:val="009E3B69"/>
    <w:rsid w:val="009F7719"/>
    <w:rsid w:val="00A00E91"/>
    <w:rsid w:val="00A129C8"/>
    <w:rsid w:val="00A20BEA"/>
    <w:rsid w:val="00A30D45"/>
    <w:rsid w:val="00A37820"/>
    <w:rsid w:val="00A42310"/>
    <w:rsid w:val="00A660D8"/>
    <w:rsid w:val="00A74FFF"/>
    <w:rsid w:val="00A84DB4"/>
    <w:rsid w:val="00A855AC"/>
    <w:rsid w:val="00AB1CB5"/>
    <w:rsid w:val="00AE0956"/>
    <w:rsid w:val="00AE1375"/>
    <w:rsid w:val="00AF762C"/>
    <w:rsid w:val="00B02947"/>
    <w:rsid w:val="00B02AD8"/>
    <w:rsid w:val="00B13E4F"/>
    <w:rsid w:val="00B512E0"/>
    <w:rsid w:val="00B6085F"/>
    <w:rsid w:val="00B64CB2"/>
    <w:rsid w:val="00B7746B"/>
    <w:rsid w:val="00B86D08"/>
    <w:rsid w:val="00B87CF5"/>
    <w:rsid w:val="00BA5718"/>
    <w:rsid w:val="00BB35B7"/>
    <w:rsid w:val="00BD506F"/>
    <w:rsid w:val="00BF5DC7"/>
    <w:rsid w:val="00C1066E"/>
    <w:rsid w:val="00C116D2"/>
    <w:rsid w:val="00C26BC1"/>
    <w:rsid w:val="00C30C23"/>
    <w:rsid w:val="00C3466D"/>
    <w:rsid w:val="00C83117"/>
    <w:rsid w:val="00C90B42"/>
    <w:rsid w:val="00C974D6"/>
    <w:rsid w:val="00CA04C8"/>
    <w:rsid w:val="00CA0F65"/>
    <w:rsid w:val="00CB2ADD"/>
    <w:rsid w:val="00CC3214"/>
    <w:rsid w:val="00CC34C4"/>
    <w:rsid w:val="00CD5F0F"/>
    <w:rsid w:val="00CD6035"/>
    <w:rsid w:val="00CD703D"/>
    <w:rsid w:val="00CE26B5"/>
    <w:rsid w:val="00CE43E9"/>
    <w:rsid w:val="00CE4DA8"/>
    <w:rsid w:val="00D22D4A"/>
    <w:rsid w:val="00D259EC"/>
    <w:rsid w:val="00D313F0"/>
    <w:rsid w:val="00D33C88"/>
    <w:rsid w:val="00D537F5"/>
    <w:rsid w:val="00D60CC7"/>
    <w:rsid w:val="00D75ACB"/>
    <w:rsid w:val="00D90EFC"/>
    <w:rsid w:val="00D940A8"/>
    <w:rsid w:val="00D96515"/>
    <w:rsid w:val="00DB2BED"/>
    <w:rsid w:val="00DC3133"/>
    <w:rsid w:val="00DC334E"/>
    <w:rsid w:val="00DD4806"/>
    <w:rsid w:val="00E037C7"/>
    <w:rsid w:val="00E04D7A"/>
    <w:rsid w:val="00E07EB5"/>
    <w:rsid w:val="00E35317"/>
    <w:rsid w:val="00E56623"/>
    <w:rsid w:val="00E66130"/>
    <w:rsid w:val="00E76283"/>
    <w:rsid w:val="00E809B8"/>
    <w:rsid w:val="00ED57CC"/>
    <w:rsid w:val="00ED7DAC"/>
    <w:rsid w:val="00EE1704"/>
    <w:rsid w:val="00F01255"/>
    <w:rsid w:val="00F14C08"/>
    <w:rsid w:val="00F178DC"/>
    <w:rsid w:val="00F300E3"/>
    <w:rsid w:val="00F35480"/>
    <w:rsid w:val="00F40690"/>
    <w:rsid w:val="00F6324E"/>
    <w:rsid w:val="00F6343B"/>
    <w:rsid w:val="00F7345B"/>
    <w:rsid w:val="00F8041E"/>
    <w:rsid w:val="00F82827"/>
    <w:rsid w:val="00F97A8E"/>
    <w:rsid w:val="00FA5250"/>
    <w:rsid w:val="00FB32D1"/>
    <w:rsid w:val="00FC424C"/>
    <w:rsid w:val="00FD45E7"/>
    <w:rsid w:val="00FD47E8"/>
    <w:rsid w:val="00FE5715"/>
    <w:rsid w:val="00FF67E9"/>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61F607"/>
  <w15:chartTrackingRefBased/>
  <w15:docId w15:val="{25DA74A5-CC04-42E7-83EF-11AF02D78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D372B"/>
    <w:pPr>
      <w:jc w:val="center"/>
      <w:outlineLvl w:val="0"/>
    </w:pPr>
    <w:rPr>
      <w:rFonts w:asciiTheme="majorBidi" w:hAnsiTheme="majorBidi" w:cstheme="majorBidi"/>
      <w:b/>
      <w:bCs/>
      <w:sz w:val="24"/>
      <w:szCs w:val="24"/>
      <w:lang w:val="en-US"/>
    </w:rPr>
  </w:style>
  <w:style w:type="paragraph" w:styleId="Heading2">
    <w:name w:val="heading 2"/>
    <w:basedOn w:val="ListParagraph"/>
    <w:next w:val="Normal"/>
    <w:link w:val="Heading2Char"/>
    <w:uiPriority w:val="9"/>
    <w:unhideWhenUsed/>
    <w:qFormat/>
    <w:rsid w:val="008D372B"/>
    <w:pPr>
      <w:numPr>
        <w:numId w:val="12"/>
      </w:numPr>
      <w:jc w:val="both"/>
      <w:outlineLvl w:val="1"/>
    </w:pPr>
    <w:rPr>
      <w:rFonts w:asciiTheme="majorBidi" w:hAnsiTheme="majorBidi" w:cstheme="majorBidi"/>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372B"/>
    <w:rPr>
      <w:rFonts w:asciiTheme="majorBidi" w:hAnsiTheme="majorBidi" w:cstheme="majorBidi"/>
      <w:b/>
      <w:bCs/>
      <w:sz w:val="24"/>
      <w:szCs w:val="24"/>
      <w:lang w:val="en-US"/>
    </w:rPr>
  </w:style>
  <w:style w:type="character" w:customStyle="1" w:styleId="Heading2Char">
    <w:name w:val="Heading 2 Char"/>
    <w:basedOn w:val="DefaultParagraphFont"/>
    <w:link w:val="Heading2"/>
    <w:uiPriority w:val="9"/>
    <w:rsid w:val="008D372B"/>
    <w:rPr>
      <w:rFonts w:asciiTheme="majorBidi" w:hAnsiTheme="majorBidi" w:cstheme="majorBidi"/>
      <w:b/>
      <w:bCs/>
      <w:sz w:val="24"/>
      <w:szCs w:val="24"/>
      <w:lang w:val="en-US"/>
    </w:rPr>
  </w:style>
  <w:style w:type="paragraph" w:styleId="ListParagraph">
    <w:name w:val="List Paragraph"/>
    <w:aliases w:val="Body of text,List Paragraph1,sub 1"/>
    <w:basedOn w:val="Normal"/>
    <w:link w:val="ListParagraphChar"/>
    <w:uiPriority w:val="1"/>
    <w:qFormat/>
    <w:rsid w:val="008D372B"/>
    <w:pPr>
      <w:ind w:left="720"/>
      <w:contextualSpacing/>
    </w:pPr>
  </w:style>
  <w:style w:type="paragraph" w:styleId="FootnoteText">
    <w:name w:val="footnote text"/>
    <w:basedOn w:val="Normal"/>
    <w:link w:val="FootnoteTextChar"/>
    <w:uiPriority w:val="99"/>
    <w:semiHidden/>
    <w:unhideWhenUsed/>
    <w:rsid w:val="008D372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D372B"/>
    <w:rPr>
      <w:sz w:val="20"/>
      <w:szCs w:val="20"/>
    </w:rPr>
  </w:style>
  <w:style w:type="character" w:styleId="FootnoteReference">
    <w:name w:val="footnote reference"/>
    <w:basedOn w:val="DefaultParagraphFont"/>
    <w:uiPriority w:val="99"/>
    <w:semiHidden/>
    <w:unhideWhenUsed/>
    <w:rsid w:val="008D372B"/>
    <w:rPr>
      <w:vertAlign w:val="superscript"/>
    </w:rPr>
  </w:style>
  <w:style w:type="character" w:styleId="Strong">
    <w:name w:val="Strong"/>
    <w:basedOn w:val="DefaultParagraphFont"/>
    <w:uiPriority w:val="22"/>
    <w:qFormat/>
    <w:rsid w:val="008D372B"/>
    <w:rPr>
      <w:b/>
      <w:bCs/>
    </w:rPr>
  </w:style>
  <w:style w:type="character" w:styleId="Hyperlink">
    <w:name w:val="Hyperlink"/>
    <w:basedOn w:val="DefaultParagraphFont"/>
    <w:uiPriority w:val="99"/>
    <w:unhideWhenUsed/>
    <w:rsid w:val="008D372B"/>
    <w:rPr>
      <w:color w:val="0563C1" w:themeColor="hyperlink"/>
      <w:u w:val="single"/>
    </w:rPr>
  </w:style>
  <w:style w:type="character" w:styleId="UnresolvedMention">
    <w:name w:val="Unresolved Mention"/>
    <w:basedOn w:val="DefaultParagraphFont"/>
    <w:uiPriority w:val="99"/>
    <w:semiHidden/>
    <w:unhideWhenUsed/>
    <w:rsid w:val="008D372B"/>
    <w:rPr>
      <w:color w:val="605E5C"/>
      <w:shd w:val="clear" w:color="auto" w:fill="E1DFDD"/>
    </w:rPr>
  </w:style>
  <w:style w:type="table" w:styleId="TableGrid">
    <w:name w:val="Table Grid"/>
    <w:basedOn w:val="TableNormal"/>
    <w:uiPriority w:val="39"/>
    <w:rsid w:val="008D3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sub 1 Char"/>
    <w:link w:val="ListParagraph"/>
    <w:uiPriority w:val="1"/>
    <w:locked/>
    <w:rsid w:val="008D372B"/>
  </w:style>
  <w:style w:type="paragraph" w:styleId="Header">
    <w:name w:val="header"/>
    <w:basedOn w:val="Normal"/>
    <w:link w:val="HeaderChar"/>
    <w:uiPriority w:val="99"/>
    <w:unhideWhenUsed/>
    <w:rsid w:val="008D37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372B"/>
  </w:style>
  <w:style w:type="paragraph" w:styleId="Footer">
    <w:name w:val="footer"/>
    <w:basedOn w:val="Normal"/>
    <w:link w:val="FooterChar"/>
    <w:uiPriority w:val="99"/>
    <w:unhideWhenUsed/>
    <w:rsid w:val="008D37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372B"/>
  </w:style>
  <w:style w:type="paragraph" w:styleId="TOCHeading">
    <w:name w:val="TOC Heading"/>
    <w:basedOn w:val="Heading1"/>
    <w:next w:val="Normal"/>
    <w:uiPriority w:val="39"/>
    <w:unhideWhenUsed/>
    <w:qFormat/>
    <w:rsid w:val="008D372B"/>
    <w:pPr>
      <w:keepNext/>
      <w:keepLines/>
      <w:spacing w:before="240" w:after="0"/>
      <w:jc w:val="left"/>
      <w:outlineLvl w:val="9"/>
    </w:pPr>
    <w:rPr>
      <w:rFonts w:asciiTheme="majorHAnsi" w:eastAsiaTheme="majorEastAsia" w:hAnsiTheme="majorHAnsi"/>
      <w:b w:val="0"/>
      <w:bCs w:val="0"/>
      <w:color w:val="2F5496" w:themeColor="accent1" w:themeShade="BF"/>
      <w:kern w:val="0"/>
      <w:sz w:val="32"/>
      <w:szCs w:val="32"/>
      <w14:ligatures w14:val="none"/>
    </w:rPr>
  </w:style>
  <w:style w:type="paragraph" w:styleId="TOC1">
    <w:name w:val="toc 1"/>
    <w:basedOn w:val="Normal"/>
    <w:next w:val="Normal"/>
    <w:autoRedefine/>
    <w:uiPriority w:val="39"/>
    <w:unhideWhenUsed/>
    <w:rsid w:val="009F7719"/>
    <w:pPr>
      <w:tabs>
        <w:tab w:val="right" w:leader="dot" w:pos="5829"/>
      </w:tabs>
      <w:spacing w:after="100"/>
    </w:pPr>
    <w:rPr>
      <w:rFonts w:asciiTheme="majorBidi" w:hAnsiTheme="majorBidi" w:cstheme="majorBidi"/>
      <w:b/>
      <w:bCs/>
      <w:noProof/>
    </w:rPr>
  </w:style>
  <w:style w:type="paragraph" w:styleId="TOC2">
    <w:name w:val="toc 2"/>
    <w:basedOn w:val="Normal"/>
    <w:next w:val="Normal"/>
    <w:autoRedefine/>
    <w:uiPriority w:val="39"/>
    <w:unhideWhenUsed/>
    <w:rsid w:val="008D372B"/>
    <w:pPr>
      <w:spacing w:after="100"/>
      <w:ind w:left="220"/>
    </w:pPr>
  </w:style>
  <w:style w:type="paragraph" w:styleId="BodyText">
    <w:name w:val="Body Text"/>
    <w:basedOn w:val="Normal"/>
    <w:link w:val="BodyTextChar"/>
    <w:uiPriority w:val="1"/>
    <w:qFormat/>
    <w:rsid w:val="008D372B"/>
    <w:pPr>
      <w:widowControl w:val="0"/>
      <w:autoSpaceDE w:val="0"/>
      <w:autoSpaceDN w:val="0"/>
      <w:spacing w:after="0" w:line="240" w:lineRule="auto"/>
      <w:jc w:val="both"/>
    </w:pPr>
    <w:rPr>
      <w:rFonts w:ascii="Cambria" w:eastAsia="Cambria" w:hAnsi="Cambria" w:cs="Cambria"/>
      <w:kern w:val="0"/>
      <w:lang w:val="ms"/>
      <w14:ligatures w14:val="none"/>
    </w:rPr>
  </w:style>
  <w:style w:type="character" w:customStyle="1" w:styleId="BodyTextChar">
    <w:name w:val="Body Text Char"/>
    <w:basedOn w:val="DefaultParagraphFont"/>
    <w:link w:val="BodyText"/>
    <w:uiPriority w:val="1"/>
    <w:rsid w:val="008D372B"/>
    <w:rPr>
      <w:rFonts w:ascii="Cambria" w:eastAsia="Cambria" w:hAnsi="Cambria" w:cs="Cambria"/>
      <w:kern w:val="0"/>
      <w:lang w:val="ms"/>
      <w14:ligatures w14:val="none"/>
    </w:rPr>
  </w:style>
  <w:style w:type="character" w:styleId="LineNumber">
    <w:name w:val="line number"/>
    <w:basedOn w:val="DefaultParagraphFont"/>
    <w:uiPriority w:val="99"/>
    <w:semiHidden/>
    <w:unhideWhenUsed/>
    <w:rsid w:val="00C26B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879243">
      <w:bodyDiv w:val="1"/>
      <w:marLeft w:val="0"/>
      <w:marRight w:val="0"/>
      <w:marTop w:val="0"/>
      <w:marBottom w:val="0"/>
      <w:divBdr>
        <w:top w:val="none" w:sz="0" w:space="0" w:color="auto"/>
        <w:left w:val="none" w:sz="0" w:space="0" w:color="auto"/>
        <w:bottom w:val="none" w:sz="0" w:space="0" w:color="auto"/>
        <w:right w:val="none" w:sz="0" w:space="0" w:color="auto"/>
      </w:divBdr>
    </w:div>
    <w:div w:id="1691711866">
      <w:bodyDiv w:val="1"/>
      <w:marLeft w:val="0"/>
      <w:marRight w:val="0"/>
      <w:marTop w:val="0"/>
      <w:marBottom w:val="0"/>
      <w:divBdr>
        <w:top w:val="none" w:sz="0" w:space="0" w:color="auto"/>
        <w:left w:val="none" w:sz="0" w:space="0" w:color="auto"/>
        <w:bottom w:val="none" w:sz="0" w:space="0" w:color="auto"/>
        <w:right w:val="none" w:sz="0" w:space="0" w:color="auto"/>
      </w:divBdr>
    </w:div>
    <w:div w:id="1854226206">
      <w:bodyDiv w:val="1"/>
      <w:marLeft w:val="0"/>
      <w:marRight w:val="0"/>
      <w:marTop w:val="0"/>
      <w:marBottom w:val="0"/>
      <w:divBdr>
        <w:top w:val="none" w:sz="0" w:space="0" w:color="auto"/>
        <w:left w:val="none" w:sz="0" w:space="0" w:color="auto"/>
        <w:bottom w:val="none" w:sz="0" w:space="0" w:color="auto"/>
        <w:right w:val="none" w:sz="0" w:space="0" w:color="auto"/>
      </w:divBdr>
    </w:div>
    <w:div w:id="1879586867">
      <w:bodyDiv w:val="1"/>
      <w:marLeft w:val="0"/>
      <w:marRight w:val="0"/>
      <w:marTop w:val="0"/>
      <w:marBottom w:val="0"/>
      <w:divBdr>
        <w:top w:val="none" w:sz="0" w:space="0" w:color="auto"/>
        <w:left w:val="none" w:sz="0" w:space="0" w:color="auto"/>
        <w:bottom w:val="none" w:sz="0" w:space="0" w:color="auto"/>
        <w:right w:val="none" w:sz="0" w:space="0" w:color="auto"/>
      </w:divBdr>
    </w:div>
    <w:div w:id="1989507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oter" Target="footer4.xml"/><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jpeg"/><Relationship Id="rId29" Type="http://schemas.openxmlformats.org/officeDocument/2006/relationships/hyperlink" Target="mailto:hamireza3771@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5.jpeg"/><Relationship Id="rId31"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5.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334F95-A2F5-495D-8DF8-5A145D873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2199</TotalTime>
  <Pages>154</Pages>
  <Words>27350</Words>
  <Characters>155901</Characters>
  <Application>Microsoft Office Word</Application>
  <DocSecurity>0</DocSecurity>
  <Lines>1299</Lines>
  <Paragraphs>365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2VY9 OHS</dc:creator>
  <cp:keywords/>
  <dc:description/>
  <cp:lastModifiedBy>HP 2VY9 OHS</cp:lastModifiedBy>
  <cp:revision>42</cp:revision>
  <cp:lastPrinted>2024-12-24T15:17:00Z</cp:lastPrinted>
  <dcterms:created xsi:type="dcterms:W3CDTF">2024-10-23T12:19:00Z</dcterms:created>
  <dcterms:modified xsi:type="dcterms:W3CDTF">2024-12-24T15:18:00Z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73618cae-a592-3a56-a697-ac0828fdb5a1</vt:lpwstr>
  </property>
  <property fmtid="{D5CDD505-2E9C-101B-9397-08002B2CF9AE}" pid="4" name="Mendeley Citation Style_1">
    <vt:lpwstr>http://www.zotero.org/styles/turabian-fullnote-bibliography</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7th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 6th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http://www.zotero.org/styles/chicago-fullnote-bibliography</vt:lpwstr>
  </property>
  <property fmtid="{D5CDD505-2E9C-101B-9397-08002B2CF9AE}" pid="12" name="Mendeley Recent Style Name 3_1">
    <vt:lpwstr>Chicago Manual of Style 17th edition (full note)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http://www.zotero.org/styles/turabian-fullnote-bibliography</vt:lpwstr>
  </property>
  <property fmtid="{D5CDD505-2E9C-101B-9397-08002B2CF9AE}" pid="24" name="Mendeley Recent Style Name 9_1">
    <vt:lpwstr>Turabian 8th edition (full note)</vt:lpwstr>
  </property>
</Properties>
</file>