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pPr>
      <w:bookmarkStart w:id="0" w:name="_Toc199801639"/>
      <w:r>
        <w:t>TINJAUAN GRASI TERHADAP HUKUMAN MATI KASUS NARKOTIKA (</w:t>
      </w:r>
      <w:r>
        <w:rPr>
          <w:lang w:val="en-US"/>
        </w:rPr>
        <w:t>KEPPRES</w:t>
      </w:r>
      <w:r>
        <w:t xml:space="preserve"> NOMOR 1/G/2023) PERSPEKTIF HUKUM PIDANA ISLAM</w:t>
      </w:r>
      <w:bookmarkEnd w:id="0"/>
    </w:p>
    <w:p>
      <w:pPr>
        <w:tabs>
          <w:tab w:val="left" w:pos="90"/>
        </w:tabs>
        <w:spacing w:after="0" w:line="360" w:lineRule="auto"/>
        <w:ind w:right="-99" w:rightChars="-45"/>
        <w:jc w:val="center"/>
        <w:rPr>
          <w:rFonts w:ascii="Times New Roman" w:hAnsi="Times New Roman" w:cs="Times New Roman"/>
          <w:b/>
          <w:bCs/>
        </w:rPr>
      </w:pPr>
      <w:r>
        <w:rPr>
          <w:rFonts w:ascii="Times New Roman" w:hAnsi="Times New Roman" w:cs="Times New Roman"/>
          <w:b/>
          <w:bCs/>
          <w:lang w:val="en-US"/>
        </w:rPr>
        <w:t>S</w:t>
      </w:r>
      <w:r>
        <w:rPr>
          <w:rFonts w:ascii="Times New Roman" w:hAnsi="Times New Roman" w:cs="Times New Roman"/>
          <w:b/>
          <w:bCs/>
        </w:rPr>
        <w:t>KRIPSI</w:t>
      </w:r>
    </w:p>
    <w:p>
      <w:pPr>
        <w:tabs>
          <w:tab w:val="left" w:pos="90"/>
        </w:tabs>
        <w:spacing w:after="0" w:line="360" w:lineRule="auto"/>
        <w:ind w:right="-99" w:rightChars="-45"/>
        <w:jc w:val="center"/>
        <w:rPr>
          <w:rFonts w:ascii="Times New Roman" w:hAnsi="Times New Roman" w:cs="Times New Roman"/>
        </w:rPr>
      </w:pPr>
      <w:r>
        <w:rPr>
          <w:rFonts w:ascii="Times New Roman" w:hAnsi="Times New Roman" w:cs="Times New Roman"/>
        </w:rPr>
        <w:t>Diajukan Untuk Memenuhi Tugas dan Melengkapi Syarat Guna Memperoleh Gelar Sarjana Program Strata 1 (S.1)</w:t>
      </w:r>
    </w:p>
    <w:p>
      <w:pPr>
        <w:tabs>
          <w:tab w:val="left" w:pos="90"/>
        </w:tabs>
        <w:spacing w:line="312" w:lineRule="auto"/>
        <w:ind w:right="-99" w:rightChars="-45"/>
        <w:jc w:val="center"/>
        <w:rPr>
          <w:rFonts w:ascii="Times New Roman" w:hAnsi="Times New Roman" w:cs="Times New Roman"/>
        </w:rPr>
      </w:pPr>
      <w:r>
        <w:rPr>
          <w:rFonts w:ascii="Times New Roman" w:hAnsi="Times New Roman" w:cs="Times New Roman"/>
          <w:lang w:val="en-US"/>
          <w14:ligatures w14:val="none"/>
        </w:rPr>
        <w:drawing>
          <wp:anchor distT="0" distB="0" distL="114300" distR="114300" simplePos="0" relativeHeight="251658240" behindDoc="1" locked="0" layoutInCell="1" allowOverlap="1">
            <wp:simplePos x="0" y="0"/>
            <wp:positionH relativeFrom="margin">
              <wp:posOffset>971550</wp:posOffset>
            </wp:positionH>
            <wp:positionV relativeFrom="paragraph">
              <wp:posOffset>54610</wp:posOffset>
            </wp:positionV>
            <wp:extent cx="1773555" cy="2065655"/>
            <wp:effectExtent l="0" t="0" r="0" b="10795"/>
            <wp:wrapNone/>
            <wp:docPr id="1" name="Picture 1" descr="https://i0.wp.com/febi.walisongo.ac.id/wp-content/uploads/2020/09/Logo-UIN-Walisongo-Warna-PNG.png?fit=218%2C3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i0.wp.com/febi.walisongo.ac.id/wp-content/uploads/2020/09/Logo-UIN-Walisongo-Warna-PNG.png?fit=218%2C300&amp;ssl=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773555" cy="2065655"/>
                    </a:xfrm>
                    <a:prstGeom prst="rect">
                      <a:avLst/>
                    </a:prstGeom>
                    <a:noFill/>
                  </pic:spPr>
                </pic:pic>
              </a:graphicData>
            </a:graphic>
          </wp:anchor>
        </w:drawing>
      </w:r>
    </w:p>
    <w:p>
      <w:pPr>
        <w:tabs>
          <w:tab w:val="left" w:pos="90"/>
        </w:tabs>
        <w:spacing w:line="312" w:lineRule="auto"/>
        <w:ind w:right="-99" w:rightChars="-45"/>
        <w:rPr>
          <w:rFonts w:ascii="Times New Roman" w:hAnsi="Times New Roman" w:cs="Times New Roman"/>
        </w:rPr>
      </w:pPr>
    </w:p>
    <w:p>
      <w:pPr>
        <w:tabs>
          <w:tab w:val="left" w:pos="90"/>
        </w:tabs>
        <w:spacing w:line="312" w:lineRule="auto"/>
        <w:ind w:right="-99" w:rightChars="-45"/>
        <w:rPr>
          <w:rFonts w:ascii="Times New Roman" w:hAnsi="Times New Roman" w:cs="Times New Roman"/>
        </w:rPr>
      </w:pPr>
    </w:p>
    <w:p>
      <w:pPr>
        <w:tabs>
          <w:tab w:val="left" w:pos="90"/>
        </w:tabs>
        <w:spacing w:line="312" w:lineRule="auto"/>
        <w:ind w:right="-99" w:rightChars="-45"/>
        <w:rPr>
          <w:rFonts w:ascii="Times New Roman" w:hAnsi="Times New Roman" w:cs="Times New Roman"/>
        </w:rPr>
      </w:pPr>
    </w:p>
    <w:p>
      <w:pPr>
        <w:tabs>
          <w:tab w:val="left" w:pos="90"/>
        </w:tabs>
        <w:spacing w:line="312" w:lineRule="auto"/>
        <w:ind w:right="-99" w:rightChars="-45"/>
        <w:jc w:val="both"/>
        <w:rPr>
          <w:rFonts w:ascii="Times New Roman" w:hAnsi="Times New Roman" w:cs="Times New Roman"/>
          <w:lang w:val="en-US"/>
        </w:rPr>
      </w:pPr>
    </w:p>
    <w:p>
      <w:pPr>
        <w:tabs>
          <w:tab w:val="left" w:pos="90"/>
        </w:tabs>
        <w:spacing w:line="312" w:lineRule="auto"/>
        <w:ind w:right="-99" w:rightChars="-45"/>
        <w:jc w:val="both"/>
        <w:rPr>
          <w:rFonts w:ascii="Times New Roman" w:hAnsi="Times New Roman" w:cs="Times New Roman"/>
        </w:rPr>
      </w:pPr>
    </w:p>
    <w:p>
      <w:pPr>
        <w:tabs>
          <w:tab w:val="left" w:pos="90"/>
        </w:tabs>
        <w:spacing w:line="360" w:lineRule="auto"/>
        <w:ind w:right="-99" w:rightChars="-45"/>
        <w:jc w:val="both"/>
        <w:rPr>
          <w:rFonts w:ascii="Times New Roman" w:hAnsi="Times New Roman" w:cs="Times New Roman"/>
        </w:rPr>
      </w:pPr>
    </w:p>
    <w:p>
      <w:pPr>
        <w:tabs>
          <w:tab w:val="left" w:pos="90"/>
        </w:tabs>
        <w:spacing w:line="360" w:lineRule="auto"/>
        <w:ind w:right="-99" w:rightChars="-45"/>
        <w:jc w:val="center"/>
        <w:rPr>
          <w:rFonts w:ascii="Times New Roman" w:hAnsi="Times New Roman" w:cs="Times New Roman"/>
        </w:rPr>
      </w:pPr>
      <w:r>
        <w:rPr>
          <w:rFonts w:ascii="Times New Roman" w:hAnsi="Times New Roman" w:cs="Times New Roman"/>
        </w:rPr>
        <w:t>Disusun Oleh :</w:t>
      </w:r>
    </w:p>
    <w:p>
      <w:pPr>
        <w:tabs>
          <w:tab w:val="left" w:pos="90"/>
        </w:tabs>
        <w:spacing w:after="0" w:line="360" w:lineRule="auto"/>
        <w:ind w:right="-99" w:rightChars="-45"/>
        <w:jc w:val="center"/>
        <w:rPr>
          <w:rFonts w:ascii="Times New Roman" w:hAnsi="Times New Roman" w:cs="Times New Roman"/>
          <w:b/>
          <w:bCs/>
          <w:u w:val="single"/>
          <w:lang w:val="en-US"/>
        </w:rPr>
      </w:pPr>
      <w:r>
        <w:rPr>
          <w:rFonts w:ascii="Times New Roman" w:hAnsi="Times New Roman" w:cs="Times New Roman"/>
          <w:b/>
          <w:bCs/>
          <w:u w:val="single"/>
          <w:lang w:val="en-US"/>
        </w:rPr>
        <w:t>SITI NUR BAYINAH</w:t>
      </w:r>
    </w:p>
    <w:p>
      <w:pPr>
        <w:tabs>
          <w:tab w:val="left" w:pos="90"/>
        </w:tabs>
        <w:spacing w:after="0" w:line="240" w:lineRule="auto"/>
        <w:ind w:right="-99" w:rightChars="-45"/>
        <w:jc w:val="center"/>
        <w:rPr>
          <w:rFonts w:ascii="Times New Roman" w:hAnsi="Times New Roman" w:cs="Times New Roman"/>
          <w:b/>
          <w:bCs/>
          <w:lang w:val="en-US"/>
        </w:rPr>
      </w:pPr>
      <w:r>
        <w:rPr>
          <w:rFonts w:ascii="Times New Roman" w:hAnsi="Times New Roman" w:cs="Times New Roman"/>
          <w:b/>
          <w:bCs/>
        </w:rPr>
        <w:t>2</w:t>
      </w:r>
      <w:r>
        <w:rPr>
          <w:rFonts w:ascii="Times New Roman" w:hAnsi="Times New Roman" w:cs="Times New Roman"/>
          <w:b/>
          <w:bCs/>
          <w:lang w:val="en-US"/>
        </w:rPr>
        <w:t>102026115</w:t>
      </w:r>
    </w:p>
    <w:p>
      <w:pPr>
        <w:tabs>
          <w:tab w:val="left" w:pos="90"/>
        </w:tabs>
        <w:spacing w:after="0" w:line="240" w:lineRule="auto"/>
        <w:ind w:right="-99" w:rightChars="-45"/>
        <w:jc w:val="center"/>
        <w:rPr>
          <w:rFonts w:ascii="Times New Roman" w:hAnsi="Times New Roman" w:cs="Times New Roman"/>
          <w:b/>
          <w:bCs/>
          <w:lang w:val="en-US"/>
        </w:rPr>
      </w:pPr>
    </w:p>
    <w:p>
      <w:pPr>
        <w:tabs>
          <w:tab w:val="left" w:pos="90"/>
        </w:tabs>
        <w:spacing w:after="100" w:line="240" w:lineRule="auto"/>
        <w:ind w:right="-99" w:rightChars="-45"/>
        <w:jc w:val="center"/>
        <w:rPr>
          <w:rFonts w:ascii="Times New Roman" w:hAnsi="Times New Roman" w:cs="Times New Roman"/>
          <w:b/>
          <w:bCs/>
        </w:rPr>
      </w:pPr>
      <w:r>
        <w:rPr>
          <w:rFonts w:ascii="Times New Roman" w:hAnsi="Times New Roman" w:cs="Times New Roman"/>
          <w:b/>
          <w:bCs/>
        </w:rPr>
        <w:t>PROGRAM STUDI HUKUM PIDANA ISLAM</w:t>
      </w:r>
    </w:p>
    <w:p>
      <w:pPr>
        <w:tabs>
          <w:tab w:val="left" w:pos="90"/>
        </w:tabs>
        <w:spacing w:after="0" w:line="360" w:lineRule="auto"/>
        <w:ind w:right="-99" w:rightChars="-45"/>
        <w:jc w:val="center"/>
        <w:rPr>
          <w:rFonts w:ascii="Times New Roman" w:hAnsi="Times New Roman" w:cs="Times New Roman"/>
          <w:b/>
          <w:bCs/>
        </w:rPr>
      </w:pPr>
      <w:r>
        <w:rPr>
          <w:rFonts w:ascii="Times New Roman" w:hAnsi="Times New Roman" w:cs="Times New Roman"/>
          <w:b/>
          <w:bCs/>
        </w:rPr>
        <w:t>FAKULTAS SYARIAH DAN HUKUM</w:t>
      </w:r>
    </w:p>
    <w:p>
      <w:pPr>
        <w:tabs>
          <w:tab w:val="left" w:pos="90"/>
        </w:tabs>
        <w:spacing w:after="0" w:line="360" w:lineRule="auto"/>
        <w:ind w:right="-99" w:rightChars="-45"/>
        <w:jc w:val="center"/>
        <w:rPr>
          <w:rFonts w:ascii="Times New Roman" w:hAnsi="Times New Roman" w:cs="Times New Roman"/>
          <w:b/>
          <w:bCs/>
        </w:rPr>
      </w:pPr>
      <w:r>
        <w:rPr>
          <w:rFonts w:ascii="Times New Roman" w:hAnsi="Times New Roman" w:cs="Times New Roman"/>
          <w:b/>
          <w:bCs/>
        </w:rPr>
        <w:t>UNIVERSITAS ISLAM NEGERI WALISONGO SEMARANG</w:t>
      </w:r>
    </w:p>
    <w:p>
      <w:pPr>
        <w:tabs>
          <w:tab w:val="left" w:pos="90"/>
        </w:tabs>
        <w:spacing w:after="0" w:line="360" w:lineRule="auto"/>
        <w:ind w:right="-99" w:rightChars="-45"/>
        <w:jc w:val="center"/>
        <w:rPr>
          <w:rFonts w:ascii="Times New Roman" w:hAnsi="Times New Roman" w:cs="Times New Roman"/>
          <w:b/>
          <w:bCs/>
          <w:lang w:val="en-US"/>
        </w:rPr>
      </w:pPr>
      <w:r>
        <w:rPr>
          <w:rFonts w:ascii="Times New Roman" w:hAnsi="Times New Roman" w:cs="Times New Roman"/>
          <w:b/>
          <w:bCs/>
        </w:rPr>
        <w:t>202</w:t>
      </w:r>
      <w:r>
        <w:rPr>
          <w:rFonts w:ascii="Times New Roman" w:hAnsi="Times New Roman" w:cs="Times New Roman"/>
          <w:b/>
          <w:bCs/>
          <w:lang w:val="en-US"/>
        </w:rPr>
        <w:t>5</w:t>
      </w:r>
    </w:p>
    <w:p>
      <w:pPr>
        <w:pStyle w:val="2"/>
        <w:sectPr>
          <w:footerReference r:id="rId6" w:type="first"/>
          <w:footerReference r:id="rId5" w:type="default"/>
          <w:headerReference r:id="rId4" w:type="even"/>
          <w:pgSz w:w="8335" w:h="11850"/>
          <w:pgMar w:top="1418" w:right="1134" w:bottom="1134" w:left="1418" w:header="720" w:footer="720" w:gutter="0"/>
          <w:cols w:space="720" w:num="1"/>
        </w:sectPr>
      </w:pPr>
      <w:bookmarkStart w:id="1" w:name="_Toc199801640"/>
    </w:p>
    <w:p>
      <w:pPr>
        <w:pStyle w:val="2"/>
      </w:pPr>
      <w:r>
        <w:t>PERSETUJUAN PEMBIMBING</w:t>
      </w:r>
      <w:bookmarkEnd w:id="1"/>
    </w:p>
    <w:p>
      <w:pPr>
        <w:rPr>
          <w:rFonts w:asciiTheme="majorBidi" w:hAnsiTheme="majorBidi"/>
          <w:b/>
          <w:bCs/>
          <w:sz w:val="24"/>
          <w:szCs w:val="24"/>
          <w:lang w:val="en-US"/>
        </w:rPr>
      </w:pPr>
      <w:bookmarkStart w:id="2" w:name="_Toc199801641"/>
      <w:r>
        <w:rPr>
          <w:lang w:val="en-US"/>
        </w:rPr>
        <w:drawing>
          <wp:inline distT="0" distB="0" distL="0" distR="0">
            <wp:extent cx="3671570" cy="5379720"/>
            <wp:effectExtent l="0" t="0" r="5080" b="11430"/>
            <wp:docPr id="2" name="Picture 2" descr="C:\Users\WINDY\AppData\Local\Microsoft\Windows\INetCache\Content.Word\Persetujuan Pembimb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WINDY\AppData\Local\Microsoft\Windows\INetCache\Content.Word\Persetujuan Pembimbing_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675131" cy="5384680"/>
                    </a:xfrm>
                    <a:prstGeom prst="rect">
                      <a:avLst/>
                    </a:prstGeom>
                    <a:noFill/>
                    <a:ln>
                      <a:noFill/>
                    </a:ln>
                  </pic:spPr>
                </pic:pic>
              </a:graphicData>
            </a:graphic>
          </wp:inline>
        </w:drawing>
      </w:r>
    </w:p>
    <w:p>
      <w:pPr>
        <w:pStyle w:val="2"/>
        <w:rPr>
          <w:rFonts w:asciiTheme="majorBidi" w:hAnsiTheme="majorBidi"/>
          <w:b/>
          <w:bCs/>
          <w:sz w:val="24"/>
          <w:szCs w:val="24"/>
          <w:lang w:val="en-US"/>
        </w:rPr>
      </w:pPr>
      <w:r>
        <w:t>PENGESAHAN</w:t>
      </w:r>
      <w:bookmarkEnd w:id="2"/>
    </w:p>
    <w:p>
      <w:pPr>
        <w:jc w:val="center"/>
        <w:rPr>
          <w:rFonts w:asciiTheme="majorBidi" w:hAnsiTheme="majorBidi"/>
          <w:b/>
          <w:bCs/>
          <w:sz w:val="24"/>
          <w:szCs w:val="24"/>
          <w:lang w:val="en-US"/>
        </w:rPr>
      </w:pPr>
      <w:r>
        <w:rPr>
          <w:rFonts w:asciiTheme="majorBidi" w:hAnsiTheme="majorBidi"/>
          <w:b/>
          <w:bCs/>
          <w:sz w:val="24"/>
          <w:szCs w:val="24"/>
          <w:lang w:val="en-US"/>
        </w:rPr>
        <w:drawing>
          <wp:inline distT="0" distB="0" distL="114300" distR="114300">
            <wp:extent cx="3291205" cy="5189855"/>
            <wp:effectExtent l="0" t="0" r="4445" b="10795"/>
            <wp:docPr id="12" name="Picture 12" descr="WhatsApp Image 2025-07-13 at 07.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5-07-13 at 07.53.10"/>
                    <pic:cNvPicPr>
                      <a:picLocks noChangeAspect="1"/>
                    </pic:cNvPicPr>
                  </pic:nvPicPr>
                  <pic:blipFill>
                    <a:blip r:embed="rId34"/>
                    <a:srcRect l="-579" t="-15" r="579" b="15"/>
                    <a:stretch>
                      <a:fillRect/>
                    </a:stretch>
                  </pic:blipFill>
                  <pic:spPr>
                    <a:xfrm>
                      <a:off x="0" y="0"/>
                      <a:ext cx="3291205" cy="5189855"/>
                    </a:xfrm>
                    <a:prstGeom prst="rect">
                      <a:avLst/>
                    </a:prstGeom>
                  </pic:spPr>
                </pic:pic>
              </a:graphicData>
            </a:graphic>
          </wp:inline>
        </w:drawing>
      </w:r>
    </w:p>
    <w:p>
      <w:pPr>
        <w:rPr>
          <w:rFonts w:asciiTheme="majorBidi" w:hAnsiTheme="majorBidi"/>
          <w:b/>
          <w:bCs/>
          <w:sz w:val="24"/>
          <w:szCs w:val="24"/>
        </w:rPr>
      </w:pPr>
    </w:p>
    <w:p>
      <w:pPr>
        <w:pStyle w:val="2"/>
      </w:pPr>
      <w:bookmarkStart w:id="3" w:name="_Toc199801642"/>
      <w:r>
        <w:t>MOTTO</w:t>
      </w:r>
      <w:bookmarkEnd w:id="3"/>
    </w:p>
    <w:p>
      <w:pPr>
        <w:rPr>
          <w:lang w:val="en-US"/>
        </w:rPr>
      </w:pPr>
    </w:p>
    <w:p>
      <w:pPr>
        <w:jc w:val="center"/>
        <w:rPr>
          <w:rFonts w:ascii="Traditional Arabic" w:hAnsi="Traditional Arabic" w:cs="Traditional Arabic"/>
          <w:b/>
          <w:bCs/>
          <w:sz w:val="32"/>
          <w:szCs w:val="32"/>
        </w:rPr>
      </w:pPr>
      <w:r>
        <w:rPr>
          <w:rFonts w:ascii="Traditional Arabic" w:hAnsi="Traditional Arabic" w:cs="Traditional Arabic"/>
          <w:b/>
          <w:bCs/>
          <w:sz w:val="32"/>
          <w:szCs w:val="32"/>
          <w:rtl/>
        </w:rPr>
        <w:t>مَن تَابَ مِنۢ بَعۡدِ ظُلۡمِهِۦ وَأَصۡلَحَ فَإِنَّ ٱللَّهَ يَتُوبُ عَلَيۡهِۚ إِنَّ ٱللَّهَ غَفُورࣱ رَّحِيمٌ</w:t>
      </w:r>
    </w:p>
    <w:p>
      <w:pPr>
        <w:jc w:val="center"/>
        <w:rPr>
          <w:rFonts w:asciiTheme="majorBidi" w:hAnsiTheme="majorBidi" w:cstheme="majorBidi"/>
          <w:b/>
          <w:bCs/>
          <w:lang w:val="en-US"/>
        </w:rPr>
      </w:pPr>
      <w:r>
        <w:rPr>
          <w:rFonts w:asciiTheme="majorBidi" w:hAnsiTheme="majorBidi" w:cstheme="majorBidi"/>
          <w:b/>
          <w:bCs/>
          <w:lang w:val="en-US"/>
        </w:rPr>
        <w:t>“</w:t>
      </w:r>
      <w:r>
        <w:rPr>
          <w:rFonts w:asciiTheme="majorBidi" w:hAnsiTheme="majorBidi" w:cstheme="majorBidi"/>
          <w:b/>
          <w:bCs/>
        </w:rPr>
        <w:t xml:space="preserve">Tetapi barangsiapa bertobat setelah melakukan kejahatan itu dan memperbaiki diri, maka sesungguhnya </w:t>
      </w:r>
      <w:r>
        <w:rPr>
          <w:rFonts w:asciiTheme="majorBidi" w:hAnsiTheme="majorBidi" w:cstheme="majorBidi"/>
          <w:b/>
          <w:bCs/>
          <w:lang w:val="en-US"/>
        </w:rPr>
        <w:t>Allah</w:t>
      </w:r>
      <w:r>
        <w:rPr>
          <w:rFonts w:asciiTheme="majorBidi" w:hAnsiTheme="majorBidi" w:cstheme="majorBidi"/>
          <w:b/>
          <w:bCs/>
        </w:rPr>
        <w:t xml:space="preserve"> menerima tobatnya. Sungguh, </w:t>
      </w:r>
      <w:r>
        <w:rPr>
          <w:rFonts w:asciiTheme="majorBidi" w:hAnsiTheme="majorBidi" w:cstheme="majorBidi"/>
          <w:b/>
          <w:bCs/>
          <w:lang w:val="en-US"/>
        </w:rPr>
        <w:t>Allah</w:t>
      </w:r>
      <w:r>
        <w:rPr>
          <w:rFonts w:asciiTheme="majorBidi" w:hAnsiTheme="majorBidi" w:cstheme="majorBidi"/>
          <w:b/>
          <w:bCs/>
        </w:rPr>
        <w:t xml:space="preserve"> Maha Pengampun, Maha Penyayang.</w:t>
      </w:r>
      <w:r>
        <w:rPr>
          <w:rFonts w:asciiTheme="majorBidi" w:hAnsiTheme="majorBidi" w:cstheme="majorBidi"/>
          <w:b/>
          <w:bCs/>
          <w:lang w:val="en-US"/>
        </w:rPr>
        <w:t>”</w:t>
      </w:r>
      <w:r>
        <w:rPr>
          <w:rStyle w:val="17"/>
          <w:rFonts w:asciiTheme="majorBidi" w:hAnsiTheme="majorBidi" w:cstheme="majorBidi"/>
          <w:b/>
          <w:bCs/>
          <w:lang w:val="en-US"/>
        </w:rPr>
        <w:footnoteReference w:id="0"/>
      </w:r>
    </w:p>
    <w:p>
      <w:pPr>
        <w:jc w:val="center"/>
        <w:rPr>
          <w:rFonts w:asciiTheme="majorBidi" w:hAnsiTheme="majorBidi" w:cstheme="majorBidi"/>
          <w:b/>
          <w:bCs/>
          <w:lang w:val="en-US"/>
        </w:rPr>
      </w:pPr>
      <w:r>
        <w:rPr>
          <w:rFonts w:asciiTheme="majorBidi" w:hAnsiTheme="majorBidi" w:cstheme="majorBidi"/>
          <w:b/>
          <w:bCs/>
          <w:lang w:val="en-US"/>
        </w:rPr>
        <w:t xml:space="preserve"> (</w:t>
      </w:r>
      <w:r>
        <w:rPr>
          <w:rFonts w:asciiTheme="majorBidi" w:hAnsiTheme="majorBidi" w:cstheme="majorBidi"/>
          <w:b/>
          <w:bCs/>
        </w:rPr>
        <w:t>Al-Ma'idah 5:39</w:t>
      </w:r>
      <w:r>
        <w:rPr>
          <w:rFonts w:asciiTheme="majorBidi" w:hAnsiTheme="majorBidi" w:cstheme="majorBidi"/>
          <w:b/>
          <w:bCs/>
          <w:lang w:val="en-US"/>
        </w:rPr>
        <w:t>)</w:t>
      </w: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rPr>
          <w:rFonts w:ascii="Times New Roman" w:hAnsi="Times New Roman" w:cs="Times New Roman"/>
          <w:b/>
          <w:bCs/>
          <w:sz w:val="24"/>
          <w:szCs w:val="24"/>
          <w:lang w:val="en-US"/>
        </w:rPr>
      </w:pPr>
    </w:p>
    <w:p>
      <w:pPr>
        <w:pStyle w:val="2"/>
      </w:pPr>
      <w:bookmarkStart w:id="4" w:name="_Toc199801643"/>
      <w:r>
        <w:rPr>
          <w:sz w:val="24"/>
          <w:szCs w:val="24"/>
        </w:rPr>
        <w:t>PERSEMBAHAN</w:t>
      </w:r>
      <w:bookmarkEnd w:id="4"/>
    </w:p>
    <w:p>
      <w:pPr>
        <w:spacing w:after="0" w:line="360" w:lineRule="auto"/>
        <w:ind w:firstLine="440" w:firstLineChars="200"/>
        <w:jc w:val="both"/>
        <w:rPr>
          <w:rFonts w:asciiTheme="majorBidi" w:hAnsiTheme="majorBidi"/>
          <w:lang w:val="en-US"/>
        </w:rPr>
      </w:pPr>
      <w:r>
        <w:rPr>
          <w:rFonts w:asciiTheme="majorBidi" w:hAnsiTheme="majorBidi"/>
          <w:lang w:val="en-US"/>
        </w:rPr>
        <w:t xml:space="preserve">Dengan segala syukur kepada Tuhan YME, atas segala nikmat yang diberikan. </w:t>
      </w:r>
      <w:r>
        <w:rPr>
          <w:rFonts w:asciiTheme="majorBidi" w:hAnsiTheme="majorBidi"/>
        </w:rPr>
        <w:t xml:space="preserve">Karya tulis ini </w:t>
      </w:r>
      <w:r>
        <w:rPr>
          <w:rFonts w:asciiTheme="majorBidi" w:hAnsiTheme="majorBidi"/>
          <w:lang w:val="en-US"/>
        </w:rPr>
        <w:t>saya persembahkan kepada pihak-pihak yang telah memberikan kekuatan, semangat, kemudahan dan kelancaran sampai sekarang, yaitu:</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val="en-US" w:eastAsia="zh-CN"/>
          <w14:ligatures w14:val="none"/>
        </w:rPr>
        <w:t xml:space="preserve">Ayah saya, Bapak Tikno Prayitno yang selalu memberikan wejangan dan pembelajaran yang berharga bagi saya. Sabarnya seperti hembusan angin sejuk yang sangat tenang. Kuatnya seperti pohon beringin yang kokoh. Kasih sayang yang tidak ada akhirnya, semuanya sangat berharga dan tidak bisa dinilai dengan apapun itu. Terima kasih atas segala perjuangan dan upayanya untuk membahagian anak-anak Ayah, agar lebih kuat, sabar dan ikhlas. </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eastAsia="zh-CN"/>
          <w14:ligatures w14:val="none"/>
        </w:rPr>
        <w:t xml:space="preserve">Ibuk saya, Ibu Khumaeroh yang selalu memberikan kekuatan dan semangat bagi kehidupan saya. semua doa ihktiar dan tirakat beliau tidak ada habisnya untuk saya. </w:t>
      </w:r>
      <w:r>
        <w:rPr>
          <w:rFonts w:ascii="Times New Roman" w:hAnsi="Times New Roman" w:eastAsia="Times New Roman" w:cs="Times New Roman"/>
          <w:kern w:val="0"/>
          <w:lang w:val="en-US" w:eastAsia="zh-CN"/>
          <w14:ligatures w14:val="none"/>
        </w:rPr>
        <w:t xml:space="preserve">Terima kasih telah hadir, begitu banyak pelajaran yang saya dapatkan bagi kelangsungan dan perbaikan hidup saya. </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val="en-US" w:eastAsia="zh-CN"/>
          <w14:ligatures w14:val="none"/>
        </w:rPr>
        <w:t xml:space="preserve">Kakak tercinta saya, Mas Fiqrul Ma’arif yang selalu menemani dan mendukung dari awal sampai akhir. Sekaligus Kakak, sahabat, teman bahkan kadang menjadi musuh. Banyak sekali pelajaran yang saya ambil dari kakak saya, dari kecil sampai besar seperti ini. Selalu siap mengayomi, membimbing, mengarahkan, memberikan perhatian yang tidak bisa dihitung berapa banyak. </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eastAsia="zh-CN"/>
          <w14:ligatures w14:val="none"/>
        </w:rPr>
        <w:t>Guru/Murobbi saya, Kyai Bambang Rudiyansyah, M.Pd dan Bu Nyai Khairani Atmantara, S.Pd, (Pengasuh Pondok Pesantren Bahrul Qur’an Al Munawwir) Dr Muhammad Nasih,  M.SI, (Pengasuh Rumah Perkaderan Monash Institute), Bu Nyai Azizah, Al Hafidzah, (Pengasuh Pondok Pesantren Madrosatul Qur’aniyah Al Aziziyah) Ust Wahyudin, Ust Sholeh, Ust Nawawi dan M</w:t>
      </w:r>
      <w:r>
        <w:rPr>
          <w:rFonts w:ascii="Times New Roman" w:hAnsi="Times New Roman" w:eastAsia="Times New Roman" w:cs="Times New Roman"/>
          <w:kern w:val="0"/>
          <w:lang w:val="en-US" w:eastAsia="zh-CN"/>
          <w14:ligatures w14:val="none"/>
        </w:rPr>
        <w:t>ur</w:t>
      </w:r>
      <w:r>
        <w:rPr>
          <w:rFonts w:ascii="Times New Roman" w:hAnsi="Times New Roman" w:eastAsia="Times New Roman" w:cs="Times New Roman"/>
          <w:kern w:val="0"/>
          <w:lang w:eastAsia="zh-CN"/>
          <w14:ligatures w14:val="none"/>
        </w:rPr>
        <w:t xml:space="preserve">robbi lainnya (Murobbi Desa Batursari), yang telah memberikan begitu banyak ilmudan pembelajaran kepada saya. </w:t>
      </w:r>
      <w:r>
        <w:rPr>
          <w:rFonts w:ascii="Times New Roman" w:hAnsi="Times New Roman" w:eastAsia="Times New Roman" w:cs="Times New Roman"/>
          <w:kern w:val="0"/>
          <w:lang w:val="en-US" w:eastAsia="zh-CN"/>
          <w14:ligatures w14:val="none"/>
        </w:rPr>
        <w:t xml:space="preserve">Pena dan buku selama saya belajar telah menjadi saksi betapa hebat dan mulia beliau-beliau dalam mendidik saya. Semoga senantiasa selalu diberikan ketentraman hidup sampai akhirat. </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eastAsia="zh-CN"/>
          <w14:ligatures w14:val="none"/>
        </w:rPr>
        <w:t xml:space="preserve">Dosen Pembimbing saya, Bapak Drs Mohammad Solek, M.Ag dan Ibu Riza Fibriani, M.H, yang telah dengan sabar membimbing saya dari awal skripsi sampai selesai, semoga senantiasa diberikan kesehatan, umur panjang dan kebahagiaan </w:t>
      </w:r>
      <w:r>
        <w:rPr>
          <w:rFonts w:ascii="Times New Roman" w:hAnsi="Times New Roman" w:eastAsia="Times New Roman" w:cs="Times New Roman"/>
          <w:i/>
          <w:iCs/>
          <w:kern w:val="0"/>
          <w:lang w:eastAsia="zh-CN"/>
          <w14:ligatures w14:val="none"/>
        </w:rPr>
        <w:t>fiddunya wal akhirat.</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val="en-US" w:eastAsia="zh-CN"/>
          <w14:ligatures w14:val="none"/>
        </w:rPr>
        <w:t>Para Dosen, Guru, Utadz, Ustadzah, yang telah memberikan pemahaman ilmu yang sangat banyak. Semoga menjadi pahala berlipat atas kesabaran dan ketelatenan memberikan pembelajaran yang bermacam-macam ilmu nya.</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eastAsia="zh-CN"/>
          <w14:ligatures w14:val="none"/>
        </w:rPr>
        <w:t xml:space="preserve">Para sahabat yang telah mendampingi saya dalam kegundahan kesedihan dan kesenangan selama berlangsungnya perkuliahan ini (Regina, Reni, Anggi, Nailah, Dinda, Ayu, Sefi, Ine, Afra, DJ, Jio, Windy, Fia Handayani, RiAyatul Millah, Reka, Raudantunnisa) dan masih banyak lagi yang tidak bisa saya sebutkan satu persatu. </w:t>
      </w:r>
      <w:r>
        <w:rPr>
          <w:rFonts w:ascii="Times New Roman" w:hAnsi="Times New Roman" w:eastAsia="Times New Roman" w:cs="Times New Roman"/>
          <w:kern w:val="0"/>
          <w:lang w:val="en-US" w:eastAsia="zh-CN"/>
          <w14:ligatures w14:val="none"/>
        </w:rPr>
        <w:t>Semoga senantiasa diberikan kemudahan dan kelancaran dalam meraih cita-cita yang diharapkan, sukses kaya raya dan bisa mengangkat derajat orang tua sampai akhirat.</w:t>
      </w:r>
    </w:p>
    <w:p>
      <w:pPr>
        <w:numPr>
          <w:ilvl w:val="0"/>
          <w:numId w:val="3"/>
        </w:numPr>
        <w:spacing w:after="0" w:line="360" w:lineRule="auto"/>
        <w:jc w:val="both"/>
        <w:rPr>
          <w:rFonts w:ascii="Times New Roman" w:hAnsi="Times New Roman" w:eastAsia="Times New Roman" w:cs="Times New Roman"/>
          <w:kern w:val="0"/>
          <w:lang w:eastAsia="zh-CN"/>
          <w14:ligatures w14:val="none"/>
        </w:rPr>
      </w:pPr>
      <w:r>
        <w:rPr>
          <w:rFonts w:ascii="Times New Roman" w:hAnsi="Times New Roman" w:eastAsia="Times New Roman" w:cs="Times New Roman"/>
          <w:kern w:val="0"/>
          <w:lang w:val="en-US" w:eastAsia="zh-CN"/>
          <w14:ligatures w14:val="none"/>
        </w:rPr>
        <w:t xml:space="preserve">Sahabat karib saya dari kecil sampai sekarang (PRIB) yang saling berjauhan, Namun tak menjadi penghalang untuk memberikan </w:t>
      </w:r>
      <w:r>
        <w:rPr>
          <w:rFonts w:ascii="Times New Roman" w:hAnsi="Times New Roman" w:eastAsia="Times New Roman" w:cs="Times New Roman"/>
          <w:i/>
          <w:iCs/>
          <w:kern w:val="0"/>
          <w:lang w:val="en-US" w:eastAsia="zh-CN"/>
          <w14:ligatures w14:val="none"/>
        </w:rPr>
        <w:t>support</w:t>
      </w:r>
      <w:r>
        <w:rPr>
          <w:rFonts w:ascii="Times New Roman" w:hAnsi="Times New Roman" w:eastAsia="Times New Roman" w:cs="Times New Roman"/>
          <w:kern w:val="0"/>
          <w:lang w:val="en-US" w:eastAsia="zh-CN"/>
          <w14:ligatures w14:val="none"/>
        </w:rPr>
        <w:t xml:space="preserve"> dan do’a terbaik. Semoga segera terselesaikan perjuangan dalam menimba ilmudan terlaksana segala keinginan. Dipermudah dilancarkan sampai pada fase yang diharapkan.</w:t>
      </w: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tabs>
          <w:tab w:val="left" w:pos="90"/>
        </w:tabs>
        <w:spacing w:after="0" w:line="360" w:lineRule="auto"/>
        <w:ind w:right="-99" w:rightChars="-45"/>
        <w:jc w:val="center"/>
        <w:rPr>
          <w:rFonts w:ascii="Times New Roman" w:hAnsi="Times New Roman" w:cs="Times New Roman"/>
          <w:b/>
          <w:bCs/>
          <w:sz w:val="24"/>
          <w:szCs w:val="24"/>
          <w:lang w:val="en-US"/>
        </w:rPr>
      </w:pPr>
    </w:p>
    <w:p>
      <w:pPr>
        <w:pStyle w:val="2"/>
        <w:jc w:val="both"/>
      </w:pPr>
    </w:p>
    <w:p>
      <w:pPr>
        <w:rPr>
          <w:rFonts w:asciiTheme="majorBidi" w:hAnsiTheme="majorBidi"/>
          <w:b/>
          <w:bCs/>
          <w:sz w:val="24"/>
          <w:szCs w:val="24"/>
          <w:lang w:val="en-US"/>
        </w:rPr>
      </w:pPr>
      <w:r>
        <w:rPr>
          <w:rFonts w:asciiTheme="majorBidi" w:hAnsiTheme="majorBidi"/>
          <w:b/>
          <w:bCs/>
          <w:sz w:val="24"/>
          <w:szCs w:val="24"/>
          <w:lang w:val="en-US"/>
        </w:rPr>
        <w:drawing>
          <wp:inline distT="0" distB="0" distL="0" distR="0">
            <wp:extent cx="3663315" cy="5271135"/>
            <wp:effectExtent l="0" t="0" r="13335" b="5715"/>
            <wp:docPr id="8" name="Picture 8" descr="C:\Users\WINDY\Downloads\Deklarasi_1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WINDY\Downloads\Deklarasi_1 ok.jpg"/>
                    <pic:cNvPicPr>
                      <a:picLocks noChangeAspect="1" noChangeArrowheads="1"/>
                    </pic:cNvPicPr>
                  </pic:nvPicPr>
                  <pic:blipFill>
                    <a:blip r:embed="rId35" cstate="print">
                      <a:extLst>
                        <a:ext uri="{28A0092B-C50C-407E-A947-70E740481C1C}">
                          <a14:useLocalDpi xmlns:a14="http://schemas.microsoft.com/office/drawing/2010/main" val="0"/>
                        </a:ext>
                      </a:extLst>
                    </a:blip>
                    <a:srcRect l="2781" t="-352" r="9354" b="15509"/>
                    <a:stretch>
                      <a:fillRect/>
                    </a:stretch>
                  </pic:blipFill>
                  <pic:spPr>
                    <a:xfrm>
                      <a:off x="0" y="0"/>
                      <a:ext cx="3663315" cy="5271135"/>
                    </a:xfrm>
                    <a:prstGeom prst="rect">
                      <a:avLst/>
                    </a:prstGeom>
                    <a:noFill/>
                    <a:ln>
                      <a:noFill/>
                    </a:ln>
                  </pic:spPr>
                </pic:pic>
              </a:graphicData>
            </a:graphic>
          </wp:inline>
        </w:drawing>
      </w:r>
    </w:p>
    <w:p>
      <w:pPr>
        <w:pStyle w:val="2"/>
        <w:jc w:val="both"/>
      </w:pPr>
      <w:bookmarkStart w:id="5" w:name="_Toc199801645"/>
    </w:p>
    <w:p/>
    <w:p>
      <w:pPr>
        <w:pStyle w:val="2"/>
      </w:pPr>
      <w:r>
        <w:t>PEDOMAN TRANSLITERASI</w:t>
      </w:r>
      <w:bookmarkEnd w:id="5"/>
    </w:p>
    <w:p>
      <w:pPr>
        <w:spacing w:after="0" w:line="360" w:lineRule="auto"/>
        <w:ind w:firstLine="720"/>
        <w:jc w:val="both"/>
        <w:rPr>
          <w:rFonts w:asciiTheme="majorBidi" w:hAnsiTheme="majorBidi" w:cstheme="majorBidi"/>
        </w:rPr>
      </w:pPr>
      <w:r>
        <w:rPr>
          <w:rFonts w:asciiTheme="majorBidi" w:hAnsiTheme="majorBidi" w:cstheme="majorBidi"/>
        </w:rPr>
        <w:t xml:space="preserve">Pedoman transliterasi yang digunakan dalam penelitian ini adalah hasil dari </w:t>
      </w:r>
      <w:r>
        <w:rPr>
          <w:rFonts w:asciiTheme="majorBidi" w:hAnsiTheme="majorBidi" w:cstheme="majorBidi"/>
          <w:lang w:val="en-US"/>
        </w:rPr>
        <w:t>Surat</w:t>
      </w:r>
      <w:r>
        <w:rPr>
          <w:rFonts w:asciiTheme="majorBidi" w:hAnsiTheme="majorBidi" w:cstheme="majorBidi"/>
        </w:rPr>
        <w:t xml:space="preserve"> Keputusan Bersama (SKB) Mentri Agama No. 158 </w:t>
      </w:r>
      <w:r>
        <w:rPr>
          <w:rFonts w:asciiTheme="majorBidi" w:hAnsiTheme="majorBidi" w:cstheme="majorBidi"/>
          <w:lang w:val="en-US"/>
        </w:rPr>
        <w:t>Tahun</w:t>
      </w:r>
      <w:r>
        <w:rPr>
          <w:rFonts w:asciiTheme="majorBidi" w:hAnsiTheme="majorBidi" w:cstheme="majorBidi"/>
        </w:rPr>
        <w:t xml:space="preserve"> 1987 dan Mentri Pendidikan dan Kebudaya</w:t>
      </w:r>
      <w:r>
        <w:rPr>
          <w:rFonts w:asciiTheme="majorBidi" w:hAnsiTheme="majorBidi" w:cstheme="majorBidi"/>
          <w:lang w:val="en-US"/>
        </w:rPr>
        <w:t>n</w:t>
      </w:r>
      <w:r>
        <w:rPr>
          <w:rFonts w:asciiTheme="majorBidi" w:hAnsiTheme="majorBidi" w:cstheme="majorBidi"/>
        </w:rPr>
        <w:t xml:space="preserve"> RI. No.0543b/U/1987.</w:t>
      </w:r>
    </w:p>
    <w:p>
      <w:pPr>
        <w:pStyle w:val="4"/>
        <w:numPr>
          <w:ilvl w:val="0"/>
          <w:numId w:val="4"/>
        </w:numPr>
        <w:spacing w:after="0" w:line="276" w:lineRule="auto"/>
        <w:ind w:left="284" w:hanging="284"/>
        <w:jc w:val="both"/>
        <w:rPr>
          <w:rFonts w:asciiTheme="majorBidi" w:hAnsiTheme="majorBidi" w:cstheme="majorBidi"/>
          <w:b/>
          <w:bCs/>
        </w:rPr>
      </w:pPr>
      <w:r>
        <w:rPr>
          <w:rFonts w:asciiTheme="majorBidi" w:hAnsiTheme="majorBidi" w:cstheme="majorBidi"/>
          <w:b/>
          <w:bCs/>
        </w:rPr>
        <w:t>Konsonan</w:t>
      </w:r>
    </w:p>
    <w:p>
      <w:pPr>
        <w:pStyle w:val="4"/>
        <w:spacing w:line="360" w:lineRule="auto"/>
        <w:ind w:left="284" w:firstLine="567"/>
        <w:jc w:val="both"/>
        <w:rPr>
          <w:rFonts w:asciiTheme="majorBidi" w:hAnsiTheme="majorBidi" w:cstheme="majorBidi"/>
        </w:rPr>
      </w:pPr>
      <w:r>
        <w:rPr>
          <w:rFonts w:asciiTheme="majorBidi" w:hAnsiTheme="majorBidi" w:cstheme="majorBidi"/>
        </w:rPr>
        <w:t>Transliterasi huruf latin ke bahasa Arab dapat dilihat dalam table di bawah ini:</w:t>
      </w:r>
    </w:p>
    <w:tbl>
      <w:tblPr>
        <w:tblStyle w:val="21"/>
        <w:tblW w:w="552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85"/>
        <w:gridCol w:w="1350"/>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Huruf Arab</w:t>
            </w:r>
          </w:p>
        </w:tc>
        <w:tc>
          <w:tcPr>
            <w:tcW w:w="885"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Nama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Huruf Latin</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Nama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850" w:type="dxa"/>
          </w:tcPr>
          <w:p>
            <w:pPr>
              <w:pStyle w:val="4"/>
              <w:spacing w:after="0" w:line="276" w:lineRule="auto"/>
              <w:ind w:left="0"/>
              <w:jc w:val="center"/>
              <w:rPr>
                <w:rFonts w:asciiTheme="majorBidi" w:hAnsiTheme="majorBidi" w:cstheme="majorBidi"/>
                <w:kern w:val="0"/>
                <w:rtl/>
                <w:lang w:eastAsia="zh-CN" w:bidi="ar-DZ"/>
                <w14:ligatures w14:val="none"/>
              </w:rPr>
            </w:pPr>
          </w:p>
          <w:p>
            <w:pPr>
              <w:pStyle w:val="4"/>
              <w:spacing w:after="0" w:line="276" w:lineRule="auto"/>
              <w:ind w:left="0"/>
              <w:jc w:val="center"/>
              <w:rPr>
                <w:rFonts w:asciiTheme="majorBidi" w:hAnsiTheme="majorBidi" w:cstheme="majorBidi"/>
                <w:kern w:val="0"/>
                <w:rtl/>
                <w:lang w:eastAsia="zh-CN" w:bidi="ar-DZ"/>
                <w14:ligatures w14:val="none"/>
              </w:rPr>
            </w:pPr>
            <w:r>
              <w:rPr>
                <w:rFonts w:asciiTheme="majorBidi" w:hAnsiTheme="majorBidi" w:cstheme="majorBidi"/>
                <w:kern w:val="0"/>
                <w:rtl/>
                <w:lang w:eastAsia="zh-CN" w:bidi="ar-DZ"/>
                <w14:ligatures w14:val="none"/>
              </w:rPr>
              <w:t>ا</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Alif</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Tidak dilambangkan</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Tidak</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dilambangkan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atLeast"/>
        </w:trPr>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ب</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Ba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B</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ت</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Ta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T</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ث</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Sa</w:t>
            </w:r>
          </w:p>
        </w:tc>
        <w:tc>
          <w:tcPr>
            <w:tcW w:w="13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Ṡ</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Es</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atas)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ج</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Jim</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J</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Je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ح</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Ha</w:t>
            </w:r>
          </w:p>
        </w:tc>
        <w:tc>
          <w:tcPr>
            <w:tcW w:w="1350" w:type="dxa"/>
          </w:tcPr>
          <w:p>
            <w:pPr>
              <w:pStyle w:val="4"/>
              <w:spacing w:after="0" w:line="276" w:lineRule="auto"/>
              <w:ind w:left="38"/>
              <w:jc w:val="center"/>
              <w:rPr>
                <w:rFonts w:asciiTheme="majorBidi" w:hAnsiTheme="majorBidi" w:cstheme="majorBidi"/>
                <w:kern w:val="0"/>
                <w:rtl/>
                <w:lang w:eastAsia="zh-CN"/>
                <w14:ligatures w14:val="none"/>
              </w:rPr>
            </w:pPr>
          </w:p>
          <w:p>
            <w:pPr>
              <w:pStyle w:val="25"/>
              <w:ind w:left="1219" w:hanging="1219"/>
              <w:jc w:val="center"/>
              <w:rPr>
                <w:rFonts w:asciiTheme="majorBidi" w:hAnsiTheme="majorBidi" w:cstheme="majorBidi"/>
                <w:lang w:eastAsia="zh-CN"/>
              </w:rPr>
            </w:pPr>
            <w:r>
              <w:rPr>
                <w:rFonts w:asciiTheme="majorBidi" w:hAnsiTheme="majorBidi" w:cstheme="majorBidi"/>
                <w:lang w:eastAsia="zh-CN"/>
              </w:rPr>
              <w:t xml:space="preserve">Ḥ </w:t>
            </w:r>
          </w:p>
          <w:p>
            <w:pPr>
              <w:pStyle w:val="25"/>
              <w:ind w:left="38" w:hanging="1030"/>
              <w:rPr>
                <w:rFonts w:asciiTheme="majorBidi" w:hAnsiTheme="majorBidi" w:cstheme="majorBidi"/>
                <w:lang w:eastAsia="zh-CN"/>
              </w:rPr>
            </w:pPr>
          </w:p>
          <w:p>
            <w:pPr>
              <w:pStyle w:val="4"/>
              <w:spacing w:after="0" w:line="276" w:lineRule="auto"/>
              <w:ind w:left="38"/>
              <w:jc w:val="center"/>
              <w:rPr>
                <w:rFonts w:asciiTheme="majorBidi" w:hAnsiTheme="majorBidi" w:cstheme="majorBidi"/>
                <w:kern w:val="0"/>
                <w:lang w:eastAsia="zh-CN"/>
                <w14:ligatures w14:val="none"/>
              </w:rPr>
            </w:pP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Ha</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bawah)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خ</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Kha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Kh</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Ka dan 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د</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Da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D</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ذ</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Dza</w:t>
            </w:r>
          </w:p>
        </w:tc>
        <w:tc>
          <w:tcPr>
            <w:tcW w:w="13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Dz</w:t>
            </w:r>
          </w:p>
        </w:tc>
        <w:tc>
          <w:tcPr>
            <w:tcW w:w="2443" w:type="dxa"/>
          </w:tcPr>
          <w:p>
            <w:pPr>
              <w:pStyle w:val="4"/>
              <w:spacing w:after="0" w:line="276" w:lineRule="auto"/>
              <w:ind w:left="0"/>
              <w:jc w:val="center"/>
              <w:rPr>
                <w:rFonts w:asciiTheme="majorBidi" w:hAnsiTheme="majorBidi" w:cstheme="majorBidi"/>
                <w:kern w:val="0"/>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Zet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ر</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Ra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R</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ز</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Zai</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Z</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Zet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 w:hRule="atLeast"/>
        </w:trPr>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س</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Sin</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S</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ش</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Syin</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Sy</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Es dan Ye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ص</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Sad</w:t>
            </w:r>
          </w:p>
        </w:tc>
        <w:tc>
          <w:tcPr>
            <w:tcW w:w="1350" w:type="dxa"/>
          </w:tcPr>
          <w:p>
            <w:pPr>
              <w:pStyle w:val="4"/>
              <w:spacing w:after="0" w:line="276" w:lineRule="auto"/>
              <w:ind w:left="0"/>
              <w:jc w:val="center"/>
              <w:rPr>
                <w:rFonts w:asciiTheme="majorBidi" w:hAnsiTheme="majorBidi" w:cstheme="majorBidi"/>
                <w:kern w:val="0"/>
                <w:rtl/>
                <w:lang w:eastAsia="zh-CN"/>
                <w14:ligatures w14:val="none"/>
              </w:rPr>
            </w:pPr>
          </w:p>
          <w:p>
            <w:pPr>
              <w:pStyle w:val="25"/>
              <w:ind w:left="1030" w:hanging="1219"/>
              <w:jc w:val="center"/>
              <w:rPr>
                <w:rFonts w:asciiTheme="majorBidi" w:hAnsiTheme="majorBidi" w:cstheme="majorBidi"/>
                <w:lang w:eastAsia="zh-CN"/>
              </w:rPr>
            </w:pPr>
            <w:r>
              <w:rPr>
                <w:rFonts w:asciiTheme="majorBidi" w:hAnsiTheme="majorBidi" w:cstheme="majorBidi"/>
                <w:lang w:eastAsia="zh-CN"/>
              </w:rPr>
              <w:t>Ṣ</w:t>
            </w:r>
          </w:p>
          <w:p>
            <w:pPr>
              <w:pStyle w:val="4"/>
              <w:spacing w:after="0" w:line="276" w:lineRule="auto"/>
              <w:ind w:left="0"/>
              <w:jc w:val="center"/>
              <w:rPr>
                <w:rFonts w:asciiTheme="majorBidi" w:hAnsiTheme="majorBidi" w:cstheme="majorBidi"/>
                <w:kern w:val="0"/>
                <w:lang w:eastAsia="zh-CN"/>
                <w14:ligatures w14:val="none"/>
              </w:rPr>
            </w:pP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Es </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bawah)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trPr>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ض</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Dad</w:t>
            </w:r>
          </w:p>
        </w:tc>
        <w:tc>
          <w:tcPr>
            <w:tcW w:w="1350" w:type="dxa"/>
          </w:tcPr>
          <w:p>
            <w:pPr>
              <w:pStyle w:val="4"/>
              <w:spacing w:after="0" w:line="276" w:lineRule="auto"/>
              <w:ind w:left="0"/>
              <w:jc w:val="center"/>
              <w:rPr>
                <w:rFonts w:asciiTheme="majorBidi" w:hAnsiTheme="majorBidi" w:cstheme="majorBidi"/>
                <w:kern w:val="0"/>
                <w:rtl/>
                <w:lang w:eastAsia="zh-CN"/>
                <w14:ligatures w14:val="none"/>
              </w:rPr>
            </w:pPr>
          </w:p>
          <w:p>
            <w:pPr>
              <w:pStyle w:val="25"/>
              <w:ind w:left="1166" w:hanging="1219"/>
              <w:jc w:val="center"/>
              <w:rPr>
                <w:rFonts w:asciiTheme="majorBidi" w:hAnsiTheme="majorBidi" w:cstheme="majorBidi"/>
                <w:lang w:eastAsia="zh-CN"/>
              </w:rPr>
            </w:pPr>
            <w:r>
              <w:rPr>
                <w:rFonts w:asciiTheme="majorBidi" w:hAnsiTheme="majorBidi" w:cstheme="majorBidi"/>
                <w:lang w:eastAsia="zh-CN"/>
              </w:rPr>
              <w:t>Ḍ</w:t>
            </w:r>
          </w:p>
          <w:p>
            <w:pPr>
              <w:pStyle w:val="4"/>
              <w:spacing w:after="0" w:line="276" w:lineRule="auto"/>
              <w:ind w:left="0"/>
              <w:jc w:val="center"/>
              <w:rPr>
                <w:rFonts w:asciiTheme="majorBidi" w:hAnsiTheme="majorBidi" w:cstheme="majorBidi"/>
                <w:kern w:val="0"/>
                <w:lang w:eastAsia="zh-CN"/>
                <w14:ligatures w14:val="none"/>
              </w:rPr>
            </w:pP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De </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bawah)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850" w:type="dxa"/>
          </w:tcPr>
          <w:p>
            <w:pPr>
              <w:pStyle w:val="4"/>
              <w:spacing w:after="0" w:line="276" w:lineRule="auto"/>
              <w:ind w:left="0"/>
              <w:jc w:val="center"/>
              <w:rPr>
                <w:rFonts w:asciiTheme="majorBidi" w:hAnsiTheme="majorBidi" w:cstheme="majorBidi"/>
                <w:kern w:val="0"/>
                <w:rtl/>
                <w:lang w:eastAsia="zh-CN"/>
                <w14:ligatures w14:val="none"/>
              </w:rPr>
            </w:pP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ط</w:t>
            </w:r>
          </w:p>
        </w:tc>
        <w:tc>
          <w:tcPr>
            <w:tcW w:w="885" w:type="dxa"/>
          </w:tcPr>
          <w:p>
            <w:pPr>
              <w:pStyle w:val="4"/>
              <w:spacing w:after="0" w:line="276" w:lineRule="auto"/>
              <w:ind w:left="0"/>
              <w:jc w:val="center"/>
              <w:rPr>
                <w:rFonts w:asciiTheme="majorBidi" w:hAnsiTheme="majorBidi" w:cstheme="majorBidi"/>
                <w:i/>
                <w:iCs/>
                <w:kern w:val="0"/>
                <w:rtl/>
                <w:lang w:eastAsia="zh-CN"/>
                <w14:ligatures w14:val="none"/>
              </w:rPr>
            </w:pPr>
          </w:p>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Ta</w:t>
            </w:r>
          </w:p>
        </w:tc>
        <w:tc>
          <w:tcPr>
            <w:tcW w:w="1350" w:type="dxa"/>
          </w:tcPr>
          <w:p>
            <w:pPr>
              <w:pStyle w:val="4"/>
              <w:spacing w:after="0" w:line="276" w:lineRule="auto"/>
              <w:ind w:left="0"/>
              <w:jc w:val="center"/>
              <w:rPr>
                <w:rFonts w:asciiTheme="majorBidi" w:hAnsiTheme="majorBidi" w:cstheme="majorBidi"/>
                <w:kern w:val="0"/>
                <w:rtl/>
                <w:lang w:eastAsia="zh-CN"/>
                <w14:ligatures w14:val="none"/>
              </w:rPr>
            </w:pPr>
          </w:p>
          <w:p>
            <w:pPr>
              <w:pStyle w:val="25"/>
              <w:ind w:left="1166" w:hanging="1219"/>
              <w:jc w:val="center"/>
              <w:rPr>
                <w:rFonts w:asciiTheme="majorBidi" w:hAnsiTheme="majorBidi" w:cstheme="majorBidi"/>
                <w:lang w:eastAsia="zh-CN"/>
              </w:rPr>
            </w:pPr>
            <w:r>
              <w:rPr>
                <w:rFonts w:asciiTheme="majorBidi" w:hAnsiTheme="majorBidi" w:cstheme="majorBidi"/>
                <w:lang w:eastAsia="zh-CN"/>
              </w:rPr>
              <w:t>Ṭ</w:t>
            </w:r>
          </w:p>
          <w:p>
            <w:pPr>
              <w:pStyle w:val="4"/>
              <w:spacing w:after="0" w:line="276" w:lineRule="auto"/>
              <w:ind w:left="0"/>
              <w:jc w:val="center"/>
              <w:rPr>
                <w:rFonts w:asciiTheme="majorBidi" w:hAnsiTheme="majorBidi" w:cstheme="majorBidi"/>
                <w:kern w:val="0"/>
                <w:lang w:eastAsia="zh-CN"/>
                <w14:ligatures w14:val="none"/>
              </w:rPr>
            </w:pPr>
          </w:p>
        </w:tc>
        <w:tc>
          <w:tcPr>
            <w:tcW w:w="2443" w:type="dxa"/>
          </w:tcPr>
          <w:p>
            <w:pPr>
              <w:pStyle w:val="4"/>
              <w:spacing w:after="0" w:line="276" w:lineRule="auto"/>
              <w:ind w:left="0" w:right="-167" w:rightChars="-76"/>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Te </w:t>
            </w:r>
          </w:p>
          <w:p>
            <w:pPr>
              <w:pStyle w:val="4"/>
              <w:spacing w:after="0" w:line="276" w:lineRule="auto"/>
              <w:ind w:left="0" w:right="-167" w:rightChars="-76"/>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bawah)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p>
          <w:p>
            <w:pPr>
              <w:pStyle w:val="4"/>
              <w:spacing w:after="0" w:line="276" w:lineRule="auto"/>
              <w:ind w:left="0"/>
              <w:jc w:val="center"/>
              <w:rPr>
                <w:rFonts w:asciiTheme="majorBidi" w:hAnsiTheme="majorBidi" w:cstheme="majorBidi"/>
                <w:kern w:val="0"/>
                <w:rtl/>
                <w:lang w:eastAsia="zh-CN"/>
                <w14:ligatures w14:val="none"/>
              </w:rPr>
            </w:pPr>
            <w:r>
              <w:rPr>
                <w:rFonts w:asciiTheme="majorBidi" w:hAnsiTheme="majorBidi" w:cstheme="majorBidi"/>
                <w:kern w:val="0"/>
                <w:rtl/>
                <w:lang w:eastAsia="zh-CN"/>
                <w14:ligatures w14:val="none"/>
              </w:rPr>
              <w:t>ظ</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p>
          <w:p>
            <w:pPr>
              <w:pStyle w:val="4"/>
              <w:spacing w:after="0" w:line="276" w:lineRule="auto"/>
              <w:ind w:left="0"/>
              <w:jc w:val="center"/>
              <w:rPr>
                <w:rFonts w:asciiTheme="majorBidi" w:hAnsiTheme="majorBidi" w:cstheme="majorBidi"/>
                <w:i/>
                <w:iCs/>
                <w:kern w:val="0"/>
                <w:rtl/>
                <w:lang w:eastAsia="zh-CN"/>
                <w14:ligatures w14:val="none"/>
              </w:rPr>
            </w:pPr>
            <w:r>
              <w:rPr>
                <w:rFonts w:asciiTheme="majorBidi" w:hAnsiTheme="majorBidi" w:cstheme="majorBidi"/>
                <w:i/>
                <w:iCs/>
                <w:kern w:val="0"/>
                <w:lang w:eastAsia="zh-CN"/>
                <w14:ligatures w14:val="none"/>
              </w:rPr>
              <w:t>Za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p>
          <w:p>
            <w:pPr>
              <w:pStyle w:val="4"/>
              <w:spacing w:after="0" w:line="276" w:lineRule="auto"/>
              <w:ind w:left="0"/>
              <w:jc w:val="center"/>
              <w:rPr>
                <w:rFonts w:asciiTheme="majorBidi" w:hAnsiTheme="majorBidi" w:cstheme="majorBidi"/>
                <w:kern w:val="0"/>
                <w:rtl/>
                <w:lang w:eastAsia="zh-CN"/>
                <w14:ligatures w14:val="none"/>
              </w:rPr>
            </w:pPr>
            <w:r>
              <w:rPr>
                <w:rFonts w:asciiTheme="majorBidi" w:hAnsiTheme="majorBidi" w:cstheme="majorBidi"/>
                <w:kern w:val="0"/>
                <w:lang w:eastAsia="zh-CN"/>
                <w14:ligatures w14:val="none"/>
              </w:rPr>
              <w:t>Ẓ</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Zet</w:t>
            </w:r>
          </w:p>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(Dengan titik di bawah)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ع</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‘Ain</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 xml:space="preserve">     Apostrof terbaik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غ</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Gain</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G</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ف</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Fa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F</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ق</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Qaf</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K</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Qi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ك</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Kaf</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L</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Ka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ل</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Lam</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M</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م</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Nun</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N</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و</w:t>
            </w:r>
          </w:p>
        </w:tc>
        <w:tc>
          <w:tcPr>
            <w:tcW w:w="885" w:type="dxa"/>
          </w:tcPr>
          <w:p>
            <w:pPr>
              <w:pStyle w:val="4"/>
              <w:spacing w:after="0" w:line="276" w:lineRule="auto"/>
              <w:ind w:left="0"/>
              <w:jc w:val="center"/>
              <w:rPr>
                <w:rFonts w:asciiTheme="majorBidi" w:hAnsiTheme="majorBidi" w:cstheme="majorBidi"/>
                <w:i/>
                <w:iCs/>
                <w:kern w:val="0"/>
                <w:lang w:eastAsia="zh-CN"/>
                <w14:ligatures w14:val="none"/>
              </w:rPr>
            </w:pPr>
            <w:r>
              <w:rPr>
                <w:rFonts w:asciiTheme="majorBidi" w:hAnsiTheme="majorBidi" w:cstheme="majorBidi"/>
                <w:i/>
                <w:iCs/>
                <w:kern w:val="0"/>
                <w:lang w:eastAsia="zh-CN"/>
                <w14:ligatures w14:val="none"/>
              </w:rPr>
              <w:t>Wau</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W</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Wa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ه</w:t>
            </w:r>
          </w:p>
        </w:tc>
        <w:tc>
          <w:tcPr>
            <w:tcW w:w="885"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ء</w:t>
            </w:r>
          </w:p>
        </w:tc>
        <w:tc>
          <w:tcPr>
            <w:tcW w:w="885"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Hamzah</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Apostrof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8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rtl/>
                <w:lang w:eastAsia="zh-CN"/>
                <w14:ligatures w14:val="none"/>
              </w:rPr>
              <w:t>ي</w:t>
            </w:r>
          </w:p>
        </w:tc>
        <w:tc>
          <w:tcPr>
            <w:tcW w:w="885"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Ya</w:t>
            </w:r>
          </w:p>
        </w:tc>
        <w:tc>
          <w:tcPr>
            <w:tcW w:w="1350"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Ye</w:t>
            </w:r>
          </w:p>
        </w:tc>
        <w:tc>
          <w:tcPr>
            <w:tcW w:w="2443" w:type="dxa"/>
          </w:tcPr>
          <w:p>
            <w:pPr>
              <w:pStyle w:val="4"/>
              <w:spacing w:after="0" w:line="276" w:lineRule="auto"/>
              <w:ind w:left="0"/>
              <w:jc w:val="center"/>
              <w:rPr>
                <w:rFonts w:asciiTheme="majorBidi" w:hAnsiTheme="majorBidi" w:cstheme="majorBidi"/>
                <w:kern w:val="0"/>
                <w:lang w:eastAsia="zh-CN"/>
                <w14:ligatures w14:val="none"/>
              </w:rPr>
            </w:pPr>
            <w:r>
              <w:rPr>
                <w:rFonts w:asciiTheme="majorBidi" w:hAnsiTheme="majorBidi" w:cstheme="majorBidi"/>
                <w:kern w:val="0"/>
                <w:lang w:eastAsia="zh-CN"/>
                <w14:ligatures w14:val="none"/>
              </w:rPr>
              <w:t>Ye</w:t>
            </w:r>
          </w:p>
        </w:tc>
      </w:tr>
    </w:tbl>
    <w:p>
      <w:pPr>
        <w:pStyle w:val="4"/>
        <w:spacing w:line="360" w:lineRule="auto"/>
        <w:ind w:left="284" w:firstLine="567"/>
        <w:jc w:val="both"/>
        <w:rPr>
          <w:rFonts w:ascii="Times New Roman" w:hAnsi="Times New Roman" w:cs="Times New Roman"/>
        </w:rPr>
      </w:pPr>
      <w:r>
        <w:rPr>
          <w:rFonts w:ascii="Times New Roman" w:hAnsi="Times New Roman" w:cs="Times New Roman"/>
        </w:rPr>
        <w:t xml:space="preserve">Huruf </w:t>
      </w:r>
      <w:r>
        <w:rPr>
          <w:rFonts w:asciiTheme="majorBidi" w:hAnsiTheme="majorBidi" w:cstheme="majorBidi"/>
        </w:rPr>
        <w:t>Hamzah</w:t>
      </w:r>
      <w:r>
        <w:rPr>
          <w:rFonts w:ascii="Times New Roman" w:hAnsi="Times New Roman" w:cs="Times New Roman"/>
        </w:rPr>
        <w:t xml:space="preserve"> yang berada du awal kata maka vokalnya </w:t>
      </w:r>
      <w:r>
        <w:rPr>
          <w:rFonts w:asciiTheme="majorBidi" w:hAnsiTheme="majorBidi" w:cstheme="majorBidi"/>
        </w:rPr>
        <w:t>mengikuti</w:t>
      </w:r>
      <w:r>
        <w:rPr>
          <w:rFonts w:ascii="Times New Roman" w:hAnsi="Times New Roman" w:cs="Times New Roman"/>
        </w:rPr>
        <w:t xml:space="preserve"> </w:t>
      </w:r>
      <w:r>
        <w:rPr>
          <w:rFonts w:asciiTheme="majorBidi" w:hAnsiTheme="majorBidi" w:cstheme="majorBidi"/>
        </w:rPr>
        <w:t>dengan</w:t>
      </w:r>
      <w:r>
        <w:rPr>
          <w:rFonts w:ascii="Times New Roman" w:hAnsi="Times New Roman" w:cs="Times New Roman"/>
        </w:rPr>
        <w:t xml:space="preserve"> tidak diberi tanda apapun. Jika terletak di tengah atau</w:t>
      </w:r>
      <w:r>
        <w:rPr>
          <w:rFonts w:asciiTheme="majorBidi" w:hAnsiTheme="majorBidi" w:cstheme="majorBidi"/>
        </w:rPr>
        <w:t xml:space="preserve"> </w:t>
      </w:r>
      <w:r>
        <w:rPr>
          <w:rFonts w:ascii="Times New Roman" w:hAnsi="Times New Roman" w:cs="Times New Roman"/>
        </w:rPr>
        <w:t>di akhir, maka ditulis dengan tanda (’).</w:t>
      </w:r>
    </w:p>
    <w:p>
      <w:pPr>
        <w:pStyle w:val="4"/>
        <w:numPr>
          <w:ilvl w:val="0"/>
          <w:numId w:val="4"/>
        </w:numPr>
        <w:spacing w:line="276" w:lineRule="auto"/>
        <w:ind w:left="284" w:hanging="284"/>
        <w:jc w:val="both"/>
        <w:rPr>
          <w:rFonts w:ascii="Times New Roman" w:hAnsi="Times New Roman" w:cs="Times New Roman"/>
          <w:b/>
          <w:bCs/>
        </w:rPr>
      </w:pPr>
      <w:r>
        <w:rPr>
          <w:rFonts w:asciiTheme="majorBidi" w:hAnsiTheme="majorBidi" w:cstheme="majorBidi"/>
          <w:b/>
          <w:bCs/>
        </w:rPr>
        <w:t>Vokal</w:t>
      </w:r>
    </w:p>
    <w:p>
      <w:pPr>
        <w:pStyle w:val="4"/>
        <w:spacing w:line="360" w:lineRule="auto"/>
        <w:ind w:left="284" w:firstLine="567"/>
        <w:jc w:val="both"/>
        <w:rPr>
          <w:rFonts w:ascii="Times New Roman" w:hAnsi="Times New Roman" w:cs="Times New Roman"/>
        </w:rPr>
      </w:pPr>
      <w:r>
        <w:rPr>
          <w:rFonts w:ascii="Times New Roman" w:hAnsi="Times New Roman" w:cs="Times New Roman"/>
        </w:rPr>
        <w:t>Vokal merupakan bahasa lisan yang dicirikhaskan dengan pita suara. Sama seperti vokal dalam bahasa Indonesia, vokal Arab juga terdiri dari dua vokal. Adapun keduanya yaitu:</w:t>
      </w:r>
    </w:p>
    <w:p>
      <w:pPr>
        <w:pStyle w:val="4"/>
        <w:numPr>
          <w:ilvl w:val="0"/>
          <w:numId w:val="5"/>
        </w:numPr>
        <w:spacing w:line="360" w:lineRule="auto"/>
        <w:ind w:left="567" w:hanging="283"/>
        <w:jc w:val="both"/>
        <w:rPr>
          <w:rFonts w:ascii="Times New Roman" w:hAnsi="Times New Roman" w:cs="Times New Roman"/>
        </w:rPr>
      </w:pPr>
      <w:r>
        <w:rPr>
          <w:rFonts w:ascii="Times New Roman" w:hAnsi="Times New Roman" w:cs="Times New Roman"/>
        </w:rPr>
        <w:t>Vokal tunggal</w:t>
      </w:r>
    </w:p>
    <w:p>
      <w:pPr>
        <w:pStyle w:val="4"/>
        <w:spacing w:line="360" w:lineRule="auto"/>
        <w:ind w:left="567"/>
        <w:jc w:val="both"/>
        <w:rPr>
          <w:rFonts w:ascii="Times New Roman" w:hAnsi="Times New Roman" w:cs="Times New Roman"/>
        </w:rPr>
      </w:pPr>
      <w:r>
        <w:rPr>
          <w:rFonts w:ascii="Times New Roman" w:hAnsi="Times New Roman" w:cs="Times New Roman"/>
        </w:rPr>
        <w:t>Adapun vokal tunggal dalam bahasa arab berupa tanda harakat, transliterasinya sebagai berikut:</w:t>
      </w:r>
    </w:p>
    <w:tbl>
      <w:tblPr>
        <w:tblStyle w:val="21"/>
        <w:tblW w:w="5132"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1417"/>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85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Tanda</w:t>
            </w:r>
          </w:p>
        </w:tc>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c>
          <w:tcPr>
            <w:tcW w:w="1417"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Huruf Latin</w:t>
            </w:r>
          </w:p>
        </w:tc>
        <w:tc>
          <w:tcPr>
            <w:tcW w:w="173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85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rtl/>
                <w:lang w:eastAsia="zh-CN"/>
                <w14:ligatures w14:val="none"/>
              </w:rPr>
              <w:t>َ</w:t>
            </w:r>
          </w:p>
        </w:tc>
        <w:tc>
          <w:tcPr>
            <w:tcW w:w="1134" w:type="dxa"/>
          </w:tcPr>
          <w:p>
            <w:pPr>
              <w:pStyle w:val="4"/>
              <w:spacing w:after="0" w:line="276" w:lineRule="auto"/>
              <w:ind w:left="0"/>
              <w:jc w:val="center"/>
              <w:rPr>
                <w:rFonts w:ascii="Times New Roman" w:hAnsi="Times New Roman" w:cs="Times New Roman"/>
                <w:i/>
                <w:iCs/>
                <w:kern w:val="0"/>
                <w:lang w:eastAsia="zh-CN"/>
                <w14:ligatures w14:val="none"/>
              </w:rPr>
            </w:pPr>
            <w:r>
              <w:rPr>
                <w:rFonts w:ascii="Times New Roman" w:hAnsi="Times New Roman" w:cs="Times New Roman"/>
                <w:i/>
                <w:iCs/>
                <w:kern w:val="0"/>
                <w:lang w:eastAsia="zh-CN"/>
                <w14:ligatures w14:val="none"/>
              </w:rPr>
              <w:t>Faṭhah</w:t>
            </w:r>
          </w:p>
        </w:tc>
        <w:tc>
          <w:tcPr>
            <w:tcW w:w="1417"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w:t>
            </w:r>
          </w:p>
        </w:tc>
        <w:tc>
          <w:tcPr>
            <w:tcW w:w="173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85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rtl/>
                <w:lang w:eastAsia="zh-CN"/>
                <w14:ligatures w14:val="none"/>
              </w:rPr>
              <w:t>ِ</w:t>
            </w:r>
          </w:p>
        </w:tc>
        <w:tc>
          <w:tcPr>
            <w:tcW w:w="1134" w:type="dxa"/>
          </w:tcPr>
          <w:p>
            <w:pPr>
              <w:pStyle w:val="4"/>
              <w:spacing w:after="0" w:line="276" w:lineRule="auto"/>
              <w:ind w:left="0"/>
              <w:jc w:val="center"/>
              <w:rPr>
                <w:rFonts w:ascii="Times New Roman" w:hAnsi="Times New Roman" w:cs="Times New Roman"/>
                <w:i/>
                <w:iCs/>
                <w:kern w:val="0"/>
                <w:lang w:eastAsia="zh-CN"/>
                <w14:ligatures w14:val="none"/>
              </w:rPr>
            </w:pPr>
            <w:r>
              <w:rPr>
                <w:rFonts w:ascii="Times New Roman" w:hAnsi="Times New Roman" w:cs="Times New Roman"/>
                <w:i/>
                <w:iCs/>
                <w:kern w:val="0"/>
                <w:lang w:eastAsia="zh-CN"/>
                <w14:ligatures w14:val="none"/>
              </w:rPr>
              <w:t>Kasrah</w:t>
            </w:r>
          </w:p>
        </w:tc>
        <w:tc>
          <w:tcPr>
            <w:tcW w:w="1417"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I</w:t>
            </w:r>
          </w:p>
        </w:tc>
        <w:tc>
          <w:tcPr>
            <w:tcW w:w="173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851" w:type="dxa"/>
          </w:tcPr>
          <w:p>
            <w:pPr>
              <w:pStyle w:val="4"/>
              <w:spacing w:after="0" w:line="276" w:lineRule="auto"/>
              <w:ind w:left="0"/>
              <w:jc w:val="center"/>
              <w:rPr>
                <w:rFonts w:ascii="Times New Roman" w:hAnsi="Times New Roman" w:cs="Times New Roman"/>
                <w:i/>
                <w:iCs/>
                <w:kern w:val="0"/>
                <w:lang w:eastAsia="zh-CN"/>
                <w14:ligatures w14:val="none"/>
              </w:rPr>
            </w:pPr>
            <w:r>
              <w:rPr>
                <w:rFonts w:ascii="Times New Roman" w:hAnsi="Times New Roman" w:cs="Times New Roman"/>
                <w:i/>
                <w:iCs/>
                <w:kern w:val="0"/>
                <w:rtl/>
                <w:lang w:eastAsia="zh-CN"/>
                <w14:ligatures w14:val="none"/>
              </w:rPr>
              <w:t>ُ</w:t>
            </w:r>
          </w:p>
        </w:tc>
        <w:tc>
          <w:tcPr>
            <w:tcW w:w="1134" w:type="dxa"/>
          </w:tcPr>
          <w:p>
            <w:pPr>
              <w:pStyle w:val="4"/>
              <w:spacing w:after="0" w:line="276" w:lineRule="auto"/>
              <w:ind w:left="0"/>
              <w:jc w:val="center"/>
              <w:rPr>
                <w:rFonts w:ascii="Times New Roman" w:hAnsi="Times New Roman" w:cs="Times New Roman"/>
                <w:i/>
                <w:iCs/>
                <w:kern w:val="0"/>
                <w:lang w:eastAsia="zh-CN"/>
                <w14:ligatures w14:val="none"/>
              </w:rPr>
            </w:pPr>
            <w:r>
              <w:rPr>
                <w:rFonts w:ascii="Times New Roman" w:hAnsi="Times New Roman" w:cs="Times New Roman"/>
                <w:i/>
                <w:iCs/>
                <w:kern w:val="0"/>
                <w:lang w:eastAsia="zh-CN"/>
                <w14:ligatures w14:val="none"/>
              </w:rPr>
              <w:t>Ḍammah</w:t>
            </w:r>
          </w:p>
        </w:tc>
        <w:tc>
          <w:tcPr>
            <w:tcW w:w="1417"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U</w:t>
            </w:r>
          </w:p>
        </w:tc>
        <w:tc>
          <w:tcPr>
            <w:tcW w:w="173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U</w:t>
            </w:r>
          </w:p>
        </w:tc>
      </w:tr>
    </w:tbl>
    <w:p>
      <w:pPr>
        <w:spacing w:after="0" w:line="240" w:lineRule="auto"/>
        <w:jc w:val="both"/>
        <w:rPr>
          <w:rFonts w:ascii="Times New Roman" w:hAnsi="Times New Roman" w:cs="Times New Roman"/>
        </w:rPr>
      </w:pPr>
    </w:p>
    <w:p>
      <w:pPr>
        <w:pStyle w:val="4"/>
        <w:numPr>
          <w:ilvl w:val="0"/>
          <w:numId w:val="5"/>
        </w:numPr>
        <w:spacing w:after="0" w:line="360" w:lineRule="auto"/>
        <w:ind w:left="567" w:hanging="283"/>
        <w:jc w:val="both"/>
        <w:rPr>
          <w:rFonts w:ascii="Times New Roman" w:hAnsi="Times New Roman" w:cs="Times New Roman"/>
        </w:rPr>
      </w:pPr>
      <w:r>
        <w:rPr>
          <w:rFonts w:ascii="Times New Roman" w:hAnsi="Times New Roman" w:cs="Times New Roman"/>
        </w:rPr>
        <w:t>Vokal rangkap</w:t>
      </w:r>
    </w:p>
    <w:p>
      <w:pPr>
        <w:pStyle w:val="4"/>
        <w:spacing w:line="360" w:lineRule="auto"/>
        <w:ind w:left="567"/>
        <w:jc w:val="both"/>
        <w:rPr>
          <w:rFonts w:ascii="Times New Roman" w:hAnsi="Times New Roman" w:cs="Times New Roman"/>
        </w:rPr>
      </w:pPr>
      <w:r>
        <w:rPr>
          <w:rFonts w:ascii="Times New Roman" w:hAnsi="Times New Roman" w:cs="Times New Roman"/>
        </w:rPr>
        <w:t xml:space="preserve">Vokal Rangkap merupakan gabungan antara harakat dan huruf. Adapun transliterasinya sebagai berikut: </w:t>
      </w:r>
    </w:p>
    <w:tbl>
      <w:tblPr>
        <w:tblStyle w:val="21"/>
        <w:tblW w:w="524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014"/>
        <w:gridCol w:w="96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276"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Huruf Arab</w:t>
            </w:r>
          </w:p>
        </w:tc>
        <w:tc>
          <w:tcPr>
            <w:tcW w:w="201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c>
          <w:tcPr>
            <w:tcW w:w="963"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Huruf Latin</w:t>
            </w:r>
          </w:p>
        </w:tc>
        <w:tc>
          <w:tcPr>
            <w:tcW w:w="992"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276" w:type="dxa"/>
          </w:tcPr>
          <w:p>
            <w:pPr>
              <w:pStyle w:val="4"/>
              <w:spacing w:after="0" w:line="276" w:lineRule="auto"/>
              <w:ind w:left="0"/>
              <w:jc w:val="center"/>
              <w:rPr>
                <w:rFonts w:ascii="Times New Roman" w:hAnsi="Times New Roman" w:cs="Times New Roman"/>
                <w:kern w:val="0"/>
                <w:rtl/>
                <w:lang w:eastAsia="zh-CN" w:bidi="ar-DZ"/>
                <w14:ligatures w14:val="none"/>
              </w:rPr>
            </w:pPr>
            <w:r>
              <w:rPr>
                <w:rFonts w:ascii="Times New Roman" w:hAnsi="Times New Roman" w:cs="Times New Roman"/>
                <w:kern w:val="0"/>
                <w:rtl/>
                <w:lang w:eastAsia="zh-CN" w:bidi="ar-DZ"/>
                <w14:ligatures w14:val="none"/>
              </w:rPr>
              <w:t>ئ ... ي</w:t>
            </w:r>
          </w:p>
        </w:tc>
        <w:tc>
          <w:tcPr>
            <w:tcW w:w="2014" w:type="dxa"/>
          </w:tcPr>
          <w:p>
            <w:pPr>
              <w:pStyle w:val="4"/>
              <w:spacing w:after="0" w:line="276" w:lineRule="auto"/>
              <w:ind w:left="10" w:hanging="142"/>
              <w:jc w:val="center"/>
              <w:rPr>
                <w:rFonts w:ascii="Times New Roman" w:hAnsi="Times New Roman" w:cs="Times New Roman"/>
                <w:i/>
                <w:iCs/>
                <w:kern w:val="0"/>
                <w:lang w:eastAsia="zh-CN"/>
                <w14:ligatures w14:val="none"/>
              </w:rPr>
            </w:pPr>
            <w:r>
              <w:rPr>
                <w:rFonts w:ascii="Times New Roman" w:hAnsi="Times New Roman" w:cs="Times New Roman"/>
                <w:i/>
                <w:iCs/>
                <w:kern w:val="0"/>
                <w:lang w:eastAsia="zh-CN"/>
                <w14:ligatures w14:val="none"/>
              </w:rPr>
              <w:t xml:space="preserve">Faṭhah </w:t>
            </w:r>
            <w:r>
              <w:rPr>
                <w:rFonts w:ascii="Times New Roman" w:hAnsi="Times New Roman" w:cs="Times New Roman"/>
                <w:kern w:val="0"/>
                <w:lang w:eastAsia="zh-CN"/>
                <w14:ligatures w14:val="none"/>
              </w:rPr>
              <w:t>dan</w:t>
            </w:r>
            <w:r>
              <w:rPr>
                <w:rFonts w:ascii="Times New Roman" w:hAnsi="Times New Roman" w:cs="Times New Roman"/>
                <w:i/>
                <w:iCs/>
                <w:kern w:val="0"/>
                <w:lang w:eastAsia="zh-CN"/>
                <w14:ligatures w14:val="none"/>
              </w:rPr>
              <w:t xml:space="preserve"> ya</w:t>
            </w:r>
          </w:p>
        </w:tc>
        <w:tc>
          <w:tcPr>
            <w:tcW w:w="963"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Ai</w:t>
            </w:r>
          </w:p>
        </w:tc>
        <w:tc>
          <w:tcPr>
            <w:tcW w:w="992"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 dan 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276"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rtl/>
                <w:lang w:eastAsia="zh-CN"/>
                <w14:ligatures w14:val="none"/>
              </w:rPr>
              <w:t>ئ ... ي</w:t>
            </w:r>
          </w:p>
        </w:tc>
        <w:tc>
          <w:tcPr>
            <w:tcW w:w="2014" w:type="dxa"/>
          </w:tcPr>
          <w:p>
            <w:pPr>
              <w:pStyle w:val="4"/>
              <w:spacing w:after="0" w:line="276" w:lineRule="auto"/>
              <w:ind w:left="10" w:hanging="142"/>
              <w:jc w:val="center"/>
              <w:rPr>
                <w:rFonts w:ascii="Times New Roman" w:hAnsi="Times New Roman" w:cs="Times New Roman"/>
                <w:i/>
                <w:iCs/>
                <w:kern w:val="0"/>
                <w:lang w:eastAsia="zh-CN"/>
                <w14:ligatures w14:val="none"/>
              </w:rPr>
            </w:pPr>
            <w:r>
              <w:rPr>
                <w:rFonts w:ascii="Times New Roman" w:hAnsi="Times New Roman" w:cs="Times New Roman"/>
                <w:i/>
                <w:iCs/>
                <w:kern w:val="0"/>
                <w:lang w:eastAsia="zh-CN"/>
                <w14:ligatures w14:val="none"/>
              </w:rPr>
              <w:t xml:space="preserve">Faṭhah </w:t>
            </w:r>
            <w:r>
              <w:rPr>
                <w:rFonts w:ascii="Times New Roman" w:hAnsi="Times New Roman" w:cs="Times New Roman"/>
                <w:kern w:val="0"/>
                <w:lang w:eastAsia="zh-CN"/>
                <w14:ligatures w14:val="none"/>
              </w:rPr>
              <w:t>dan</w:t>
            </w:r>
            <w:r>
              <w:rPr>
                <w:rFonts w:ascii="Times New Roman" w:hAnsi="Times New Roman" w:cs="Times New Roman"/>
                <w:i/>
                <w:iCs/>
                <w:kern w:val="0"/>
                <w:lang w:eastAsia="zh-CN"/>
                <w14:ligatures w14:val="none"/>
              </w:rPr>
              <w:t xml:space="preserve"> wau</w:t>
            </w:r>
          </w:p>
        </w:tc>
        <w:tc>
          <w:tcPr>
            <w:tcW w:w="963"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Au</w:t>
            </w:r>
          </w:p>
        </w:tc>
        <w:tc>
          <w:tcPr>
            <w:tcW w:w="992"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 dan U</w:t>
            </w:r>
          </w:p>
        </w:tc>
      </w:tr>
    </w:tbl>
    <w:p>
      <w:pPr>
        <w:pStyle w:val="4"/>
        <w:spacing w:line="276" w:lineRule="auto"/>
        <w:ind w:left="0"/>
        <w:jc w:val="both"/>
        <w:rPr>
          <w:rFonts w:ascii="Times New Roman" w:hAnsi="Times New Roman" w:cs="Times New Roman"/>
          <w:b/>
          <w:bCs/>
        </w:rPr>
      </w:pPr>
    </w:p>
    <w:p>
      <w:pPr>
        <w:pStyle w:val="4"/>
        <w:numPr>
          <w:ilvl w:val="0"/>
          <w:numId w:val="4"/>
        </w:numPr>
        <w:spacing w:line="276" w:lineRule="auto"/>
        <w:ind w:left="284" w:hanging="284"/>
        <w:jc w:val="both"/>
        <w:rPr>
          <w:rFonts w:ascii="Times New Roman" w:hAnsi="Times New Roman" w:cs="Times New Roman"/>
          <w:b/>
          <w:bCs/>
        </w:rPr>
      </w:pPr>
      <w:r>
        <w:rPr>
          <w:rFonts w:asciiTheme="majorBidi" w:hAnsiTheme="majorBidi" w:cstheme="majorBidi"/>
          <w:b/>
          <w:bCs/>
        </w:rPr>
        <w:t>Maddah</w:t>
      </w:r>
    </w:p>
    <w:tbl>
      <w:tblPr>
        <w:tblStyle w:val="21"/>
        <w:tblW w:w="552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60"/>
        <w:gridCol w:w="113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Harakat dan Huruf</w:t>
            </w:r>
          </w:p>
        </w:tc>
        <w:tc>
          <w:tcPr>
            <w:tcW w:w="156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Huruf dan tanda</w:t>
            </w:r>
          </w:p>
        </w:tc>
        <w:tc>
          <w:tcPr>
            <w:tcW w:w="170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Nama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134" w:type="dxa"/>
          </w:tcPr>
          <w:p>
            <w:pPr>
              <w:pStyle w:val="4"/>
              <w:spacing w:after="0" w:line="276" w:lineRule="auto"/>
              <w:ind w:left="0"/>
              <w:jc w:val="center"/>
              <w:rPr>
                <w:rFonts w:ascii="Times New Roman" w:hAnsi="Times New Roman" w:cs="Times New Roman"/>
                <w:kern w:val="0"/>
                <w:lang w:eastAsia="zh-CN" w:bidi="ar-DZ"/>
                <w14:ligatures w14:val="none"/>
              </w:rPr>
            </w:pPr>
            <w:r>
              <w:rPr>
                <w:rFonts w:ascii="Times New Roman" w:hAnsi="Times New Roman" w:cs="Times New Roman"/>
                <w:kern w:val="0"/>
                <w:rtl/>
                <w:lang w:eastAsia="zh-CN"/>
                <w14:ligatures w14:val="none"/>
              </w:rPr>
              <w:t xml:space="preserve">َ </w:t>
            </w:r>
            <w:r>
              <w:rPr>
                <w:rFonts w:ascii="Times New Roman" w:hAnsi="Times New Roman" w:cs="Times New Roman"/>
                <w:kern w:val="0"/>
                <w:rtl/>
                <w:lang w:eastAsia="zh-CN" w:bidi="ar-DZ"/>
                <w14:ligatures w14:val="none"/>
              </w:rPr>
              <w:t>... ا</w:t>
            </w:r>
          </w:p>
        </w:tc>
        <w:tc>
          <w:tcPr>
            <w:tcW w:w="156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i/>
                <w:iCs/>
                <w:kern w:val="0"/>
                <w:lang w:eastAsia="zh-CN"/>
                <w14:ligatures w14:val="none"/>
              </w:rPr>
              <w:t xml:space="preserve">Faṭhah </w:t>
            </w:r>
            <w:r>
              <w:rPr>
                <w:rFonts w:ascii="Times New Roman" w:hAnsi="Times New Roman" w:cs="Times New Roman"/>
                <w:kern w:val="0"/>
                <w:lang w:eastAsia="zh-CN"/>
                <w14:ligatures w14:val="none"/>
              </w:rPr>
              <w:t>dan</w:t>
            </w:r>
            <w:r>
              <w:rPr>
                <w:rFonts w:ascii="Times New Roman" w:hAnsi="Times New Roman" w:cs="Times New Roman"/>
                <w:i/>
                <w:iCs/>
                <w:kern w:val="0"/>
                <w:lang w:eastAsia="zh-CN"/>
                <w14:ligatures w14:val="none"/>
              </w:rPr>
              <w:t xml:space="preserve"> ya</w:t>
            </w:r>
          </w:p>
        </w:tc>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Ā</w:t>
            </w:r>
          </w:p>
        </w:tc>
        <w:tc>
          <w:tcPr>
            <w:tcW w:w="170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A dan garis di atas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rtl/>
                <w:lang w:eastAsia="zh-CN"/>
                <w14:ligatures w14:val="none"/>
              </w:rPr>
              <w:t>ِ... ي</w:t>
            </w:r>
          </w:p>
        </w:tc>
        <w:tc>
          <w:tcPr>
            <w:tcW w:w="156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i/>
                <w:iCs/>
                <w:kern w:val="0"/>
                <w:lang w:eastAsia="zh-CN"/>
                <w14:ligatures w14:val="none"/>
              </w:rPr>
              <w:t xml:space="preserve">Kasrah </w:t>
            </w:r>
            <w:r>
              <w:rPr>
                <w:rFonts w:ascii="Times New Roman" w:hAnsi="Times New Roman" w:cs="Times New Roman"/>
                <w:kern w:val="0"/>
                <w:lang w:eastAsia="zh-CN"/>
                <w14:ligatures w14:val="none"/>
              </w:rPr>
              <w:t>dan</w:t>
            </w:r>
            <w:r>
              <w:rPr>
                <w:rFonts w:ascii="Times New Roman" w:hAnsi="Times New Roman" w:cs="Times New Roman"/>
                <w:i/>
                <w:iCs/>
                <w:kern w:val="0"/>
                <w:lang w:eastAsia="zh-CN"/>
                <w14:ligatures w14:val="none"/>
              </w:rPr>
              <w:t xml:space="preserve"> ya</w:t>
            </w:r>
          </w:p>
        </w:tc>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Ī</w:t>
            </w:r>
          </w:p>
        </w:tc>
        <w:tc>
          <w:tcPr>
            <w:tcW w:w="170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dan garis di atas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rtl/>
                <w:lang w:eastAsia="zh-CN"/>
                <w14:ligatures w14:val="none"/>
              </w:rPr>
              <w:t>ُ... و</w:t>
            </w:r>
          </w:p>
        </w:tc>
        <w:tc>
          <w:tcPr>
            <w:tcW w:w="1560"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i/>
                <w:iCs/>
                <w:kern w:val="0"/>
                <w:lang w:eastAsia="zh-CN"/>
                <w14:ligatures w14:val="none"/>
              </w:rPr>
              <w:t>Ḍammah dan wau</w:t>
            </w:r>
          </w:p>
        </w:tc>
        <w:tc>
          <w:tcPr>
            <w:tcW w:w="1134"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Ū</w:t>
            </w:r>
          </w:p>
        </w:tc>
        <w:tc>
          <w:tcPr>
            <w:tcW w:w="1701" w:type="dxa"/>
          </w:tcPr>
          <w:p>
            <w:pPr>
              <w:pStyle w:val="4"/>
              <w:spacing w:after="0" w:line="276" w:lineRule="auto"/>
              <w:ind w:left="0"/>
              <w:jc w:val="center"/>
              <w:rPr>
                <w:rFonts w:ascii="Times New Roman" w:hAnsi="Times New Roman" w:cs="Times New Roman"/>
                <w:kern w:val="0"/>
                <w:lang w:eastAsia="zh-CN"/>
                <w14:ligatures w14:val="none"/>
              </w:rPr>
            </w:pPr>
            <w:r>
              <w:rPr>
                <w:rFonts w:ascii="Times New Roman" w:hAnsi="Times New Roman" w:cs="Times New Roman"/>
                <w:kern w:val="0"/>
                <w:lang w:eastAsia="zh-CN"/>
                <w14:ligatures w14:val="none"/>
              </w:rPr>
              <w:t>U dan garis di atas</w:t>
            </w:r>
          </w:p>
        </w:tc>
      </w:tr>
    </w:tbl>
    <w:p>
      <w:pPr>
        <w:pStyle w:val="4"/>
        <w:spacing w:line="240" w:lineRule="auto"/>
        <w:ind w:left="284" w:firstLine="567"/>
        <w:jc w:val="both"/>
        <w:rPr>
          <w:rFonts w:ascii="Times New Roman" w:hAnsi="Times New Roman" w:cs="Times New Roman"/>
        </w:rPr>
      </w:pPr>
    </w:p>
    <w:p>
      <w:pPr>
        <w:pStyle w:val="4"/>
        <w:spacing w:line="360" w:lineRule="auto"/>
        <w:ind w:left="284" w:firstLine="567"/>
        <w:jc w:val="both"/>
        <w:rPr>
          <w:rFonts w:ascii="Times New Roman" w:hAnsi="Times New Roman" w:cs="Times New Roman"/>
          <w:b/>
          <w:bCs/>
        </w:rPr>
      </w:pPr>
      <w:r>
        <w:rPr>
          <w:rFonts w:ascii="Times New Roman" w:hAnsi="Times New Roman" w:cs="Times New Roman"/>
        </w:rPr>
        <w:t>Maddah merupakan tanda vokal arab yang menunjukkan panjang lambangnya berupa harakat dan huruf. Berikut transliterasinya:</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lang w:val="en-US"/>
        </w:rPr>
        <w:t>D</w:t>
      </w:r>
      <w:r>
        <w:rPr>
          <w:rFonts w:ascii="Times New Roman" w:hAnsi="Times New Roman" w:cs="Times New Roman"/>
          <w:b/>
          <w:bCs/>
        </w:rPr>
        <w:t>arb</w:t>
      </w:r>
      <w:r>
        <w:rPr>
          <w:rFonts w:ascii="Times New Roman" w:hAnsi="Times New Roman" w:cs="Times New Roman"/>
          <w:b/>
          <w:bCs/>
          <w:lang w:val="en-US"/>
        </w:rPr>
        <w:t>u</w:t>
      </w:r>
      <w:r>
        <w:rPr>
          <w:rFonts w:ascii="Times New Roman" w:hAnsi="Times New Roman" w:cs="Times New Roman"/>
          <w:b/>
          <w:bCs/>
        </w:rPr>
        <w:t>ṭah</w:t>
      </w:r>
    </w:p>
    <w:p>
      <w:pPr>
        <w:pStyle w:val="4"/>
        <w:spacing w:line="360" w:lineRule="auto"/>
        <w:ind w:left="565" w:leftChars="257" w:firstLine="714"/>
        <w:jc w:val="both"/>
        <w:rPr>
          <w:rFonts w:ascii="Times New Roman" w:hAnsi="Times New Roman" w:cs="Times New Roman"/>
        </w:rPr>
      </w:pPr>
      <w:r>
        <w:rPr>
          <w:rFonts w:ascii="Times New Roman" w:hAnsi="Times New Roman" w:cs="Times New Roman"/>
        </w:rPr>
        <w:t>Ta Marbūṭah</w:t>
      </w:r>
      <w:r>
        <w:rPr>
          <w:rFonts w:ascii="Times New Roman" w:hAnsi="Times New Roman" w:cs="Times New Roman"/>
          <w:rtl/>
        </w:rPr>
        <w:t xml:space="preserve"> </w:t>
      </w:r>
      <w:r>
        <w:rPr>
          <w:rFonts w:ascii="Times New Roman" w:hAnsi="Times New Roman" w:cs="Times New Roman"/>
        </w:rPr>
        <w:t xml:space="preserve"> merupakan varian dari Ta yang jika dibagi sesuai dengan jenisnya ada dua. Adapun keduanya yaitu, Ta Marbūṭah yang hidup dengan diikuti harakat faṭhah, kasrah, atau ḍammah dan menggunakan transliterasi [t], sedangkan Ta Marbūṭah yang mati atau berharakat sukun menggunakan literasi [h].</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rPr>
        <w:t>Syaddah</w:t>
      </w:r>
    </w:p>
    <w:p>
      <w:pPr>
        <w:pStyle w:val="4"/>
        <w:spacing w:line="360" w:lineRule="auto"/>
        <w:ind w:left="565" w:leftChars="257" w:firstLine="714"/>
        <w:jc w:val="both"/>
        <w:rPr>
          <w:rFonts w:ascii="Times New Roman" w:hAnsi="Times New Roman" w:cs="Times New Roman"/>
        </w:rPr>
      </w:pPr>
      <w:r>
        <w:rPr>
          <w:rFonts w:ascii="Times New Roman" w:hAnsi="Times New Roman" w:cs="Times New Roman"/>
        </w:rPr>
        <w:t>Syaddah merupakan transliterasi yang sama seperti tasydīd (</w:t>
      </w:r>
      <w:r>
        <w:rPr>
          <w:rFonts w:ascii="Times New Roman" w:hAnsi="Times New Roman" w:cs="Times New Roman"/>
          <w:rtl/>
        </w:rPr>
        <w:t>ّ</w:t>
      </w:r>
      <w:r>
        <w:rPr>
          <w:rFonts w:ascii="Times New Roman" w:hAnsi="Times New Roman" w:cs="Times New Roman"/>
        </w:rPr>
        <w:t>) yang menandakan bahwa adanya pengulangan huruf (konsonan ganda). Apabila ada huruf (</w:t>
      </w:r>
      <w:r>
        <w:rPr>
          <w:rFonts w:ascii="Times New Roman" w:hAnsi="Times New Roman" w:cs="Times New Roman"/>
          <w:rtl/>
        </w:rPr>
        <w:t>ي</w:t>
      </w:r>
      <w:r>
        <w:rPr>
          <w:rFonts w:ascii="Times New Roman" w:hAnsi="Times New Roman" w:cs="Times New Roman"/>
        </w:rPr>
        <w:t>) ber- tasydīd pada akhir sebuah kata dan didahului harakat Kasrah (</w:t>
      </w:r>
      <w:r>
        <w:rPr>
          <w:rFonts w:ascii="Times New Roman" w:hAnsi="Times New Roman" w:cs="Times New Roman"/>
          <w:rtl/>
        </w:rPr>
        <w:t>ِ</w:t>
      </w:r>
      <w:r>
        <w:rPr>
          <w:rFonts w:ascii="Times New Roman" w:hAnsi="Times New Roman" w:cs="Times New Roman"/>
        </w:rPr>
        <w:t>) maka disebut dengan maddah (ī).</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rPr>
        <w:t>Kata Sandang</w:t>
      </w:r>
    </w:p>
    <w:p>
      <w:pPr>
        <w:pStyle w:val="4"/>
        <w:spacing w:line="360" w:lineRule="auto"/>
        <w:ind w:left="565" w:leftChars="257" w:firstLine="714"/>
        <w:jc w:val="both"/>
        <w:rPr>
          <w:rFonts w:ascii="Times New Roman" w:hAnsi="Times New Roman" w:cs="Times New Roman"/>
          <w:b/>
          <w:bCs/>
        </w:rPr>
      </w:pPr>
      <w:r>
        <w:rPr>
          <w:rFonts w:ascii="Times New Roman" w:hAnsi="Times New Roman" w:cs="Times New Roman"/>
        </w:rPr>
        <w:t>Kata Sandang  merupakan dua huruf di dalam bahasa Arab yaitu (</w:t>
      </w:r>
      <w:r>
        <w:rPr>
          <w:rFonts w:ascii="Times New Roman" w:hAnsi="Times New Roman" w:cs="Times New Roman"/>
          <w:rtl/>
          <w:lang w:bidi="ar-DZ"/>
        </w:rPr>
        <w:t>ال</w:t>
      </w:r>
      <w:r>
        <w:rPr>
          <w:rFonts w:ascii="Times New Roman" w:hAnsi="Times New Roman" w:cs="Times New Roman"/>
          <w:lang w:bidi="ar-DZ"/>
        </w:rPr>
        <w:t xml:space="preserve">) yang </w:t>
      </w:r>
      <w:r>
        <w:rPr>
          <w:rFonts w:ascii="Times New Roman" w:hAnsi="Times New Roman" w:cs="Times New Roman"/>
        </w:rPr>
        <w:t>dalam transliterasi ke dalam bahasa Indosenia yaitu d menggunakan [al-]. Ada dua jenis kata sandang dengan merujuk pada dua jenis huruf yaitu, Syamsyiah atau huruf Qomariyah. Kata sandang ditandai dengan garis tengah mendatar (-)</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rPr>
        <w:t>Hamzah</w:t>
      </w:r>
    </w:p>
    <w:p>
      <w:pPr>
        <w:pStyle w:val="4"/>
        <w:spacing w:line="360" w:lineRule="auto"/>
        <w:ind w:left="565" w:leftChars="257" w:firstLine="714"/>
        <w:jc w:val="both"/>
        <w:rPr>
          <w:rFonts w:ascii="Times New Roman" w:hAnsi="Times New Roman" w:cs="Times New Roman"/>
          <w:b/>
          <w:bCs/>
        </w:rPr>
      </w:pPr>
      <w:r>
        <w:rPr>
          <w:rFonts w:ascii="Times New Roman" w:hAnsi="Times New Roman" w:cs="Times New Roman"/>
        </w:rPr>
        <w:t>Aturan penggunaan apostrof (’) untuk transliterasi huruf hamzah hanya berlaku jika hamzah berada di tengah atau akhir kata. Namun, jika hamzah muncul di awal kata, tidak digunakan apostrof karena dalam tulisan Arab, hamzah di awal kata ditulis sebagai alif.</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rPr>
        <w:t>Penulisan Kata Arab yang Lazim digunakan dalam Bahasa Indonesia</w:t>
      </w:r>
    </w:p>
    <w:p>
      <w:pPr>
        <w:pStyle w:val="4"/>
        <w:spacing w:line="360" w:lineRule="auto"/>
        <w:ind w:left="565" w:leftChars="257" w:firstLine="714"/>
        <w:jc w:val="both"/>
        <w:rPr>
          <w:rFonts w:ascii="Times New Roman" w:hAnsi="Times New Roman" w:cs="Times New Roman"/>
        </w:rPr>
      </w:pPr>
      <w:r>
        <w:rPr>
          <w:rFonts w:ascii="Times New Roman" w:hAnsi="Times New Roman" w:cs="Times New Roman"/>
        </w:rPr>
        <w:t xml:space="preserve">Kata, istilah, atau kalimat Arab yang ditransliterasi merupakan kata, istilah, atau kalimat yang belum secara resmi diadopsi dalam bahasa Indonesia. Jika kata, istilah, atau kalimat tersebut sudah lazim digunakan dan menjadi bagian dari kosakata bahasa Indonesia, maka aturan transliterasi ini tidak lagi berlaku. </w:t>
      </w:r>
      <w:r>
        <w:rPr>
          <w:rFonts w:ascii="Times New Roman" w:hAnsi="Times New Roman" w:cs="Times New Roman"/>
          <w:lang w:val="en-US"/>
        </w:rPr>
        <w:t>Namun</w:t>
      </w:r>
      <w:r>
        <w:rPr>
          <w:rFonts w:ascii="Times New Roman" w:hAnsi="Times New Roman" w:cs="Times New Roman"/>
        </w:rPr>
        <w:t xml:space="preserve">, jika kata, istilah, atau kalimat tersebut </w:t>
      </w:r>
      <w:r>
        <w:rPr>
          <w:rFonts w:ascii="Times New Roman" w:hAnsi="Times New Roman" w:cs="Times New Roman"/>
          <w:lang w:val="en-US"/>
        </w:rPr>
        <w:t>muncul</w:t>
      </w:r>
      <w:r>
        <w:rPr>
          <w:rFonts w:ascii="Times New Roman" w:hAnsi="Times New Roman" w:cs="Times New Roman"/>
        </w:rPr>
        <w:t xml:space="preserve"> dalam satu rangkaian teks Arab, maka harus ditransliterasi secara penuh.</w:t>
      </w:r>
    </w:p>
    <w:p>
      <w:pPr>
        <w:pStyle w:val="4"/>
        <w:numPr>
          <w:ilvl w:val="0"/>
          <w:numId w:val="6"/>
        </w:numPr>
        <w:spacing w:line="360" w:lineRule="auto"/>
        <w:ind w:left="567" w:hanging="298"/>
        <w:jc w:val="both"/>
        <w:rPr>
          <w:rFonts w:ascii="Times New Roman" w:hAnsi="Times New Roman" w:cs="Times New Roman"/>
          <w:b/>
          <w:bCs/>
        </w:rPr>
      </w:pPr>
      <w:r>
        <w:rPr>
          <w:rFonts w:ascii="Times New Roman" w:hAnsi="Times New Roman" w:cs="Times New Roman"/>
          <w:b/>
          <w:bCs/>
        </w:rPr>
        <w:t>Huruf Kapital</w:t>
      </w:r>
    </w:p>
    <w:p>
      <w:pPr>
        <w:pStyle w:val="4"/>
        <w:spacing w:line="360" w:lineRule="auto"/>
        <w:ind w:left="567" w:firstLine="714"/>
        <w:jc w:val="both"/>
        <w:rPr>
          <w:rFonts w:ascii="Times New Roman" w:hAnsi="Times New Roman" w:cs="Times New Roman"/>
        </w:rPr>
      </w:pPr>
      <w:r>
        <w:rPr>
          <w:rFonts w:ascii="Times New Roman" w:hAnsi="Times New Roman" w:cs="Times New Roman"/>
        </w:rPr>
        <w:t xml:space="preserve">Walaupun sistem penulisan Arab tidak memiliki huruf kapital, dalam transliterasi, huruf-huruf tersebut mengikuti aturan penggunaan huruf kapital sesuai pedoman ejaan bahasa Indonesia (EYD). Huruf kapital digunakan pada huruf pertama nama dan huruf pertama di awal kalimat. Jika nama diawali dengan kata </w:t>
      </w:r>
      <w:r>
        <w:rPr>
          <w:rFonts w:ascii="Times New Roman" w:hAnsi="Times New Roman" w:cs="Times New Roman"/>
          <w:b/>
          <w:bCs/>
        </w:rPr>
        <w:t>sandang</w:t>
      </w:r>
      <w:r>
        <w:rPr>
          <w:rFonts w:ascii="Times New Roman" w:hAnsi="Times New Roman" w:cs="Times New Roman"/>
        </w:rPr>
        <w:t xml:space="preserve"> (al-), maka huruf pertama nama tersebut ditulis dengan kapital, sedangkan kata sandang (Al-) ditulis kapital jika berada di awal kalimat.</w:t>
      </w:r>
    </w:p>
    <w:p>
      <w:pPr>
        <w:pStyle w:val="4"/>
        <w:numPr>
          <w:ilvl w:val="0"/>
          <w:numId w:val="6"/>
        </w:numPr>
        <w:spacing w:after="0" w:line="360" w:lineRule="auto"/>
        <w:ind w:left="567" w:hanging="298"/>
        <w:jc w:val="both"/>
        <w:rPr>
          <w:rFonts w:ascii="Times New Roman" w:hAnsi="Times New Roman" w:cs="Times New Roman"/>
          <w:b/>
          <w:bCs/>
        </w:rPr>
      </w:pPr>
      <w:r>
        <w:rPr>
          <w:rFonts w:ascii="Times New Roman" w:hAnsi="Times New Roman" w:cs="Times New Roman"/>
          <w:b/>
          <w:bCs/>
        </w:rPr>
        <w:t>Lafẓ al-Jalālah</w:t>
      </w:r>
    </w:p>
    <w:p>
      <w:pPr>
        <w:spacing w:after="0" w:line="360" w:lineRule="auto"/>
        <w:ind w:left="660" w:leftChars="300" w:firstLine="440" w:firstLineChars="200"/>
        <w:jc w:val="both"/>
        <w:rPr>
          <w:rFonts w:ascii="Times New Roman" w:hAnsi="Times New Roman" w:cs="Times New Roman"/>
        </w:rPr>
      </w:pPr>
      <w:r>
        <w:rPr>
          <w:rFonts w:ascii="Times New Roman" w:hAnsi="Times New Roman" w:cs="Times New Roman"/>
        </w:rPr>
        <w:t>Kata "Allah" yang diawali oleh partikel seperti huruf jarr atau huruf lainnya, atau ketika berfungsi sebagai Mu’ḍāf ilaih (dalam frasa nominal), ditransliterasi tanpa menggunakan huruf hamzah. Selain itu, ketika ta marbūṭah muncul di akhir kata yang diikuti oleh lafẓ al-jalālah, huruf tersebut ditransliterasi dengan menggunakan huruf [t]. Hal ini mengikuti aturan transliterasi yang bertujuan untuk mempertahankan keakuratan dan konsistensi dalam penulisan kata-kata Arab ke dalam aksara Latin. Misalnya, jika ada frasa yang mengandung ta marbūṭah di akhir kata sebelum lafẓ al-jalālah, penulisan ta marbūṭah tersebut tetap mengikuti konvensi dengan menggantinya menjadi [t], menjaga kesesuaian dengan sistem transliterasi yang telah ditetapkan.</w:t>
      </w:r>
    </w:p>
    <w:p>
      <w:pPr>
        <w:spacing w:after="0" w:line="360" w:lineRule="auto"/>
        <w:ind w:left="660" w:leftChars="300" w:firstLine="440" w:firstLineChars="200"/>
        <w:jc w:val="both"/>
        <w:rPr>
          <w:rFonts w:ascii="Times New Roman" w:hAnsi="Times New Roman" w:cs="Times New Roman"/>
        </w:rPr>
      </w:pPr>
    </w:p>
    <w:p>
      <w:pPr>
        <w:spacing w:after="0" w:line="360" w:lineRule="auto"/>
        <w:jc w:val="both"/>
        <w:rPr>
          <w:rFonts w:ascii="Times New Roman" w:hAnsi="Times New Roman" w:cs="Times New Roman"/>
        </w:rPr>
      </w:pPr>
    </w:p>
    <w:p>
      <w:pPr>
        <w:spacing w:after="0" w:line="360" w:lineRule="auto"/>
        <w:jc w:val="both"/>
        <w:rPr>
          <w:rFonts w:ascii="Times New Roman" w:hAnsi="Times New Roman" w:cs="Times New Roman"/>
        </w:rPr>
      </w:pPr>
    </w:p>
    <w:p>
      <w:pPr>
        <w:spacing w:after="0" w:line="360" w:lineRule="auto"/>
        <w:jc w:val="both"/>
        <w:rPr>
          <w:rFonts w:ascii="Times New Roman" w:hAnsi="Times New Roman" w:cs="Times New Roman"/>
        </w:rPr>
      </w:pPr>
    </w:p>
    <w:p>
      <w:pPr>
        <w:spacing w:after="0" w:line="360" w:lineRule="auto"/>
        <w:jc w:val="both"/>
        <w:rPr>
          <w:rFonts w:ascii="Times New Roman" w:hAnsi="Times New Roman" w:cs="Times New Roman"/>
        </w:rPr>
      </w:pPr>
    </w:p>
    <w:p>
      <w:pPr>
        <w:spacing w:after="0" w:line="360" w:lineRule="auto"/>
        <w:jc w:val="both"/>
        <w:rPr>
          <w:rFonts w:ascii="Times New Roman" w:hAnsi="Times New Roman" w:cs="Times New Roman"/>
        </w:rPr>
      </w:pPr>
    </w:p>
    <w:p>
      <w:pPr>
        <w:pStyle w:val="2"/>
        <w:rPr>
          <w:sz w:val="24"/>
          <w:szCs w:val="24"/>
        </w:rPr>
      </w:pPr>
      <w:bookmarkStart w:id="6" w:name="_Toc199801646"/>
      <w:r>
        <w:rPr>
          <w:sz w:val="24"/>
          <w:szCs w:val="24"/>
        </w:rPr>
        <w:t>ABSTRAK</w:t>
      </w:r>
      <w:bookmarkEnd w:id="6"/>
    </w:p>
    <w:p>
      <w:pPr>
        <w:spacing w:after="0" w:line="240" w:lineRule="auto"/>
        <w:ind w:firstLine="440" w:firstLineChars="200"/>
        <w:jc w:val="both"/>
        <w:rPr>
          <w:rFonts w:ascii="Times New Roman" w:hAnsi="Times New Roman" w:cs="Times New Roman"/>
          <w:lang w:val="en-US"/>
        </w:rPr>
      </w:pPr>
      <w:r>
        <w:rPr>
          <w:rFonts w:ascii="Times New Roman" w:hAnsi="Times New Roman" w:cs="Times New Roman"/>
          <w:lang w:val="en-US"/>
        </w:rPr>
        <w:t xml:space="preserve">Istilah narkotika dan grasi belum ada pada zaman Nabi. Jumhur Ulama’ sepakat hukuman narkotika diqiyaskan dengan minuman khamar, yaitu sanksi </w:t>
      </w:r>
      <w:r>
        <w:rPr>
          <w:rFonts w:ascii="Times New Roman" w:hAnsi="Times New Roman" w:cs="Times New Roman"/>
          <w:i/>
          <w:iCs/>
          <w:lang w:val="en-US"/>
        </w:rPr>
        <w:t>hudud</w:t>
      </w:r>
      <w:r>
        <w:rPr>
          <w:rFonts w:ascii="Times New Roman" w:hAnsi="Times New Roman" w:cs="Times New Roman"/>
          <w:lang w:val="en-US"/>
        </w:rPr>
        <w:t xml:space="preserve"> bagi pengonsumsi dan </w:t>
      </w:r>
      <w:r>
        <w:rPr>
          <w:rFonts w:ascii="Times New Roman" w:hAnsi="Times New Roman" w:cs="Times New Roman"/>
          <w:i/>
          <w:iCs/>
          <w:lang w:val="en-US"/>
        </w:rPr>
        <w:t xml:space="preserve">ta’zir </w:t>
      </w:r>
      <w:r>
        <w:rPr>
          <w:rFonts w:ascii="Times New Roman" w:hAnsi="Times New Roman" w:cs="Times New Roman"/>
          <w:lang w:val="en-US"/>
        </w:rPr>
        <w:t>bagi pembuat atau pengedar narkotika</w:t>
      </w:r>
      <w:r>
        <w:rPr>
          <w:rFonts w:ascii="Times New Roman" w:hAnsi="Times New Roman" w:cs="Times New Roman"/>
          <w:i/>
          <w:iCs/>
          <w:lang w:val="en-US"/>
        </w:rPr>
        <w:t xml:space="preserve">. </w:t>
      </w:r>
      <w:r>
        <w:rPr>
          <w:rFonts w:ascii="Times New Roman" w:hAnsi="Times New Roman" w:cs="Times New Roman"/>
          <w:lang w:val="en-US"/>
        </w:rPr>
        <w:t>MU merupakan terpidana Narkotika hukuman mati pertama yang diberikan grasi oleh Presiden Jokowi. Penelitian ini berfokus pada pemberian grasi terhadap pidana mati hukum pidana Islam (Keppres Nomor 1/G/2023).</w:t>
      </w:r>
    </w:p>
    <w:p>
      <w:pPr>
        <w:spacing w:after="0" w:line="240" w:lineRule="auto"/>
        <w:ind w:firstLine="440" w:firstLineChars="200"/>
        <w:jc w:val="both"/>
        <w:rPr>
          <w:rFonts w:ascii="Times New Roman" w:hAnsi="Times New Roman" w:cs="Times New Roman"/>
          <w:lang w:val="en-US"/>
        </w:rPr>
      </w:pPr>
      <w:r>
        <w:rPr>
          <w:rFonts w:ascii="Times New Roman" w:hAnsi="Times New Roman" w:cs="Times New Roman"/>
          <w:lang w:val="en-US"/>
        </w:rPr>
        <w:t>Metode penelitian yang digunakan adalah metode kualitatif-normatif dengan pendekatan deskriptif-analitis, dengan menganalisis dan mengumpulkan data melalui studi kepustakaan. Sumber data yang digunakan adalah sekunder dengan bahan hukum yang digunakan, yaitu bahan hukum Primer, sekunder dan tersier.</w:t>
      </w:r>
    </w:p>
    <w:p>
      <w:pPr>
        <w:spacing w:after="0" w:line="240" w:lineRule="auto"/>
        <w:ind w:firstLine="440" w:firstLineChars="200"/>
        <w:jc w:val="both"/>
        <w:rPr>
          <w:rFonts w:ascii="Times New Roman" w:hAnsi="Times New Roman" w:cs="Times New Roman"/>
          <w:lang w:val="en-US"/>
        </w:rPr>
      </w:pPr>
      <w:r>
        <w:rPr>
          <w:rFonts w:ascii="Times New Roman" w:hAnsi="Times New Roman" w:cs="Times New Roman"/>
          <w:lang w:val="en-US"/>
        </w:rPr>
        <w:t>Hasil penelitian ini menunjukan bahwa dalam hukum Islam sangat dianjurkan memberi pengampunan. Dalam Al Qur’an tidak ada penjelasan Ayat yang menyinggung meminta maaf, justru menganjurkan untuk memberi maaf. Sanksi MU termasuk pada jarimah Ta</w:t>
      </w:r>
      <w:r>
        <w:rPr>
          <w:rFonts w:hint="default" w:ascii="Times New Roman" w:hAnsi="Times New Roman" w:cs="Times New Roman"/>
          <w:lang w:val="en-US"/>
        </w:rPr>
        <w:t xml:space="preserve">’zir, karena MU terbukti sebagai pengedar narkotika. </w:t>
      </w:r>
      <w:r>
        <w:rPr>
          <w:rFonts w:ascii="Times New Roman" w:hAnsi="Times New Roman" w:cs="Times New Roman"/>
          <w:lang w:val="en-US"/>
        </w:rPr>
        <w:t xml:space="preserve">Dalam Keppres Nomor 1/G/2023 MU, yang mengubah hukuman mati menjadi penjara seumur hidup. Dalam keputusan tersebut terdapat kurangnya kepastian hukum, pada Pasal 11 Ayat 3 UU Nomor 5 Tahun 2010, yang seharusnya Keppres turun 3 bulan setelah pengajuan kepada Presiden, akan tetapi putusan itu turun setelah 7 Tahun. Selanjutnya pada Pasal 12 Ayat 4 KUHP, pidana penjara selama waktu tertentu sekali-kali tidak boleh melebihi 20 Tahun, akan tetapi MU menjalani kurungan penjara sampai 22 Tahun. Menurut peneliti Kurangnya kepastian hukum terjadi karena tidak adanya pedoman pelaksanaan teknis secara rinci, tidak adanya sanksi terhadap pelanggaran tanggat waktu pemberian grasi dan kurangnya transparasi dan pengawasan. </w:t>
      </w:r>
    </w:p>
    <w:p>
      <w:pPr>
        <w:spacing w:after="0" w:line="240" w:lineRule="auto"/>
        <w:ind w:firstLine="440" w:firstLineChars="200"/>
        <w:jc w:val="both"/>
        <w:rPr>
          <w:rFonts w:ascii="Times New Roman" w:hAnsi="Times New Roman" w:cs="Times New Roman"/>
          <w:i/>
          <w:iCs/>
          <w:lang w:val="en-US"/>
        </w:rPr>
      </w:pPr>
      <w:r>
        <w:rPr>
          <w:rFonts w:ascii="Times New Roman" w:hAnsi="Times New Roman" w:cs="Times New Roman"/>
          <w:lang w:val="en-US"/>
        </w:rPr>
        <w:t xml:space="preserve">Kata kunci: </w:t>
      </w:r>
      <w:r>
        <w:rPr>
          <w:rFonts w:ascii="Times New Roman" w:hAnsi="Times New Roman" w:cs="Times New Roman"/>
          <w:i/>
          <w:iCs/>
          <w:lang w:val="en-US"/>
        </w:rPr>
        <w:t>Jarimah Narkotika, Hukum Pidana Islam, Hukuman mati Kasus Narkotika, Grasi MU.</w:t>
      </w:r>
      <w:bookmarkStart w:id="7" w:name="_Toc199801647"/>
    </w:p>
    <w:p>
      <w:pPr>
        <w:spacing w:after="0" w:line="240"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ABSTRACT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outlineLvl w:val="9"/>
        <w:rPr>
          <w:rFonts w:hint="default" w:ascii="Times New Roman" w:hAnsi="Times New Roman" w:cs="Times New Roman"/>
          <w:i/>
          <w:iCs/>
          <w:color w:val="auto"/>
          <w:lang w:val="en-US"/>
        </w:rPr>
      </w:pPr>
      <w:r>
        <w:rPr>
          <w:rFonts w:hint="default" w:ascii="Times New Roman" w:hAnsi="Times New Roman" w:cs="Times New Roman"/>
          <w:i/>
          <w:iCs/>
          <w:color w:val="auto"/>
          <w:lang w:val="en-US"/>
        </w:rPr>
        <w:t>The terms "narcotics" and "pardon" did not exist during the time of the Prophet. The majority of scholars agree that punishment for narcotics is comparable to that of alcoholic beverages, with hudud sanctions for those who consume them and ta'zir sanctions for those who produce or distribute them. MU is the first death row drug convict to be granted clemency by President Jokowi. This research focuses on the granting of clemency for death penalty cases under Islamic criminal law (Presidential Decree No. 1/G/2023).</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outlineLvl w:val="9"/>
        <w:rPr>
          <w:rFonts w:hint="default" w:ascii="Times New Roman" w:hAnsi="Times New Roman" w:cs="Times New Roman"/>
          <w:i/>
          <w:iCs/>
          <w:color w:val="auto"/>
          <w:lang w:val="en-US"/>
        </w:rPr>
      </w:pPr>
      <w:r>
        <w:rPr>
          <w:rFonts w:hint="default" w:ascii="Times New Roman" w:hAnsi="Times New Roman" w:cs="Times New Roman"/>
          <w:i/>
          <w:iCs/>
          <w:color w:val="auto"/>
          <w:lang w:val="en-US"/>
        </w:rPr>
        <w:t>The research method used is a qualitative-normative method with a descriptive-analytical approach, analyzing and collecting data through literature review. The data sources used are secondary, with primary, secondary, and tertiary legal materials.</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outlineLvl w:val="9"/>
        <w:rPr>
          <w:rStyle w:val="33"/>
          <w:i w:val="0"/>
          <w:caps w:val="0"/>
          <w:color w:val="1F1F1F"/>
          <w:spacing w:val="0"/>
          <w:sz w:val="42"/>
          <w:szCs w:val="42"/>
          <w:shd w:val="clear" w:fill="F8F9FA"/>
          <w:lang w:val="en-US"/>
        </w:rPr>
      </w:pPr>
      <w:r>
        <w:rPr>
          <w:rFonts w:hint="default" w:ascii="Times New Roman" w:hAnsi="Times New Roman" w:cs="Times New Roman"/>
          <w:i/>
          <w:iCs/>
          <w:color w:val="auto"/>
          <w:lang w:val="en-US"/>
        </w:rPr>
        <w:t>The results of this study indicate that in Islamic law it is highly recommended to grant forgiveness. In the Qur'an there is no explanation of the verse that mentions asking for forgiveness, instead it encourages giving forgiveness. MU's sanctions are included in the Ta'zir crime, because MU is proven to be a narcotics dealer. In Presidential Decree Number 1 / G / 2023 MU, which changes the death penalty to life imprisonment. In this decision there is a lack of legal certainty, in Article 11 Paragraph 3 of Law Number 5 of 2010, which should have been issued 3 months after the Presidential Decree was submitted to the President, but the decision was issued after 7 years. Furthermore, in Article 12 Paragraph 4 of the Criminal Code, imprisonment for a certain period may not exceed 20 years, but MU served up to 22 years in prison. According to researchers, the lack of legal certainty occurs due to the absence of detailed technical implementation guidelines, the absence of sanctions for violations of the deadline for granting clemency and a lack of transparency and supervision.</w:t>
      </w:r>
    </w:p>
    <w:p>
      <w:pPr>
        <w:spacing w:after="0" w:line="240" w:lineRule="auto"/>
        <w:ind w:firstLine="567"/>
        <w:jc w:val="both"/>
        <w:rPr>
          <w:rFonts w:asciiTheme="majorBidi" w:hAnsiTheme="majorBidi" w:cstheme="majorBidi"/>
          <w:i/>
          <w:iCs/>
          <w:lang w:val="en"/>
        </w:rPr>
      </w:pPr>
    </w:p>
    <w:p>
      <w:pPr>
        <w:spacing w:after="0" w:line="240" w:lineRule="auto"/>
        <w:ind w:firstLine="567"/>
        <w:jc w:val="both"/>
        <w:rPr>
          <w:rFonts w:asciiTheme="majorBidi" w:hAnsiTheme="majorBidi" w:cstheme="majorBidi"/>
          <w:i/>
          <w:iCs/>
          <w:lang w:val="en"/>
        </w:rPr>
      </w:pPr>
      <w:r>
        <w:rPr>
          <w:rFonts w:asciiTheme="majorBidi" w:hAnsiTheme="majorBidi" w:cstheme="majorBidi"/>
          <w:i/>
          <w:iCs/>
          <w:lang w:val="en"/>
        </w:rPr>
        <w:t>Keywords: Narcotics Crime, Islamic Criminal Law, Death Penalty in Narcotics Cases, MU Clemency.</w:t>
      </w:r>
    </w:p>
    <w:p>
      <w:pPr>
        <w:spacing w:after="0" w:line="240" w:lineRule="auto"/>
        <w:ind w:firstLine="567"/>
        <w:jc w:val="both"/>
        <w:rPr>
          <w:rFonts w:hint="eastAsia" w:asciiTheme="majorBidi" w:hAnsiTheme="majorBidi" w:cstheme="majorBidi"/>
          <w:i/>
          <w:iCs/>
          <w:lang w:val="en"/>
        </w:rPr>
      </w:pPr>
    </w:p>
    <w:p>
      <w:pPr>
        <w:pStyle w:val="2"/>
      </w:pPr>
      <w:r>
        <w:t>KATA PENGANTAR</w:t>
      </w:r>
      <w:bookmarkEnd w:id="7"/>
    </w:p>
    <w:p>
      <w:pPr>
        <w:spacing w:after="0" w:line="312" w:lineRule="auto"/>
        <w:ind w:firstLine="440" w:firstLineChars="200"/>
        <w:jc w:val="both"/>
        <w:rPr>
          <w:rFonts w:asciiTheme="majorBidi" w:hAnsiTheme="majorBidi"/>
          <w:lang w:val="en-US"/>
        </w:rPr>
      </w:pPr>
      <w:r>
        <w:rPr>
          <w:rFonts w:asciiTheme="majorBidi" w:hAnsiTheme="majorBidi"/>
        </w:rPr>
        <w:t xml:space="preserve">Puji syukur kehadirat </w:t>
      </w:r>
      <w:r>
        <w:rPr>
          <w:rFonts w:asciiTheme="majorBidi" w:hAnsiTheme="majorBidi"/>
          <w:lang w:val="en-US"/>
        </w:rPr>
        <w:t>Allah</w:t>
      </w:r>
      <w:r>
        <w:rPr>
          <w:rFonts w:asciiTheme="majorBidi" w:hAnsiTheme="majorBidi"/>
        </w:rPr>
        <w:t xml:space="preserve"> S</w:t>
      </w:r>
      <w:r>
        <w:rPr>
          <w:rFonts w:asciiTheme="majorBidi" w:hAnsiTheme="majorBidi"/>
          <w:lang w:val="en-US"/>
        </w:rPr>
        <w:t>WT</w:t>
      </w:r>
      <w:r>
        <w:rPr>
          <w:rFonts w:asciiTheme="majorBidi" w:hAnsiTheme="majorBidi"/>
        </w:rPr>
        <w:t xml:space="preserve">. Atas nikmat yang diberikan, sehingga penulis dapat menyelesaikan skripsi yang berjudul </w:t>
      </w:r>
      <w:r>
        <w:rPr>
          <w:rFonts w:asciiTheme="majorBidi" w:hAnsiTheme="majorBidi"/>
          <w:b/>
          <w:bCs/>
        </w:rPr>
        <w:t>"</w:t>
      </w:r>
      <w:r>
        <w:rPr>
          <w:rFonts w:ascii="Times New Roman" w:hAnsi="Times New Roman" w:cs="Times New Roman"/>
          <w:b/>
          <w:bCs/>
        </w:rPr>
        <w:t>TINJAUAN GRASI TERHADAP HUKUMAN MATI KASUS NARKOTIKA (</w:t>
      </w:r>
      <w:r>
        <w:rPr>
          <w:rFonts w:ascii="Times New Roman" w:hAnsi="Times New Roman" w:cs="Times New Roman"/>
          <w:b/>
          <w:bCs/>
          <w:lang w:val="en-US"/>
        </w:rPr>
        <w:t>KEPPRES</w:t>
      </w:r>
      <w:r>
        <w:rPr>
          <w:rFonts w:ascii="Times New Roman" w:hAnsi="Times New Roman" w:cs="Times New Roman"/>
          <w:b/>
          <w:bCs/>
        </w:rPr>
        <w:t xml:space="preserve"> NOMOR 1/G/2023) PERSPEKTIF HUKUM PIDANA ISLAM</w:t>
      </w:r>
      <w:r>
        <w:rPr>
          <w:rFonts w:asciiTheme="majorBidi" w:hAnsiTheme="majorBidi"/>
          <w:b/>
          <w:bCs/>
        </w:rPr>
        <w:t>."</w:t>
      </w:r>
      <w:r>
        <w:rPr>
          <w:rFonts w:asciiTheme="majorBidi" w:hAnsiTheme="majorBidi"/>
        </w:rPr>
        <w:t xml:space="preserve"> </w:t>
      </w:r>
      <w:r>
        <w:rPr>
          <w:rFonts w:asciiTheme="majorBidi" w:hAnsiTheme="majorBidi"/>
          <w:lang w:val="pt-BR"/>
        </w:rPr>
        <w:t xml:space="preserve">Shalawat serta salam senantiasa tercurah kepada </w:t>
      </w:r>
      <w:r>
        <w:rPr>
          <w:rFonts w:asciiTheme="majorBidi" w:hAnsiTheme="majorBidi"/>
          <w:lang w:val="en-US"/>
        </w:rPr>
        <w:t>Nabi</w:t>
      </w:r>
      <w:r>
        <w:rPr>
          <w:rFonts w:asciiTheme="majorBidi" w:hAnsiTheme="majorBidi"/>
          <w:lang w:val="pt-BR"/>
        </w:rPr>
        <w:t xml:space="preserve"> </w:t>
      </w:r>
      <w:r>
        <w:rPr>
          <w:rFonts w:asciiTheme="majorBidi" w:hAnsiTheme="majorBidi"/>
          <w:lang w:val="en-US"/>
        </w:rPr>
        <w:t>Muhammad</w:t>
      </w:r>
      <w:r>
        <w:rPr>
          <w:rFonts w:asciiTheme="majorBidi" w:hAnsiTheme="majorBidi"/>
          <w:lang w:val="pt-BR"/>
        </w:rPr>
        <w:t xml:space="preserve"> S</w:t>
      </w:r>
      <w:r>
        <w:rPr>
          <w:rFonts w:asciiTheme="majorBidi" w:hAnsiTheme="majorBidi"/>
          <w:lang w:val="en-US"/>
        </w:rPr>
        <w:t>AW</w:t>
      </w:r>
      <w:r>
        <w:rPr>
          <w:rFonts w:asciiTheme="majorBidi" w:hAnsiTheme="majorBidi"/>
          <w:lang w:val="pt-BR"/>
        </w:rPr>
        <w:t xml:space="preserve">. yang </w:t>
      </w:r>
      <w:r>
        <w:rPr>
          <w:rFonts w:asciiTheme="majorBidi" w:hAnsiTheme="majorBidi"/>
          <w:lang w:val="en-US"/>
        </w:rPr>
        <w:t xml:space="preserve">telah membawa agama Islam dari zaman kegelapan hingga zaman sekarang ini, yang dapat menjadi tauladan atas segala aspek kehidupan, yang dinananti-nanti sayafaat beliau di akhir zaman nanti. </w:t>
      </w:r>
      <w:r>
        <w:rPr>
          <w:rFonts w:asciiTheme="majorBidi" w:hAnsiTheme="majorBidi"/>
          <w:i/>
          <w:iCs/>
          <w:lang w:val="en-US"/>
        </w:rPr>
        <w:t>Aamiin ya rabbal alamiin</w:t>
      </w:r>
      <w:r>
        <w:rPr>
          <w:rFonts w:asciiTheme="majorBidi" w:hAnsiTheme="majorBidi"/>
          <w:lang w:val="en-US"/>
        </w:rPr>
        <w:t>.</w:t>
      </w:r>
    </w:p>
    <w:p>
      <w:pPr>
        <w:spacing w:after="0" w:line="312" w:lineRule="auto"/>
        <w:ind w:firstLine="440" w:firstLineChars="200"/>
        <w:jc w:val="both"/>
        <w:rPr>
          <w:rFonts w:asciiTheme="majorBidi" w:hAnsiTheme="majorBidi"/>
          <w:lang w:val="en-US"/>
        </w:rPr>
      </w:pPr>
      <w:r>
        <w:rPr>
          <w:rFonts w:asciiTheme="majorBidi" w:hAnsiTheme="majorBidi"/>
          <w:lang w:val="en-US"/>
        </w:rPr>
        <w:t>Skripsi ini membahas Grasi yang diberikan kepada terpidana MU yang sebelumnya dijatuhi hukuman mati, setelah diberikan grasi oleh Presiden Jokowi berubah menjadi hukuman penjara seumur hidup. Penelitian ini lebih berfokus kepada narkotika dan grasi hukuman mati dalam Hukum Pidana Islam dan menganalisis Keppres Nomor 1/G/2023 apakah sudah sesui dengan peraturan UU yang berlaku. Penleitian ini bertujuan untuk lebih mengetahui bagaimana grasi pidana narkotika diberikan dalam Hukum Pidana Islam.</w:t>
      </w:r>
      <w:r>
        <w:rPr>
          <w:rFonts w:asciiTheme="majorBidi" w:hAnsiTheme="majorBidi"/>
        </w:rPr>
        <w:t xml:space="preserve"> Melalui penelitian ini, diharapkan dapat memberikan kontribusi akademik dalam memahami</w:t>
      </w:r>
      <w:r>
        <w:rPr>
          <w:rFonts w:asciiTheme="majorBidi" w:hAnsiTheme="majorBidi"/>
          <w:lang w:val="en-US"/>
        </w:rPr>
        <w:t xml:space="preserve"> pidana narkotika dan Grasi dalam hukum pidana Islam.</w:t>
      </w:r>
    </w:p>
    <w:p>
      <w:pPr>
        <w:spacing w:after="0" w:line="312" w:lineRule="auto"/>
        <w:ind w:firstLine="440" w:firstLineChars="200"/>
        <w:jc w:val="both"/>
        <w:rPr>
          <w:rFonts w:asciiTheme="majorBidi" w:hAnsiTheme="majorBidi"/>
        </w:rPr>
      </w:pPr>
      <w:r>
        <w:rPr>
          <w:rFonts w:asciiTheme="majorBidi" w:hAnsiTheme="majorBidi"/>
        </w:rPr>
        <w:t>Dalam penyusunan skripsi ini, penulis menerima banyak bantuan, dukungan, serta arahan dari berbagai pihak. Oleh karena itu, dengan penuh rasa hormat dan terima kasih, penulis menyampaikan apresiasi yang sebesar-besarnya kepada:</w:t>
      </w:r>
    </w:p>
    <w:p>
      <w:pPr>
        <w:numPr>
          <w:ilvl w:val="0"/>
          <w:numId w:val="7"/>
        </w:numPr>
        <w:spacing w:after="0" w:line="312" w:lineRule="auto"/>
        <w:ind w:left="440" w:hanging="440" w:hangingChars="200"/>
        <w:jc w:val="both"/>
        <w:rPr>
          <w:rFonts w:asciiTheme="majorBidi" w:hAnsiTheme="majorBidi"/>
          <w:lang w:val="pt-BR"/>
        </w:rPr>
      </w:pPr>
      <w:r>
        <w:rPr>
          <w:rFonts w:asciiTheme="majorBidi" w:hAnsiTheme="majorBidi"/>
        </w:rPr>
        <w:t>Rektor UIN Walisongo Semarang, Bapak Prof. Dr. Nizar Ali, M.Ag.</w:t>
      </w:r>
    </w:p>
    <w:p>
      <w:pPr>
        <w:numPr>
          <w:ilvl w:val="0"/>
          <w:numId w:val="7"/>
        </w:numPr>
        <w:spacing w:after="0" w:line="312" w:lineRule="auto"/>
        <w:jc w:val="both"/>
        <w:rPr>
          <w:rFonts w:asciiTheme="majorBidi" w:hAnsiTheme="majorBidi"/>
          <w:lang w:val="pt-BR"/>
        </w:rPr>
      </w:pPr>
      <w:r>
        <w:rPr>
          <w:rFonts w:asciiTheme="majorBidi" w:hAnsiTheme="majorBidi"/>
          <w:lang w:val="pt-BR"/>
        </w:rPr>
        <w:t>Bapak Prof. Dr. Abdul Ghofur, M.Ag., selaku Dekan Fakultas Syariah dan Hukum UIN Walisongo Semarang.</w:t>
      </w:r>
    </w:p>
    <w:p>
      <w:pPr>
        <w:numPr>
          <w:ilvl w:val="0"/>
          <w:numId w:val="7"/>
        </w:numPr>
        <w:spacing w:after="0" w:line="312" w:lineRule="auto"/>
        <w:jc w:val="both"/>
        <w:rPr>
          <w:rFonts w:asciiTheme="majorBidi" w:hAnsiTheme="majorBidi"/>
          <w:lang w:val="pt-BR"/>
        </w:rPr>
      </w:pPr>
      <w:r>
        <w:rPr>
          <w:rFonts w:asciiTheme="majorBidi" w:hAnsiTheme="majorBidi"/>
        </w:rPr>
        <w:t>Bapak D</w:t>
      </w:r>
      <w:r>
        <w:rPr>
          <w:rFonts w:asciiTheme="majorBidi" w:hAnsiTheme="majorBidi"/>
          <w:lang w:val="en-US"/>
        </w:rPr>
        <w:t>r</w:t>
      </w:r>
      <w:r>
        <w:rPr>
          <w:rFonts w:asciiTheme="majorBidi" w:hAnsiTheme="majorBidi"/>
        </w:rPr>
        <w:t>. M. Harun, S.Ag., M.H selaku ketua prodi Hukum Pidana Islam</w:t>
      </w:r>
    </w:p>
    <w:p>
      <w:pPr>
        <w:numPr>
          <w:ilvl w:val="0"/>
          <w:numId w:val="7"/>
        </w:numPr>
        <w:spacing w:after="0" w:line="312" w:lineRule="auto"/>
        <w:jc w:val="both"/>
        <w:rPr>
          <w:rFonts w:asciiTheme="majorBidi" w:hAnsiTheme="majorBidi"/>
          <w:lang w:val="pt-BR"/>
        </w:rPr>
      </w:pPr>
      <w:r>
        <w:rPr>
          <w:rFonts w:asciiTheme="majorBidi" w:hAnsiTheme="majorBidi"/>
          <w:lang w:val="pt-BR"/>
        </w:rPr>
        <w:t xml:space="preserve">Bapak </w:t>
      </w:r>
      <w:r>
        <w:rPr>
          <w:rFonts w:asciiTheme="majorBidi" w:hAnsiTheme="majorBidi"/>
          <w:lang w:val="en-US"/>
        </w:rPr>
        <w:t>Drs H Mohammad Solek</w:t>
      </w:r>
      <w:r>
        <w:rPr>
          <w:rFonts w:asciiTheme="majorBidi" w:hAnsiTheme="majorBidi"/>
        </w:rPr>
        <w:t xml:space="preserve">, M.Ag selaku dosen pembimbing I dan Ibu </w:t>
      </w:r>
      <w:r>
        <w:rPr>
          <w:rFonts w:asciiTheme="majorBidi" w:hAnsiTheme="majorBidi"/>
          <w:lang w:val="en-US"/>
        </w:rPr>
        <w:t>Riza Fibriani</w:t>
      </w:r>
      <w:r>
        <w:rPr>
          <w:rFonts w:asciiTheme="majorBidi" w:hAnsiTheme="majorBidi"/>
        </w:rPr>
        <w:t>, M.H selaku dosen pembimbing II yang telah memberikan bimbingan dan arahan selama proses penulisan skripsi.</w:t>
      </w:r>
    </w:p>
    <w:p>
      <w:pPr>
        <w:numPr>
          <w:ilvl w:val="0"/>
          <w:numId w:val="7"/>
        </w:numPr>
        <w:spacing w:after="0" w:line="312" w:lineRule="auto"/>
        <w:jc w:val="both"/>
        <w:rPr>
          <w:rFonts w:asciiTheme="majorBidi" w:hAnsiTheme="majorBidi"/>
          <w:lang w:val="pt-BR"/>
        </w:rPr>
      </w:pPr>
      <w:r>
        <w:rPr>
          <w:rFonts w:asciiTheme="majorBidi" w:hAnsiTheme="majorBidi"/>
          <w:lang w:val="pt-BR"/>
        </w:rPr>
        <w:t xml:space="preserve">Seluruh dosen Fakultas Syariah dan Hukum UIN Walisongo, yang telah memberikan </w:t>
      </w:r>
      <w:r>
        <w:rPr>
          <w:rFonts w:asciiTheme="majorBidi" w:hAnsiTheme="majorBidi"/>
          <w:lang w:val="en-US"/>
        </w:rPr>
        <w:t>ilmu da</w:t>
      </w:r>
      <w:r>
        <w:rPr>
          <w:rFonts w:asciiTheme="majorBidi" w:hAnsiTheme="majorBidi"/>
          <w:lang w:val="pt-BR"/>
        </w:rPr>
        <w:t>n wawasan selama masa perkuliahan.</w:t>
      </w:r>
    </w:p>
    <w:p>
      <w:pPr>
        <w:numPr>
          <w:ilvl w:val="0"/>
          <w:numId w:val="7"/>
        </w:numPr>
        <w:spacing w:after="0" w:line="312" w:lineRule="auto"/>
        <w:jc w:val="both"/>
        <w:rPr>
          <w:rFonts w:asciiTheme="majorBidi" w:hAnsiTheme="majorBidi"/>
          <w:lang w:val="pt-BR"/>
        </w:rPr>
      </w:pPr>
      <w:r>
        <w:rPr>
          <w:rFonts w:asciiTheme="majorBidi" w:hAnsiTheme="majorBidi"/>
          <w:lang w:val="en-US"/>
        </w:rPr>
        <w:t xml:space="preserve">Kepada kedua orang tua tercinta, Bapak Tikno Prayito dan Ibu Khumaeroh. Kedua sosok yang paling saya sayangi. Terima kasih sebanyak-banyaknya tak terhingga atas segala jerih payah, pengorbanan serta dukungan moril dan materil yang tiada habisnya untuk saya. Pencapaian saya merupakan bentuk terima kasih saya kepada beliau, yang tidak bisa diukur bahkan seujung kuku pun tidak ada, atas apa yang telah diberikan kepada saya. semua upaya dan harapan kedua orang tua terhadap saya menjadi kekuatan yang begitu besar untuk menjadi peribadi yang lebih lebih baik lagi sampai bisa membahagian dan menjujung derajat orang tua. Semoga segala hal yang telah dilakukan dan diberikan kepada saya menjadi ladang pahala dan kemudahan dalam menjalani hidup sampai akhirat nanti. </w:t>
      </w:r>
    </w:p>
    <w:p>
      <w:pPr>
        <w:numPr>
          <w:ilvl w:val="0"/>
          <w:numId w:val="7"/>
        </w:numPr>
        <w:spacing w:after="0" w:line="312" w:lineRule="auto"/>
        <w:jc w:val="both"/>
        <w:rPr>
          <w:rFonts w:eastAsia="Times New Roman" w:asciiTheme="majorBidi" w:hAnsiTheme="majorBidi" w:cstheme="majorBidi"/>
          <w:kern w:val="0"/>
          <w:lang w:eastAsia="zh-CN"/>
          <w14:ligatures w14:val="none"/>
        </w:rPr>
      </w:pPr>
      <w:r>
        <w:rPr>
          <w:rFonts w:eastAsia="Times New Roman" w:asciiTheme="majorBidi" w:hAnsiTheme="majorBidi" w:cstheme="majorBidi"/>
          <w:kern w:val="0"/>
          <w:lang w:val="en-US" w:eastAsia="zh-CN"/>
          <w14:ligatures w14:val="none"/>
        </w:rPr>
        <w:t>Kakak tercinta, Mas Fiqrul Ma’arif. Sosok laki-laki yang tidak ada habisnya mendukung sampai sekrang. Terima kasih telah menjadi laki-laki baik, pengertian, tidak pernah marah selama ini. Terima kasih tlah menemani sayadari kecil, susah senang dijalani bersama. Semoga Mas selalu sehat dan diberikan rizqi yang berlimpah yang bisa memberikan manfaat kepada banyak orang.</w:t>
      </w:r>
    </w:p>
    <w:p>
      <w:pPr>
        <w:numPr>
          <w:ilvl w:val="0"/>
          <w:numId w:val="7"/>
        </w:numPr>
        <w:spacing w:after="0" w:line="312" w:lineRule="auto"/>
        <w:jc w:val="both"/>
        <w:rPr>
          <w:rFonts w:eastAsia="Times New Roman" w:asciiTheme="majorBidi" w:hAnsiTheme="majorBidi" w:cstheme="majorBidi"/>
          <w:kern w:val="0"/>
          <w:lang w:eastAsia="zh-CN"/>
          <w14:ligatures w14:val="none"/>
        </w:rPr>
      </w:pPr>
      <w:r>
        <w:rPr>
          <w:rFonts w:eastAsia="Times New Roman" w:asciiTheme="majorBidi" w:hAnsiTheme="majorBidi" w:cstheme="majorBidi"/>
          <w:kern w:val="0"/>
          <w:lang w:val="en-US" w:eastAsia="zh-CN"/>
          <w14:ligatures w14:val="none"/>
        </w:rPr>
        <w:t>Guru-guru dan Mrobbi yang sangat saya Muliakan. Terima kasih telah memberikan banyak ilmu pengajaran yang insya Allah akan sangat bermanfaat bagi kelangsungan dan kehidupan yang akan datang. Semoga atas segala pengajaran yang diberikan, menjadikan bentuk kemudahan dan kelancaran dalam hidup yang diberkahi dan diridhai oleh Allah SWT.</w:t>
      </w:r>
    </w:p>
    <w:p>
      <w:pPr>
        <w:numPr>
          <w:ilvl w:val="0"/>
          <w:numId w:val="7"/>
        </w:numPr>
        <w:spacing w:after="0" w:line="312" w:lineRule="auto"/>
        <w:jc w:val="both"/>
        <w:rPr>
          <w:rFonts w:eastAsia="Times New Roman" w:asciiTheme="majorBidi" w:hAnsiTheme="majorBidi" w:cstheme="majorBidi"/>
          <w:kern w:val="0"/>
          <w:lang w:eastAsia="zh-CN"/>
          <w14:ligatures w14:val="none"/>
        </w:rPr>
      </w:pPr>
      <w:r>
        <w:rPr>
          <w:rFonts w:eastAsia="Times New Roman" w:asciiTheme="majorBidi" w:hAnsiTheme="majorBidi" w:cstheme="majorBidi"/>
          <w:kern w:val="0"/>
          <w:lang w:val="en-US" w:eastAsia="zh-CN"/>
          <w14:ligatures w14:val="none"/>
        </w:rPr>
        <w:t>Sahabat-sahabat peneliti yang selalu memberi dukungan dalam setiap keadaan. Sahabat termasuk dalam rizqi yang diberikan Tuhan, yang selalu menemani dalam suka dan duka, memberi bahagia dalam celah kesukaran, memberi semangat dalam titik kerendahan. Terima kasih sahabat (Regina, Reni, Nailah, Dinda, Anggi, Windy, Fia Handayani, Afra, Ine, DJ, Jio, Ayu, Sefi, Riayatul Milllah) dan teman-teman yang tidak bisa saya sebutkan satu persatu.</w:t>
      </w:r>
    </w:p>
    <w:p>
      <w:pPr>
        <w:numPr>
          <w:ilvl w:val="0"/>
          <w:numId w:val="7"/>
        </w:numPr>
        <w:spacing w:after="0" w:line="312" w:lineRule="auto"/>
        <w:jc w:val="both"/>
        <w:rPr>
          <w:rFonts w:asciiTheme="majorBidi" w:hAnsiTheme="majorBidi"/>
        </w:rPr>
      </w:pPr>
      <w:r>
        <w:rPr>
          <w:rFonts w:asciiTheme="majorBidi" w:hAnsiTheme="majorBidi"/>
        </w:rPr>
        <w:t xml:space="preserve">Rekan-rekan Jurusan Hukum Pidana Islam angkatan 2021 yang telah menjadi bagian dari perjalanan akademik penulis, terima kasih atas segala bantuan, kerja sama, serta kebersamaan yang telah terjalin selama ini. </w:t>
      </w:r>
    </w:p>
    <w:p>
      <w:pPr>
        <w:numPr>
          <w:ilvl w:val="0"/>
          <w:numId w:val="7"/>
        </w:numPr>
        <w:spacing w:after="0" w:line="312" w:lineRule="auto"/>
        <w:jc w:val="both"/>
        <w:rPr>
          <w:rFonts w:asciiTheme="majorBidi" w:hAnsiTheme="majorBidi"/>
        </w:rPr>
      </w:pPr>
      <w:r>
        <w:rPr>
          <w:rFonts w:asciiTheme="majorBidi" w:hAnsiTheme="majorBidi"/>
        </w:rPr>
        <w:t>Teman-teman KKN dari Posko 61 Pamriyan Kendal dan Teman-teman PPL di KUA Kendal, Pengadilan Negeri dan Agama Demak yang telah menjadi bagian dari perjalanan ini, terima kasih atas kebersamaan, dukungan, serta momen berharga yang telah kita lalui bersama. Pengalaman selama KKN dan PPL bukan hanya tentang pengabdian dan praktik lapangan, tetapi juga tentang persahabatan, kerja sama, dan pembelajaran yang penuh makna. Terima kasih atas semangat, motivasi, serta tawa yang selalu mengiringi setiap aktivitas, menjadikan masa-masa ini lebih menyenangkan dan berkesan.</w:t>
      </w:r>
    </w:p>
    <w:p>
      <w:pPr>
        <w:numPr>
          <w:ilvl w:val="0"/>
          <w:numId w:val="7"/>
        </w:numPr>
        <w:spacing w:after="0" w:line="312" w:lineRule="auto"/>
        <w:jc w:val="both"/>
        <w:rPr>
          <w:rFonts w:asciiTheme="majorBidi" w:hAnsiTheme="majorBidi"/>
        </w:rPr>
      </w:pPr>
      <w:r>
        <w:rPr>
          <w:rFonts w:asciiTheme="majorBidi" w:hAnsiTheme="majorBidi"/>
          <w:lang w:val="en-US"/>
        </w:rPr>
        <w:t>semua</w:t>
      </w:r>
      <w:r>
        <w:rPr>
          <w:rFonts w:asciiTheme="majorBidi" w:hAnsiTheme="majorBidi"/>
        </w:rPr>
        <w:t xml:space="preserve"> yang tidak bisa saya sebutkan satu persatu. </w:t>
      </w:r>
      <w:r>
        <w:rPr>
          <w:rFonts w:asciiTheme="majorBidi" w:hAnsiTheme="majorBidi"/>
          <w:lang w:val="en-US"/>
        </w:rPr>
        <w:t>Telah menjadi bagian perjalanan dalam hidup penulis. Semoga semua apa yang telah diberikan dalam hal apapun itu, menjadi bentuk kebaikan yang terus mengalir sampai akhir nanti.</w:t>
      </w:r>
    </w:p>
    <w:p>
      <w:pPr>
        <w:spacing w:after="0" w:line="312" w:lineRule="auto"/>
        <w:ind w:firstLine="720"/>
        <w:jc w:val="both"/>
        <w:rPr>
          <w:rFonts w:asciiTheme="majorBidi" w:hAnsiTheme="majorBidi"/>
        </w:rPr>
      </w:pPr>
      <w:r>
        <w:rPr>
          <w:rFonts w:asciiTheme="majorBidi" w:hAnsiTheme="majorBidi"/>
        </w:rPr>
        <w:t xml:space="preserve">Penulis menyadari bahwa skripsi ini masih jauh dari kesempurnaan. Oleh karena itu, kritik dan saran yang membangun sangat diharapkan untuk penyempurnaan di masa mendatang. Semoga skripsi ini dapat memberikan manfaat bagi pengembangan </w:t>
      </w:r>
      <w:r>
        <w:rPr>
          <w:rFonts w:asciiTheme="majorBidi" w:hAnsiTheme="majorBidi"/>
          <w:lang w:val="en-US"/>
        </w:rPr>
        <w:t xml:space="preserve">ilmu </w:t>
      </w:r>
      <w:r>
        <w:rPr>
          <w:rFonts w:asciiTheme="majorBidi" w:hAnsiTheme="majorBidi"/>
        </w:rPr>
        <w:t>pengetahuan serta menjadi referensi yang bermanfaat bagi penelitian selanjutnya.</w:t>
      </w:r>
    </w:p>
    <w:p>
      <w:pPr>
        <w:spacing w:after="0" w:line="312" w:lineRule="auto"/>
        <w:ind w:firstLine="720"/>
        <w:jc w:val="both"/>
        <w:rPr>
          <w:rFonts w:asciiTheme="majorBidi" w:hAnsiTheme="majorBidi"/>
        </w:rPr>
      </w:pPr>
    </w:p>
    <w:p>
      <w:pPr>
        <w:spacing w:after="0" w:line="312" w:lineRule="auto"/>
        <w:ind w:left="37" w:hanging="37" w:hangingChars="17"/>
        <w:jc w:val="right"/>
        <w:rPr>
          <w:rFonts w:asciiTheme="majorBidi" w:hAnsiTheme="majorBidi"/>
        </w:rPr>
      </w:pPr>
      <w:r>
        <w:rPr>
          <w:rFonts w:asciiTheme="majorBidi" w:hAnsiTheme="majorBidi"/>
        </w:rPr>
        <w:t xml:space="preserve">Semarang, </w:t>
      </w:r>
      <w:r>
        <w:rPr>
          <w:rFonts w:asciiTheme="majorBidi" w:hAnsiTheme="majorBidi"/>
          <w:lang w:val="en-US"/>
        </w:rPr>
        <w:t xml:space="preserve">27 </w:t>
      </w:r>
      <w:r>
        <w:rPr>
          <w:rFonts w:asciiTheme="majorBidi" w:hAnsiTheme="majorBidi"/>
        </w:rPr>
        <w:t>M</w:t>
      </w:r>
      <w:r>
        <w:rPr>
          <w:rFonts w:asciiTheme="majorBidi" w:hAnsiTheme="majorBidi"/>
          <w:lang w:val="en-US"/>
        </w:rPr>
        <w:t>ei</w:t>
      </w:r>
      <w:r>
        <w:rPr>
          <w:rFonts w:asciiTheme="majorBidi" w:hAnsiTheme="majorBidi"/>
        </w:rPr>
        <w:t xml:space="preserve"> 2025</w:t>
      </w:r>
    </w:p>
    <w:p>
      <w:pPr>
        <w:spacing w:after="0" w:line="312" w:lineRule="auto"/>
        <w:ind w:left="37" w:hanging="37" w:hangingChars="17"/>
        <w:jc w:val="right"/>
        <w:rPr>
          <w:rFonts w:asciiTheme="majorBidi" w:hAnsiTheme="majorBidi"/>
        </w:rPr>
      </w:pPr>
    </w:p>
    <w:p>
      <w:pPr>
        <w:spacing w:after="0" w:line="312" w:lineRule="auto"/>
        <w:ind w:left="37" w:hanging="37" w:hangingChars="17"/>
        <w:jc w:val="right"/>
        <w:rPr>
          <w:rFonts w:asciiTheme="majorBidi" w:hAnsiTheme="majorBidi"/>
        </w:rPr>
      </w:pPr>
    </w:p>
    <w:p>
      <w:pPr>
        <w:wordWrap w:val="0"/>
        <w:spacing w:after="0" w:line="312" w:lineRule="auto"/>
        <w:ind w:left="37" w:hanging="37" w:hangingChars="17"/>
        <w:jc w:val="right"/>
        <w:rPr>
          <w:rFonts w:asciiTheme="majorBidi" w:hAnsiTheme="majorBidi"/>
          <w:u w:val="none"/>
          <w:lang w:val="en-US"/>
        </w:rPr>
      </w:pPr>
      <w:r>
        <w:rPr>
          <w:rFonts w:asciiTheme="majorBidi" w:hAnsiTheme="majorBidi"/>
          <w:u w:val="none"/>
          <w:lang w:val="en-US"/>
        </w:rPr>
        <w:t>Siti Nur Bayinah</w:t>
      </w:r>
    </w:p>
    <w:p>
      <w:pPr>
        <w:spacing w:after="0" w:line="312" w:lineRule="auto"/>
        <w:ind w:left="37" w:hanging="37" w:hangingChars="17"/>
        <w:jc w:val="right"/>
        <w:rPr>
          <w:rFonts w:asciiTheme="majorBidi" w:hAnsiTheme="majorBidi"/>
          <w:lang w:val="en-US"/>
        </w:rPr>
      </w:pPr>
      <w:r>
        <w:rPr>
          <w:rFonts w:asciiTheme="majorBidi" w:hAnsiTheme="majorBidi"/>
        </w:rPr>
        <w:t>NIM. 21020261</w:t>
      </w:r>
      <w:r>
        <w:rPr>
          <w:rFonts w:asciiTheme="majorBidi" w:hAnsiTheme="majorBidi"/>
          <w:lang w:val="en-US"/>
        </w:rPr>
        <w:t>1</w:t>
      </w:r>
      <w:bookmarkStart w:id="8" w:name="_Toc199801648"/>
    </w:p>
    <w:p>
      <w:pPr>
        <w:spacing w:after="0" w:line="312" w:lineRule="auto"/>
        <w:ind w:left="37" w:hanging="37" w:hangingChars="17"/>
        <w:jc w:val="right"/>
        <w:rPr>
          <w:rFonts w:asciiTheme="majorBidi" w:hAnsiTheme="majorBidi"/>
          <w:lang w:val="en-US"/>
        </w:rPr>
      </w:pPr>
    </w:p>
    <w:p>
      <w:pPr>
        <w:spacing w:after="0" w:line="312" w:lineRule="auto"/>
        <w:ind w:left="37" w:hanging="37" w:hangingChars="17"/>
        <w:jc w:val="right"/>
        <w:rPr>
          <w:rFonts w:asciiTheme="majorBidi" w:hAnsiTheme="majorBidi"/>
          <w:lang w:val="en-US"/>
        </w:rPr>
      </w:pPr>
    </w:p>
    <w:bookmarkEnd w:id="8"/>
    <w:p>
      <w:pPr>
        <w:pStyle w:val="2"/>
        <w:rPr>
          <w:sz w:val="24"/>
          <w:szCs w:val="24"/>
        </w:rPr>
      </w:pPr>
      <w:r>
        <w:rPr>
          <w:sz w:val="24"/>
          <w:szCs w:val="24"/>
        </w:rPr>
        <w:t>DAFTAR ISI</w:t>
      </w:r>
    </w:p>
    <w:sdt>
      <w:sdtPr>
        <w:rPr>
          <w:rFonts w:ascii="Times New Roman" w:hAnsi="Times New Roman" w:eastAsia="Calibri" w:cs="Times New Roman"/>
          <w:color w:val="auto"/>
          <w:kern w:val="2"/>
          <w:sz w:val="22"/>
          <w:szCs w:val="22"/>
          <w:lang w:val="id-ID"/>
          <w14:ligatures w14:val="standardContextual"/>
        </w:rPr>
        <w:id w:val="-570421993"/>
        <w:docPartObj>
          <w:docPartGallery w:val="Table of Contents"/>
          <w:docPartUnique/>
        </w:docPartObj>
      </w:sdtPr>
      <w:sdtEndPr>
        <w:rPr>
          <w:rFonts w:ascii="Calibri" w:hAnsi="Calibri" w:eastAsia="Calibri" w:cs="Arial"/>
          <w:b/>
          <w:bCs/>
          <w:color w:val="auto"/>
          <w:kern w:val="2"/>
          <w:sz w:val="22"/>
          <w:szCs w:val="22"/>
          <w:lang w:val="id-ID"/>
          <w14:ligatures w14:val="standardContextual"/>
        </w:rPr>
      </w:sdtEndPr>
      <w:sdtContent>
        <w:p>
          <w:pPr>
            <w:pStyle w:val="28"/>
            <w:spacing w:before="0" w:line="312" w:lineRule="auto"/>
            <w:jc w:val="both"/>
            <w:rPr>
              <w:rFonts w:ascii="Times New Roman" w:hAnsi="Times New Roman" w:cs="Times New Roman"/>
              <w:color w:val="auto"/>
              <w:sz w:val="22"/>
              <w:szCs w:val="22"/>
            </w:rPr>
          </w:pPr>
        </w:p>
        <w:p>
          <w:pPr>
            <w:pStyle w:val="12"/>
            <w:tabs>
              <w:tab w:val="right" w:leader="dot" w:pos="5773"/>
            </w:tabs>
            <w:spacing w:after="0" w:line="312" w:lineRule="auto"/>
            <w:jc w:val="both"/>
            <w:rPr>
              <w:rFonts w:ascii="Times New Roman" w:hAnsi="Times New Roman" w:cs="Times New Roman"/>
              <w:lang w:val="en-US"/>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"_Toc199801639" </w:instrText>
          </w:r>
          <w:r>
            <w:fldChar w:fldCharType="separate"/>
          </w:r>
          <w:r>
            <w:rPr>
              <w:rStyle w:val="18"/>
              <w:rFonts w:ascii="Times New Roman" w:hAnsi="Times New Roman" w:cs="Times New Roman"/>
              <w:color w:val="auto"/>
            </w:rPr>
            <w:t>HALAMAN JUDUL</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"_Toc199801640" </w:instrText>
          </w:r>
          <w:r>
            <w:fldChar w:fldCharType="separate"/>
          </w:r>
          <w:r>
            <w:rPr>
              <w:rStyle w:val="18"/>
              <w:rFonts w:ascii="Times New Roman" w:hAnsi="Times New Roman" w:cs="Times New Roman"/>
              <w:color w:val="auto"/>
            </w:rPr>
            <w:t>PERSETUJUAN PEMBIMBING</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ii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"_Toc199801641" </w:instrText>
          </w:r>
          <w:r>
            <w:fldChar w:fldCharType="separate"/>
          </w:r>
          <w:r>
            <w:rPr>
              <w:rStyle w:val="18"/>
              <w:rFonts w:ascii="Times New Roman" w:hAnsi="Times New Roman" w:cs="Times New Roman"/>
              <w:color w:val="auto"/>
            </w:rPr>
            <w:t>PENGESAHAN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iii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"_Toc199801642" </w:instrText>
          </w:r>
          <w:r>
            <w:fldChar w:fldCharType="separate"/>
          </w:r>
          <w:r>
            <w:rPr>
              <w:rStyle w:val="18"/>
              <w:rFonts w:ascii="Times New Roman" w:hAnsi="Times New Roman" w:cs="Times New Roman"/>
              <w:color w:val="auto"/>
            </w:rPr>
            <w:t>MOTTO</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iv</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"_Toc199801643" </w:instrText>
          </w:r>
          <w:r>
            <w:fldChar w:fldCharType="separate"/>
          </w:r>
          <w:r>
            <w:rPr>
              <w:rStyle w:val="18"/>
              <w:rFonts w:ascii="Times New Roman" w:hAnsi="Times New Roman" w:cs="Times New Roman"/>
              <w:color w:val="auto"/>
            </w:rPr>
            <w:t>PERSEMBAHAN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v</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"_Toc199801644" </w:instrText>
          </w:r>
          <w:r>
            <w:fldChar w:fldCharType="separate"/>
          </w:r>
          <w:r>
            <w:rPr>
              <w:rStyle w:val="18"/>
              <w:rFonts w:ascii="Times New Roman" w:hAnsi="Times New Roman" w:cs="Times New Roman"/>
              <w:color w:val="auto"/>
            </w:rPr>
            <w:t>DEKLARASI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viii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"_Toc199801645" </w:instrText>
          </w:r>
          <w:r>
            <w:fldChar w:fldCharType="separate"/>
          </w:r>
          <w:r>
            <w:rPr>
              <w:rStyle w:val="18"/>
              <w:rFonts w:ascii="Times New Roman" w:hAnsi="Times New Roman" w:cs="Times New Roman"/>
              <w:color w:val="auto"/>
            </w:rPr>
            <w:t>PEDOMAN TRANSLITERASI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ix</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"_Toc199801646" </w:instrText>
          </w:r>
          <w:r>
            <w:fldChar w:fldCharType="separate"/>
          </w:r>
          <w:r>
            <w:rPr>
              <w:rStyle w:val="18"/>
              <w:rFonts w:ascii="Times New Roman" w:hAnsi="Times New Roman" w:cs="Times New Roman"/>
              <w:color w:val="auto"/>
            </w:rPr>
            <w:t>ABSTRAK</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xv</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"_Toc199801647" </w:instrText>
          </w:r>
          <w:r>
            <w:fldChar w:fldCharType="separate"/>
          </w:r>
          <w:r>
            <w:rPr>
              <w:rStyle w:val="18"/>
              <w:rFonts w:ascii="Times New Roman" w:hAnsi="Times New Roman" w:cs="Times New Roman"/>
              <w:color w:val="auto"/>
            </w:rPr>
            <w:t>KATA PENGANTAR</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xvii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"_Toc199801648" </w:instrText>
          </w:r>
          <w:r>
            <w:fldChar w:fldCharType="separate"/>
          </w:r>
          <w:r>
            <w:rPr>
              <w:rStyle w:val="18"/>
              <w:rFonts w:ascii="Times New Roman" w:hAnsi="Times New Roman" w:cs="Times New Roman"/>
              <w:color w:val="auto"/>
            </w:rPr>
            <w:t>DAFTAR ISI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xxi</w:t>
          </w:r>
        </w:p>
        <w:p>
          <w:pPr>
            <w:pStyle w:val="12"/>
            <w:tabs>
              <w:tab w:val="right" w:leader="dot" w:pos="5773"/>
            </w:tabs>
            <w:spacing w:after="0" w:line="312" w:lineRule="auto"/>
            <w:jc w:val="both"/>
            <w:rPr>
              <w:lang w:val="en-US"/>
            </w:rPr>
          </w:pPr>
          <w:r>
            <w:fldChar w:fldCharType="begin"/>
          </w:r>
          <w:r>
            <w:instrText xml:space="preserve"> HYPERLINK \l "_Toc199801648" </w:instrText>
          </w:r>
          <w:r>
            <w:fldChar w:fldCharType="separate"/>
          </w:r>
          <w:r>
            <w:rPr>
              <w:rStyle w:val="18"/>
              <w:rFonts w:ascii="Times New Roman" w:hAnsi="Times New Roman" w:cs="Times New Roman"/>
              <w:color w:val="auto"/>
            </w:rPr>
            <w:t>DAFTAR</w:t>
          </w:r>
          <w:r>
            <w:rPr>
              <w:rStyle w:val="18"/>
              <w:rFonts w:ascii="Times New Roman" w:hAnsi="Times New Roman" w:cs="Times New Roman"/>
              <w:color w:val="auto"/>
              <w:lang w:val="en-US"/>
            </w:rPr>
            <w:t xml:space="preserve"> TABEL</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xxii</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"_Toc199801649" </w:instrText>
          </w:r>
          <w:r>
            <w:fldChar w:fldCharType="separate"/>
          </w:r>
          <w:r>
            <w:rPr>
              <w:rStyle w:val="18"/>
              <w:rFonts w:ascii="Times New Roman" w:hAnsi="Times New Roman" w:cs="Times New Roman"/>
              <w:color w:val="auto"/>
            </w:rPr>
            <w:t>BAB 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"_Toc199801650" </w:instrText>
          </w:r>
          <w:r>
            <w:fldChar w:fldCharType="separate"/>
          </w:r>
          <w:r>
            <w:rPr>
              <w:rStyle w:val="18"/>
              <w:rFonts w:ascii="Times New Roman" w:hAnsi="Times New Roman" w:cs="Times New Roman"/>
              <w:color w:val="auto"/>
            </w:rPr>
            <w:t>PENDAHULUAN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"_Toc199801651" </w:instrText>
          </w:r>
          <w:r>
            <w:fldChar w:fldCharType="separate"/>
          </w:r>
          <w:r>
            <w:rPr>
              <w:rStyle w:val="18"/>
              <w:rFonts w:ascii="Times New Roman" w:hAnsi="Times New Roman" w:cs="Times New Roman"/>
              <w:color w:val="auto"/>
            </w:rPr>
            <w:t>A</w:t>
          </w:r>
          <w:r>
            <w:rPr>
              <w:rFonts w:ascii="Times New Roman" w:hAnsi="Times New Roman" w:cs="Times New Roman"/>
            </w:rPr>
            <w:tab/>
          </w:r>
          <w:r>
            <w:rPr>
              <w:rStyle w:val="18"/>
              <w:rFonts w:ascii="Times New Roman" w:hAnsi="Times New Roman" w:cs="Times New Roman"/>
              <w:color w:val="auto"/>
            </w:rPr>
            <w:t>Latar Belakang</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"_Toc199801652" </w:instrText>
          </w:r>
          <w:r>
            <w:fldChar w:fldCharType="separate"/>
          </w:r>
          <w:r>
            <w:rPr>
              <w:rStyle w:val="18"/>
              <w:rFonts w:ascii="Times New Roman" w:hAnsi="Times New Roman" w:cs="Times New Roman"/>
              <w:color w:val="auto"/>
            </w:rPr>
            <w:t>B</w:t>
          </w:r>
          <w:r>
            <w:rPr>
              <w:rFonts w:ascii="Times New Roman" w:hAnsi="Times New Roman" w:cs="Times New Roman"/>
            </w:rPr>
            <w:tab/>
          </w:r>
          <w:r>
            <w:rPr>
              <w:rStyle w:val="18"/>
              <w:rFonts w:ascii="Times New Roman" w:hAnsi="Times New Roman" w:cs="Times New Roman"/>
              <w:color w:val="auto"/>
              <w:lang w:val="en-US"/>
            </w:rPr>
            <w:t>Rumusan</w:t>
          </w:r>
          <w:r>
            <w:rPr>
              <w:rStyle w:val="18"/>
              <w:rFonts w:ascii="Times New Roman" w:hAnsi="Times New Roman" w:cs="Times New Roman"/>
              <w:color w:val="auto"/>
            </w:rPr>
            <w:t xml:space="preserve"> Masalah</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9</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"_Toc199801653" </w:instrText>
          </w:r>
          <w:r>
            <w:fldChar w:fldCharType="separate"/>
          </w:r>
          <w:r>
            <w:rPr>
              <w:rStyle w:val="18"/>
              <w:rFonts w:ascii="Times New Roman" w:hAnsi="Times New Roman" w:cs="Times New Roman"/>
              <w:color w:val="auto"/>
            </w:rPr>
            <w:t>C</w:t>
          </w:r>
          <w:r>
            <w:rPr>
              <w:rFonts w:ascii="Times New Roman" w:hAnsi="Times New Roman" w:cs="Times New Roman"/>
            </w:rPr>
            <w:tab/>
          </w:r>
          <w:r>
            <w:rPr>
              <w:rStyle w:val="18"/>
              <w:rFonts w:ascii="Times New Roman" w:hAnsi="Times New Roman" w:cs="Times New Roman"/>
              <w:color w:val="auto"/>
            </w:rPr>
            <w:t>Tujuan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9</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"_Toc199801654" </w:instrText>
          </w:r>
          <w:r>
            <w:fldChar w:fldCharType="separate"/>
          </w:r>
          <w:r>
            <w:rPr>
              <w:rStyle w:val="18"/>
              <w:rFonts w:ascii="Times New Roman" w:hAnsi="Times New Roman" w:cs="Times New Roman"/>
              <w:color w:val="auto"/>
            </w:rPr>
            <w:t>D</w:t>
          </w:r>
          <w:r>
            <w:rPr>
              <w:rFonts w:ascii="Times New Roman" w:hAnsi="Times New Roman" w:cs="Times New Roman"/>
            </w:rPr>
            <w:tab/>
          </w:r>
          <w:r>
            <w:rPr>
              <w:rStyle w:val="18"/>
              <w:rFonts w:ascii="Times New Roman" w:hAnsi="Times New Roman" w:cs="Times New Roman"/>
              <w:color w:val="auto"/>
            </w:rPr>
            <w:t>Manfaat Penelitian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9</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"_Toc199801655" </w:instrText>
          </w:r>
          <w:r>
            <w:fldChar w:fldCharType="separate"/>
          </w:r>
          <w:r>
            <w:rPr>
              <w:rStyle w:val="18"/>
              <w:rFonts w:ascii="Times New Roman" w:hAnsi="Times New Roman" w:cs="Times New Roman"/>
              <w:color w:val="auto"/>
            </w:rPr>
            <w:t>E</w:t>
          </w:r>
          <w:r>
            <w:rPr>
              <w:rFonts w:ascii="Times New Roman" w:hAnsi="Times New Roman" w:cs="Times New Roman"/>
            </w:rPr>
            <w:tab/>
          </w:r>
          <w:r>
            <w:rPr>
              <w:rStyle w:val="18"/>
              <w:rFonts w:ascii="Times New Roman" w:hAnsi="Times New Roman" w:cs="Times New Roman"/>
              <w:color w:val="auto"/>
            </w:rPr>
            <w:t>Tinjauan Pustaka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10</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"_Toc199801656" </w:instrText>
          </w:r>
          <w:r>
            <w:fldChar w:fldCharType="separate"/>
          </w:r>
          <w:r>
            <w:rPr>
              <w:rStyle w:val="18"/>
              <w:rFonts w:ascii="Times New Roman" w:hAnsi="Times New Roman" w:cs="Times New Roman"/>
              <w:color w:val="auto"/>
            </w:rPr>
            <w:t>F</w:t>
          </w:r>
          <w:r>
            <w:rPr>
              <w:rFonts w:ascii="Times New Roman" w:hAnsi="Times New Roman" w:cs="Times New Roman"/>
            </w:rPr>
            <w:tab/>
          </w:r>
          <w:r>
            <w:rPr>
              <w:rStyle w:val="18"/>
              <w:rFonts w:ascii="Times New Roman" w:hAnsi="Times New Roman" w:cs="Times New Roman"/>
              <w:color w:val="auto"/>
            </w:rPr>
            <w:t>Metode Penelitian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17</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"_Toc199801657" </w:instrText>
          </w:r>
          <w:r>
            <w:fldChar w:fldCharType="separate"/>
          </w:r>
          <w:r>
            <w:rPr>
              <w:rStyle w:val="18"/>
              <w:rFonts w:ascii="Times New Roman" w:hAnsi="Times New Roman" w:cs="Times New Roman"/>
              <w:color w:val="auto"/>
            </w:rPr>
            <w:t>G</w:t>
          </w:r>
          <w:r>
            <w:rPr>
              <w:rFonts w:ascii="Times New Roman" w:hAnsi="Times New Roman" w:cs="Times New Roman"/>
            </w:rPr>
            <w:tab/>
          </w:r>
          <w:r>
            <w:rPr>
              <w:rStyle w:val="18"/>
              <w:rFonts w:ascii="Times New Roman" w:hAnsi="Times New Roman" w:cs="Times New Roman"/>
              <w:color w:val="auto"/>
            </w:rPr>
            <w:t>Sistematika Penelitian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19</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"_Toc199801658" </w:instrText>
          </w:r>
          <w:r>
            <w:fldChar w:fldCharType="separate"/>
          </w:r>
          <w:r>
            <w:rPr>
              <w:rStyle w:val="18"/>
              <w:rFonts w:ascii="Times New Roman" w:hAnsi="Times New Roman" w:cs="Times New Roman"/>
              <w:color w:val="auto"/>
            </w:rPr>
            <w:t>H</w:t>
          </w:r>
          <w:r>
            <w:rPr>
              <w:rFonts w:ascii="Times New Roman" w:hAnsi="Times New Roman" w:cs="Times New Roman"/>
            </w:rPr>
            <w:tab/>
          </w:r>
          <w:r>
            <w:rPr>
              <w:rStyle w:val="18"/>
              <w:rFonts w:ascii="Times New Roman" w:hAnsi="Times New Roman" w:cs="Times New Roman"/>
              <w:color w:val="auto"/>
            </w:rPr>
            <w:t>Kerangka Teori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21</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"_Toc199801659" </w:instrText>
          </w:r>
          <w:r>
            <w:fldChar w:fldCharType="separate"/>
          </w:r>
          <w:r>
            <w:rPr>
              <w:rStyle w:val="18"/>
              <w:rFonts w:ascii="Times New Roman" w:hAnsi="Times New Roman" w:cs="Times New Roman"/>
              <w:color w:val="auto"/>
            </w:rPr>
            <w:t>BAB II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29</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"_Toc199801660" </w:instrText>
          </w:r>
          <w:r>
            <w:fldChar w:fldCharType="separate"/>
          </w:r>
          <w:r>
            <w:rPr>
              <w:rStyle w:val="18"/>
              <w:rFonts w:ascii="Times New Roman" w:hAnsi="Times New Roman" w:cs="Times New Roman"/>
              <w:color w:val="auto"/>
            </w:rPr>
            <w:t xml:space="preserve">TINJAUAN </w:t>
          </w:r>
          <w:r>
            <w:rPr>
              <w:rStyle w:val="18"/>
              <w:rFonts w:ascii="Times New Roman" w:hAnsi="Times New Roman" w:cs="Times New Roman"/>
              <w:color w:val="auto"/>
              <w:lang w:val="en-US"/>
            </w:rPr>
            <w:t>UMUM</w:t>
          </w:r>
          <w:r>
            <w:rPr>
              <w:rStyle w:val="18"/>
              <w:rFonts w:ascii="Times New Roman" w:hAnsi="Times New Roman" w:cs="Times New Roman"/>
              <w:color w:val="auto"/>
            </w:rPr>
            <w:t xml:space="preserve"> NARKOTIKA DAN GRASI PERSPEKTIF HUKUM PIDANA POSITIF DAN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27</w:t>
          </w:r>
        </w:p>
        <w:p>
          <w:pPr>
            <w:pStyle w:val="13"/>
            <w:numPr>
              <w:ilvl w:val="0"/>
              <w:numId w:val="8"/>
            </w:numPr>
            <w:tabs>
              <w:tab w:val="left" w:pos="720"/>
              <w:tab w:val="right" w:leader="dot" w:pos="5773"/>
            </w:tabs>
            <w:spacing w:after="0" w:line="312" w:lineRule="auto"/>
            <w:jc w:val="both"/>
            <w:rPr>
              <w:rFonts w:ascii="Times New Roman" w:hAnsi="Times New Roman" w:cs="Times New Roman"/>
            </w:rPr>
          </w:pPr>
          <w:r>
            <w:fldChar w:fldCharType="begin"/>
          </w:r>
          <w:r>
            <w:instrText xml:space="preserve"> HYPERLINK \l "_Toc199801664" </w:instrText>
          </w:r>
          <w:r>
            <w:fldChar w:fldCharType="separate"/>
          </w:r>
          <w:r>
            <w:rPr>
              <w:rFonts w:ascii="Times New Roman" w:hAnsi="Times New Roman" w:cs="Times New Roman"/>
              <w:lang w:val="en-US"/>
            </w:rPr>
            <w:t>Narkotika dalam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27</w:t>
          </w:r>
        </w:p>
        <w:p>
          <w:pPr>
            <w:pStyle w:val="14"/>
            <w:numPr>
              <w:ilvl w:val="0"/>
              <w:numId w:val="9"/>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Style w:val="18"/>
              <w:rFonts w:ascii="Times New Roman" w:hAnsi="Times New Roman" w:cs="Times New Roman"/>
              <w:color w:val="auto"/>
            </w:rPr>
            <w:t xml:space="preserve">Pengertian </w:t>
          </w:r>
          <w:r>
            <w:rPr>
              <w:rStyle w:val="18"/>
              <w:rFonts w:ascii="Times New Roman" w:hAnsi="Times New Roman" w:cs="Times New Roman"/>
              <w:color w:val="auto"/>
              <w:lang w:val="en-US"/>
            </w:rPr>
            <w:t>Narkotika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27</w:t>
          </w:r>
        </w:p>
        <w:p>
          <w:pPr>
            <w:pStyle w:val="14"/>
            <w:numPr>
              <w:ilvl w:val="0"/>
              <w:numId w:val="9"/>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Sejarah Narkotika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28</w:t>
          </w:r>
        </w:p>
        <w:p>
          <w:pPr>
            <w:pStyle w:val="14"/>
            <w:numPr>
              <w:ilvl w:val="0"/>
              <w:numId w:val="9"/>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sanksi Narkotika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30</w:t>
          </w:r>
        </w:p>
        <w:p>
          <w:pPr>
            <w:pStyle w:val="13"/>
            <w:numPr>
              <w:ilvl w:val="0"/>
              <w:numId w:val="8"/>
            </w:numPr>
            <w:tabs>
              <w:tab w:val="left" w:pos="720"/>
              <w:tab w:val="right" w:leader="dot" w:pos="5773"/>
            </w:tabs>
            <w:spacing w:after="0" w:line="312" w:lineRule="auto"/>
            <w:jc w:val="both"/>
            <w:rPr>
              <w:rFonts w:ascii="Times New Roman" w:hAnsi="Times New Roman" w:cs="Times New Roman"/>
            </w:rPr>
          </w:pPr>
          <w:r>
            <w:fldChar w:fldCharType="begin"/>
          </w:r>
          <w:r>
            <w:instrText xml:space="preserve"> HYPERLINK \l "_Toc199801664" </w:instrText>
          </w:r>
          <w:r>
            <w:fldChar w:fldCharType="separate"/>
          </w:r>
          <w:r>
            <w:rPr>
              <w:rFonts w:ascii="Times New Roman" w:hAnsi="Times New Roman" w:cs="Times New Roman"/>
              <w:lang w:val="en-US"/>
            </w:rPr>
            <w:t>Narkotika dalam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32</w:t>
          </w:r>
        </w:p>
        <w:p>
          <w:pPr>
            <w:pStyle w:val="14"/>
            <w:numPr>
              <w:ilvl w:val="0"/>
              <w:numId w:val="10"/>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Style w:val="18"/>
              <w:rFonts w:ascii="Times New Roman" w:hAnsi="Times New Roman" w:cs="Times New Roman"/>
              <w:color w:val="auto"/>
            </w:rPr>
            <w:t>Pengertian Grasi</w:t>
          </w:r>
          <w:r>
            <w:rPr>
              <w:rStyle w:val="18"/>
              <w:rFonts w:ascii="Times New Roman" w:hAnsi="Times New Roman" w:cs="Times New Roman"/>
              <w:color w:val="auto"/>
              <w:lang w:val="en-US"/>
            </w:rPr>
            <w:t xml:space="preserve"> HukumPidana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32</w:t>
          </w:r>
        </w:p>
        <w:p>
          <w:pPr>
            <w:pStyle w:val="14"/>
            <w:numPr>
              <w:ilvl w:val="0"/>
              <w:numId w:val="10"/>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Sejarah Narkotika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32</w:t>
          </w:r>
        </w:p>
        <w:p>
          <w:pPr>
            <w:pStyle w:val="14"/>
            <w:numPr>
              <w:ilvl w:val="0"/>
              <w:numId w:val="10"/>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Macam-macam Narkotika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34</w:t>
          </w:r>
        </w:p>
        <w:p>
          <w:pPr>
            <w:pStyle w:val="14"/>
            <w:numPr>
              <w:ilvl w:val="0"/>
              <w:numId w:val="10"/>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Hukuman Narkotika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40</w:t>
          </w:r>
        </w:p>
        <w:p>
          <w:pPr>
            <w:pStyle w:val="13"/>
            <w:numPr>
              <w:ilvl w:val="0"/>
              <w:numId w:val="8"/>
            </w:numPr>
            <w:tabs>
              <w:tab w:val="left" w:pos="720"/>
              <w:tab w:val="right" w:leader="dot" w:pos="5773"/>
            </w:tabs>
            <w:spacing w:after="0" w:line="312" w:lineRule="auto"/>
            <w:jc w:val="both"/>
            <w:rPr>
              <w:rFonts w:ascii="Times New Roman" w:hAnsi="Times New Roman" w:cs="Times New Roman"/>
            </w:rPr>
          </w:pPr>
          <w:r>
            <w:fldChar w:fldCharType="begin"/>
          </w:r>
          <w:r>
            <w:instrText xml:space="preserve"> HYPERLINK \l "_Toc199801664" </w:instrText>
          </w:r>
          <w:r>
            <w:fldChar w:fldCharType="separate"/>
          </w:r>
          <w:r>
            <w:rPr>
              <w:rStyle w:val="18"/>
              <w:rFonts w:ascii="Times New Roman" w:hAnsi="Times New Roman" w:cs="Times New Roman"/>
              <w:color w:val="auto"/>
            </w:rPr>
            <w:t>Grasi Perspektif Hukum Pidana</w:t>
          </w:r>
          <w:r>
            <w:rPr>
              <w:rStyle w:val="18"/>
              <w:rFonts w:ascii="Times New Roman" w:hAnsi="Times New Roman" w:cs="Times New Roman"/>
              <w:color w:val="auto"/>
              <w:lang w:val="en-US"/>
            </w:rPr>
            <w:t xml:space="preserve">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43</w:t>
          </w:r>
        </w:p>
        <w:p>
          <w:pPr>
            <w:pStyle w:val="14"/>
            <w:numPr>
              <w:ilvl w:val="0"/>
              <w:numId w:val="11"/>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Style w:val="18"/>
              <w:rFonts w:ascii="Times New Roman" w:hAnsi="Times New Roman" w:cs="Times New Roman"/>
              <w:color w:val="auto"/>
            </w:rPr>
            <w:t>Pengertian Grasi</w:t>
          </w:r>
          <w:r>
            <w:rPr>
              <w:rStyle w:val="18"/>
              <w:rFonts w:ascii="Times New Roman" w:hAnsi="Times New Roman" w:cs="Times New Roman"/>
              <w:color w:val="auto"/>
              <w:lang w:val="en-US"/>
            </w:rPr>
            <w:t xml:space="preserve">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43</w:t>
          </w:r>
        </w:p>
        <w:p>
          <w:pPr>
            <w:pStyle w:val="14"/>
            <w:numPr>
              <w:ilvl w:val="0"/>
              <w:numId w:val="11"/>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Dasar Hukum Maaf</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46</w:t>
          </w:r>
        </w:p>
        <w:p>
          <w:pPr>
            <w:pStyle w:val="14"/>
            <w:numPr>
              <w:ilvl w:val="0"/>
              <w:numId w:val="11"/>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Rukun dan Syarat Maaf</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50</w:t>
          </w:r>
        </w:p>
        <w:p>
          <w:pPr>
            <w:pStyle w:val="13"/>
            <w:numPr>
              <w:ilvl w:val="0"/>
              <w:numId w:val="8"/>
            </w:numPr>
            <w:tabs>
              <w:tab w:val="left" w:pos="720"/>
              <w:tab w:val="right" w:leader="dot" w:pos="5773"/>
            </w:tabs>
            <w:spacing w:after="0" w:line="312" w:lineRule="auto"/>
            <w:jc w:val="both"/>
            <w:rPr>
              <w:rFonts w:ascii="Times New Roman" w:hAnsi="Times New Roman" w:cs="Times New Roman"/>
            </w:rPr>
          </w:pPr>
          <w:r>
            <w:fldChar w:fldCharType="begin"/>
          </w:r>
          <w:r>
            <w:instrText xml:space="preserve"> HYPERLINK \l "_Toc199801664" </w:instrText>
          </w:r>
          <w:r>
            <w:fldChar w:fldCharType="separate"/>
          </w:r>
          <w:r>
            <w:rPr>
              <w:rStyle w:val="18"/>
              <w:rFonts w:ascii="Times New Roman" w:hAnsi="Times New Roman" w:cs="Times New Roman"/>
              <w:color w:val="auto"/>
            </w:rPr>
            <w:t>Grasi Perspektif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52</w:t>
          </w:r>
        </w:p>
        <w:p>
          <w:pPr>
            <w:pStyle w:val="14"/>
            <w:numPr>
              <w:ilvl w:val="0"/>
              <w:numId w:val="12"/>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Style w:val="18"/>
              <w:rFonts w:ascii="Times New Roman" w:hAnsi="Times New Roman" w:cs="Times New Roman"/>
              <w:color w:val="auto"/>
            </w:rPr>
            <w:t>Pengertian Grasi</w:t>
          </w:r>
          <w:r>
            <w:rPr>
              <w:rStyle w:val="18"/>
              <w:rFonts w:ascii="Times New Roman" w:hAnsi="Times New Roman" w:cs="Times New Roman"/>
              <w:color w:val="auto"/>
              <w:lang w:val="en-US"/>
            </w:rPr>
            <w:t xml:space="preserve">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52</w:t>
          </w:r>
        </w:p>
        <w:p>
          <w:pPr>
            <w:pStyle w:val="14"/>
            <w:numPr>
              <w:ilvl w:val="0"/>
              <w:numId w:val="12"/>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Dasar Hukum Grasi Hukum Pidana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52</w:t>
          </w:r>
        </w:p>
        <w:p>
          <w:pPr>
            <w:pStyle w:val="14"/>
            <w:numPr>
              <w:ilvl w:val="0"/>
              <w:numId w:val="12"/>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Syarat-syarat Mengajukan Grasi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53</w:t>
          </w:r>
        </w:p>
        <w:p>
          <w:pPr>
            <w:pStyle w:val="14"/>
            <w:numPr>
              <w:ilvl w:val="0"/>
              <w:numId w:val="12"/>
            </w:numPr>
            <w:tabs>
              <w:tab w:val="left" w:pos="1100"/>
              <w:tab w:val="right" w:leader="dot" w:pos="5773"/>
              <w:tab w:val="clear" w:pos="425"/>
            </w:tabs>
            <w:spacing w:after="0" w:line="312" w:lineRule="auto"/>
            <w:ind w:left="1085"/>
            <w:jc w:val="both"/>
            <w:rPr>
              <w:rFonts w:ascii="Times New Roman" w:hAnsi="Times New Roman" w:cs="Times New Roman"/>
            </w:rPr>
          </w:pPr>
          <w:r>
            <w:fldChar w:fldCharType="begin"/>
          </w:r>
          <w:r>
            <w:instrText xml:space="preserve"> HYPERLINK \l "_Toc199801665" </w:instrText>
          </w:r>
          <w:r>
            <w:fldChar w:fldCharType="separate"/>
          </w:r>
          <w:r>
            <w:rPr>
              <w:rFonts w:ascii="Times New Roman" w:hAnsi="Times New Roman" w:cs="Times New Roman"/>
              <w:lang w:val="en-US"/>
            </w:rPr>
            <w:t>Prosedur Pengajuan Grasi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54</w:t>
          </w:r>
        </w:p>
        <w:p>
          <w:pPr>
            <w:pStyle w:val="14"/>
            <w:numPr>
              <w:ilvl w:val="0"/>
              <w:numId w:val="12"/>
            </w:numPr>
            <w:tabs>
              <w:tab w:val="left" w:pos="1100"/>
              <w:tab w:val="right" w:leader="dot" w:pos="5773"/>
              <w:tab w:val="clear" w:pos="425"/>
            </w:tabs>
            <w:spacing w:after="0" w:line="312" w:lineRule="auto"/>
            <w:ind w:left="1085"/>
            <w:jc w:val="both"/>
          </w:pPr>
          <w:r>
            <w:fldChar w:fldCharType="begin"/>
          </w:r>
          <w:r>
            <w:instrText xml:space="preserve"> HYPERLINK \l "_Toc199801665" </w:instrText>
          </w:r>
          <w:r>
            <w:fldChar w:fldCharType="separate"/>
          </w:r>
          <w:r>
            <w:rPr>
              <w:rFonts w:ascii="Times New Roman" w:hAnsi="Times New Roman" w:cs="Times New Roman"/>
              <w:lang w:val="en-US"/>
            </w:rPr>
            <w:t>Proses Penanganan Grasi Di Mahkamah Agung</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57</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"_Toc199801675" </w:instrText>
          </w:r>
          <w:r>
            <w:fldChar w:fldCharType="separate"/>
          </w:r>
          <w:r>
            <w:rPr>
              <w:rStyle w:val="18"/>
              <w:rFonts w:ascii="Times New Roman" w:hAnsi="Times New Roman" w:cs="Times New Roman"/>
              <w:color w:val="auto"/>
            </w:rPr>
            <w:t>BAB III</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60</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"_Toc199801676" </w:instrText>
          </w:r>
          <w:r>
            <w:fldChar w:fldCharType="separate"/>
          </w:r>
          <w:r>
            <w:rPr>
              <w:rStyle w:val="18"/>
              <w:rFonts w:ascii="Times New Roman" w:hAnsi="Times New Roman" w:cs="Times New Roman"/>
              <w:color w:val="auto"/>
            </w:rPr>
            <w:t xml:space="preserve">GAMBARAN </w:t>
          </w:r>
          <w:r>
            <w:rPr>
              <w:rStyle w:val="18"/>
              <w:rFonts w:ascii="Times New Roman" w:hAnsi="Times New Roman" w:cs="Times New Roman"/>
              <w:color w:val="auto"/>
              <w:lang w:val="en-US"/>
            </w:rPr>
            <w:t>UMUM</w:t>
          </w:r>
          <w:r>
            <w:rPr>
              <w:rStyle w:val="18"/>
              <w:rFonts w:ascii="Times New Roman" w:hAnsi="Times New Roman" w:cs="Times New Roman"/>
              <w:color w:val="auto"/>
            </w:rPr>
            <w:t xml:space="preserve"> KEPUTUSAN PRESIDEN NOM</w:t>
          </w:r>
          <w:r>
            <w:rPr>
              <w:rStyle w:val="18"/>
              <w:rFonts w:ascii="Times New Roman" w:hAnsi="Times New Roman" w:cs="Times New Roman"/>
              <w:color w:val="auto"/>
              <w:lang w:val="en-US"/>
            </w:rPr>
            <w:t>O</w:t>
          </w:r>
          <w:r>
            <w:rPr>
              <w:rStyle w:val="18"/>
              <w:rFonts w:ascii="Times New Roman" w:hAnsi="Times New Roman" w:cs="Times New Roman"/>
              <w:color w:val="auto"/>
            </w:rPr>
            <w:t>R 1/G/2023</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60</w:t>
          </w:r>
        </w:p>
        <w:p>
          <w:pPr>
            <w:pStyle w:val="13"/>
            <w:tabs>
              <w:tab w:val="left" w:pos="720"/>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"_Toc199801677" </w:instrText>
          </w:r>
          <w:r>
            <w:fldChar w:fldCharType="separate"/>
          </w:r>
          <w:r>
            <w:rPr>
              <w:rStyle w:val="18"/>
              <w:rFonts w:ascii="Times New Roman" w:hAnsi="Times New Roman" w:cs="Times New Roman"/>
              <w:color w:val="auto"/>
            </w:rPr>
            <w:t>A.</w:t>
          </w:r>
          <w:r>
            <w:rPr>
              <w:rFonts w:ascii="Times New Roman" w:hAnsi="Times New Roman" w:cs="Times New Roman"/>
            </w:rPr>
            <w:tab/>
          </w:r>
          <w:r>
            <w:rPr>
              <w:rStyle w:val="18"/>
              <w:rFonts w:ascii="Times New Roman" w:hAnsi="Times New Roman" w:cs="Times New Roman"/>
              <w:color w:val="auto"/>
            </w:rPr>
            <w:t xml:space="preserve">Kasus Perkara </w:t>
          </w:r>
          <w:r>
            <w:rPr>
              <w:rStyle w:val="18"/>
              <w:rFonts w:ascii="Times New Roman" w:hAnsi="Times New Roman" w:cs="Times New Roman"/>
              <w:color w:val="auto"/>
              <w:lang w:val="en-US"/>
            </w:rPr>
            <w:t xml:space="preserve">MU </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60</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"_Toc199801679" </w:instrText>
          </w:r>
          <w:r>
            <w:fldChar w:fldCharType="separate"/>
          </w:r>
          <w:r>
            <w:rPr>
              <w:rStyle w:val="18"/>
              <w:rFonts w:ascii="Times New Roman" w:hAnsi="Times New Roman" w:cs="Times New Roman"/>
              <w:color w:val="auto"/>
            </w:rPr>
            <w:t>BAB IV</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72</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"_Toc199801680" </w:instrText>
          </w:r>
          <w:r>
            <w:fldChar w:fldCharType="separate"/>
          </w:r>
          <w:r>
            <w:rPr>
              <w:rStyle w:val="18"/>
              <w:rFonts w:ascii="Times New Roman" w:hAnsi="Times New Roman" w:cs="Times New Roman"/>
              <w:color w:val="auto"/>
            </w:rPr>
            <w:t>HASIL ANALISIS KEPUTUSAN PRESIDEN NOMOR 1/G/2023</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72</w:t>
          </w:r>
        </w:p>
        <w:p>
          <w:pPr>
            <w:pStyle w:val="14"/>
            <w:tabs>
              <w:tab w:val="right" w:leader="dot" w:pos="5773"/>
            </w:tabs>
            <w:spacing w:after="0" w:line="312" w:lineRule="auto"/>
            <w:ind w:left="642" w:leftChars="129" w:hanging="358" w:hangingChars="163"/>
            <w:jc w:val="both"/>
            <w:rPr>
              <w:rFonts w:ascii="Times New Roman" w:hAnsi="Times New Roman" w:cs="Times New Roman"/>
              <w:lang w:val="en-US"/>
            </w:rPr>
          </w:pPr>
          <w:r>
            <w:fldChar w:fldCharType="begin"/>
          </w:r>
          <w:r>
            <w:instrText xml:space="preserve"> HYPERLINK \l "_Toc199801681" </w:instrText>
          </w:r>
          <w:r>
            <w:fldChar w:fldCharType="separate"/>
          </w:r>
          <w:r>
            <w:rPr>
              <w:rStyle w:val="18"/>
              <w:rFonts w:ascii="Times New Roman" w:hAnsi="Times New Roman" w:cs="Times New Roman"/>
              <w:color w:val="auto"/>
            </w:rPr>
            <w:t>A.</w:t>
          </w:r>
          <w:r>
            <w:rPr>
              <w:rFonts w:ascii="Times New Roman" w:hAnsi="Times New Roman" w:cs="Times New Roman"/>
            </w:rPr>
            <w:tab/>
          </w:r>
          <w:r>
            <w:rPr>
              <w:rStyle w:val="18"/>
              <w:rFonts w:ascii="Times New Roman" w:hAnsi="Times New Roman" w:cs="Times New Roman"/>
              <w:color w:val="auto"/>
            </w:rPr>
            <w:t>Narkotika dan Pengampunan Dalam Hukum Pidana Islam</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72</w:t>
          </w:r>
        </w:p>
        <w:p>
          <w:pPr>
            <w:pStyle w:val="13"/>
            <w:tabs>
              <w:tab w:val="left" w:pos="720"/>
              <w:tab w:val="right" w:leader="dot" w:pos="5773"/>
            </w:tabs>
            <w:spacing w:after="0" w:line="312" w:lineRule="auto"/>
            <w:ind w:left="642" w:leftChars="129" w:hanging="358" w:hangingChars="163"/>
            <w:jc w:val="both"/>
            <w:rPr>
              <w:rFonts w:ascii="Times New Roman" w:hAnsi="Times New Roman" w:cs="Times New Roman"/>
              <w:lang w:val="en-US"/>
            </w:rPr>
          </w:pPr>
          <w:r>
            <w:fldChar w:fldCharType="begin"/>
          </w:r>
          <w:r>
            <w:instrText xml:space="preserve"> HYPERLINK \l "_Toc199801682" </w:instrText>
          </w:r>
          <w:r>
            <w:fldChar w:fldCharType="separate"/>
          </w:r>
          <w:r>
            <w:rPr>
              <w:rStyle w:val="18"/>
              <w:rFonts w:ascii="Times New Roman" w:hAnsi="Times New Roman" w:cs="Times New Roman"/>
              <w:color w:val="auto"/>
            </w:rPr>
            <w:t>B.</w:t>
          </w:r>
          <w:r>
            <w:rPr>
              <w:rFonts w:ascii="Times New Roman" w:hAnsi="Times New Roman" w:cs="Times New Roman"/>
            </w:rPr>
            <w:tab/>
          </w:r>
          <w:r>
            <w:rPr>
              <w:rStyle w:val="18"/>
              <w:rFonts w:ascii="Times New Roman" w:hAnsi="Times New Roman" w:cs="Times New Roman"/>
              <w:color w:val="auto"/>
            </w:rPr>
            <w:t xml:space="preserve">Narkotika dan </w:t>
          </w:r>
          <w:r>
            <w:rPr>
              <w:rStyle w:val="18"/>
              <w:rFonts w:ascii="Times New Roman" w:hAnsi="Times New Roman" w:cs="Times New Roman"/>
              <w:color w:val="auto"/>
              <w:lang w:val="en-US"/>
            </w:rPr>
            <w:t xml:space="preserve">Proses Pemberian Grasi </w:t>
          </w:r>
          <w:r>
            <w:rPr>
              <w:rStyle w:val="18"/>
              <w:rFonts w:ascii="Times New Roman" w:hAnsi="Times New Roman" w:cs="Times New Roman"/>
              <w:color w:val="auto"/>
            </w:rPr>
            <w:t>Grasi Dalam Hukum Pidana</w:t>
          </w:r>
          <w:r>
            <w:rPr>
              <w:rStyle w:val="18"/>
              <w:rFonts w:ascii="Times New Roman" w:hAnsi="Times New Roman" w:cs="Times New Roman"/>
              <w:color w:val="auto"/>
              <w:lang w:val="en-US"/>
            </w:rPr>
            <w:t xml:space="preserve"> (Keppres Nomor 1/G/2023)</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109</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"_Toc199801684" </w:instrText>
          </w:r>
          <w:r>
            <w:fldChar w:fldCharType="separate"/>
          </w:r>
          <w:r>
            <w:rPr>
              <w:rStyle w:val="18"/>
              <w:rFonts w:ascii="Times New Roman" w:hAnsi="Times New Roman" w:cs="Times New Roman"/>
              <w:color w:val="auto"/>
            </w:rPr>
            <w:t>BAB V</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130</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"_Toc199801685" </w:instrText>
          </w:r>
          <w:r>
            <w:fldChar w:fldCharType="separate"/>
          </w:r>
          <w:r>
            <w:rPr>
              <w:lang w:val="en-US"/>
            </w:rPr>
            <w:t>PENUTUP</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129</w:t>
          </w:r>
        </w:p>
        <w:p>
          <w:pPr>
            <w:pStyle w:val="13"/>
            <w:tabs>
              <w:tab w:val="left" w:pos="660"/>
              <w:tab w:val="left" w:pos="720"/>
              <w:tab w:val="right" w:leader="dot" w:pos="5773"/>
            </w:tabs>
            <w:spacing w:after="0" w:line="312" w:lineRule="auto"/>
            <w:ind w:left="660" w:leftChars="100" w:hanging="440" w:hangingChars="200"/>
            <w:jc w:val="both"/>
            <w:rPr>
              <w:rFonts w:ascii="Times New Roman" w:hAnsi="Times New Roman" w:cs="Times New Roman"/>
              <w:lang w:val="en-US"/>
            </w:rPr>
          </w:pPr>
          <w:r>
            <w:fldChar w:fldCharType="begin"/>
          </w:r>
          <w:r>
            <w:instrText xml:space="preserve"> HYPERLINK \l "_Toc199801686" </w:instrText>
          </w:r>
          <w:r>
            <w:fldChar w:fldCharType="separate"/>
          </w:r>
          <w:r>
            <w:rPr>
              <w:rStyle w:val="18"/>
              <w:rFonts w:ascii="Times New Roman" w:hAnsi="Times New Roman" w:cs="Times New Roman"/>
              <w:color w:val="auto"/>
            </w:rPr>
            <w:t>A.</w:t>
          </w:r>
          <w:r>
            <w:rPr>
              <w:rFonts w:ascii="Times New Roman" w:hAnsi="Times New Roman" w:cs="Times New Roman"/>
            </w:rPr>
            <w:tab/>
          </w:r>
          <w:r>
            <w:rPr>
              <w:rStyle w:val="18"/>
              <w:rFonts w:ascii="Times New Roman" w:hAnsi="Times New Roman" w:cs="Times New Roman"/>
              <w:color w:val="auto"/>
            </w:rPr>
            <w:t>Kesimpulan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129</w:t>
          </w:r>
        </w:p>
        <w:p>
          <w:pPr>
            <w:pStyle w:val="13"/>
            <w:tabs>
              <w:tab w:val="left" w:pos="660"/>
              <w:tab w:val="left" w:pos="720"/>
              <w:tab w:val="right" w:leader="dot" w:pos="5773"/>
            </w:tabs>
            <w:spacing w:after="0" w:line="312" w:lineRule="auto"/>
            <w:ind w:left="660" w:leftChars="100" w:hanging="440" w:hangingChars="200"/>
            <w:jc w:val="both"/>
            <w:rPr>
              <w:rFonts w:ascii="Times New Roman" w:hAnsi="Times New Roman" w:cs="Times New Roman"/>
              <w:lang w:val="en-US"/>
            </w:rPr>
          </w:pPr>
          <w:r>
            <w:fldChar w:fldCharType="begin"/>
          </w:r>
          <w:r>
            <w:instrText xml:space="preserve"> HYPERLINK \l "_Toc199801687" </w:instrText>
          </w:r>
          <w:r>
            <w:fldChar w:fldCharType="separate"/>
          </w:r>
          <w:r>
            <w:rPr>
              <w:rStyle w:val="18"/>
              <w:rFonts w:ascii="Times New Roman" w:hAnsi="Times New Roman" w:cs="Times New Roman"/>
              <w:color w:val="auto"/>
            </w:rPr>
            <w:t>B.</w:t>
          </w:r>
          <w:r>
            <w:rPr>
              <w:rFonts w:ascii="Times New Roman" w:hAnsi="Times New Roman" w:cs="Times New Roman"/>
            </w:rPr>
            <w:tab/>
          </w:r>
          <w:r>
            <w:rPr>
              <w:rStyle w:val="18"/>
              <w:rFonts w:ascii="Times New Roman" w:hAnsi="Times New Roman" w:cs="Times New Roman"/>
              <w:color w:val="auto"/>
            </w:rPr>
            <w:t>Saran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131</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"_Toc199801688" </w:instrText>
          </w:r>
          <w:r>
            <w:fldChar w:fldCharType="separate"/>
          </w:r>
          <w:r>
            <w:rPr>
              <w:rStyle w:val="18"/>
              <w:rFonts w:ascii="Times New Roman" w:hAnsi="Times New Roman" w:cs="Times New Roman"/>
              <w:color w:val="auto"/>
            </w:rPr>
            <w:t>DAFTAR PUSTAKA</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133</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"_Toc199801689" </w:instrText>
          </w:r>
          <w:r>
            <w:fldChar w:fldCharType="separate"/>
          </w:r>
          <w:r>
            <w:rPr>
              <w:rFonts w:ascii="Times New Roman" w:hAnsi="Times New Roman" w:cs="Times New Roman"/>
              <w:lang w:val="en-US"/>
            </w:rPr>
            <w:t>LAMPIRAN</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141</w:t>
          </w:r>
        </w:p>
        <w:p>
          <w:pPr>
            <w:pStyle w:val="12"/>
            <w:tabs>
              <w:tab w:val="right" w:leader="dot" w:pos="5773"/>
            </w:tabs>
            <w:spacing w:after="0" w:line="312" w:lineRule="auto"/>
            <w:jc w:val="both"/>
            <w:rPr>
              <w:rFonts w:ascii="Times New Roman" w:hAnsi="Times New Roman" w:cs="Times New Roman"/>
              <w:lang w:val="en-US"/>
            </w:rPr>
          </w:pPr>
          <w:r>
            <w:fldChar w:fldCharType="begin"/>
          </w:r>
          <w:r>
            <w:instrText xml:space="preserve"> HYPERLINK \l "_Toc199801689" </w:instrText>
          </w:r>
          <w:r>
            <w:fldChar w:fldCharType="separate"/>
          </w:r>
          <w:r>
            <w:rPr>
              <w:rStyle w:val="18"/>
              <w:rFonts w:ascii="Times New Roman" w:hAnsi="Times New Roman" w:cs="Times New Roman"/>
              <w:color w:val="auto"/>
            </w:rPr>
            <w:t xml:space="preserve">DAFTAR </w:t>
          </w:r>
          <w:r>
            <w:rPr>
              <w:rStyle w:val="18"/>
              <w:rFonts w:ascii="Times New Roman" w:hAnsi="Times New Roman" w:cs="Times New Roman"/>
              <w:color w:val="auto"/>
              <w:lang w:val="en-US"/>
            </w:rPr>
            <w:t>RIWAYAT</w:t>
          </w:r>
          <w:r>
            <w:rPr>
              <w:rStyle w:val="18"/>
              <w:rFonts w:ascii="Times New Roman" w:hAnsi="Times New Roman" w:cs="Times New Roman"/>
              <w:color w:val="auto"/>
            </w:rPr>
            <w:t xml:space="preserve"> HIDUP</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143</w:t>
          </w:r>
        </w:p>
        <w:p/>
        <w:p>
          <w:pPr>
            <w:pStyle w:val="12"/>
            <w:tabs>
              <w:tab w:val="right" w:leader="dot" w:pos="5773"/>
            </w:tabs>
            <w:spacing w:after="0" w:line="312" w:lineRule="auto"/>
            <w:jc w:val="both"/>
            <w:rPr>
              <w:rFonts w:ascii="Times New Roman" w:hAnsi="Times New Roman" w:cs="Times New Roman"/>
              <w:lang w:val="en-US"/>
            </w:rPr>
          </w:pPr>
        </w:p>
        <w:p/>
        <w:p>
          <w:pPr>
            <w:rPr>
              <w:rFonts w:ascii="Times New Roman" w:hAnsi="Times New Roman" w:cs="Times New Roman"/>
            </w:rPr>
          </w:pPr>
        </w:p>
        <w:p>
          <w:pPr>
            <w:spacing w:after="0" w:line="312" w:lineRule="auto"/>
            <w:jc w:val="both"/>
            <w:rPr>
              <w:b/>
              <w:bCs/>
            </w:rPr>
          </w:pPr>
          <w:r>
            <w:rPr>
              <w:rFonts w:ascii="Times New Roman" w:hAnsi="Times New Roman" w:cs="Times New Roman"/>
              <w:b/>
              <w:bCs/>
            </w:rPr>
            <w:fldChar w:fldCharType="end"/>
          </w:r>
        </w:p>
      </w:sdtContent>
    </w:sdt>
    <w:p>
      <w:pPr>
        <w:spacing w:after="0" w:line="312" w:lineRule="auto"/>
        <w:jc w:val="both"/>
        <w:rPr>
          <w:b/>
          <w:bCs/>
        </w:rPr>
      </w:pPr>
    </w:p>
    <w:sdt>
      <w:sdtPr>
        <w:rPr>
          <w:rFonts w:ascii="Times New Roman" w:hAnsi="Times New Roman" w:cs="Times New Roman"/>
        </w:rPr>
        <w:id w:val="603850853"/>
        <w:showingPlcHdr/>
        <w:docPartObj>
          <w:docPartGallery w:val="Table of Contents"/>
          <w:docPartUnique/>
        </w:docPartObj>
      </w:sdtPr>
      <w:sdtEndPr>
        <w:rPr>
          <w:rFonts w:ascii="Calibri" w:hAnsi="Calibri" w:cs="Arial"/>
          <w:b/>
          <w:bCs/>
        </w:rPr>
      </w:sdtEndPr>
      <w:sdtContent>
        <w:p>
          <w:pPr>
            <w:spacing w:after="0" w:line="312" w:lineRule="auto"/>
            <w:jc w:val="both"/>
          </w:pPr>
        </w:p>
      </w:sdtContent>
    </w:sdt>
    <w:p>
      <w:pPr>
        <w:rPr>
          <w:lang w:val="en-US"/>
        </w:rPr>
      </w:pPr>
    </w:p>
    <w:p>
      <w:pPr>
        <w:rPr>
          <w:lang w:val="en-US"/>
        </w:rPr>
      </w:pPr>
    </w:p>
    <w:p>
      <w:pPr>
        <w:rPr>
          <w:lang w:val="en-US"/>
        </w:rPr>
      </w:pPr>
    </w:p>
    <w:p>
      <w:pPr>
        <w:tabs>
          <w:tab w:val="left" w:pos="90"/>
        </w:tabs>
        <w:spacing w:after="0" w:line="360" w:lineRule="auto"/>
        <w:ind w:right="-99" w:rightChars="-45"/>
        <w:jc w:val="both"/>
        <w:rPr>
          <w:rFonts w:ascii="Times New Roman" w:hAnsi="Times New Roman" w:cs="Times New Roman"/>
          <w:b/>
          <w:bCs/>
          <w:sz w:val="24"/>
          <w:szCs w:val="24"/>
          <w:lang w:val="en-US"/>
        </w:rPr>
      </w:pPr>
    </w:p>
    <w:p>
      <w:pPr>
        <w:tabs>
          <w:tab w:val="left" w:pos="90"/>
        </w:tabs>
        <w:spacing w:after="0" w:line="360" w:lineRule="auto"/>
        <w:ind w:right="-99" w:rightChars="-45"/>
        <w:jc w:val="both"/>
        <w:rPr>
          <w:rFonts w:ascii="Times New Roman" w:hAnsi="Times New Roman" w:cs="Times New Roman"/>
          <w:b/>
          <w:bCs/>
          <w:sz w:val="24"/>
          <w:szCs w:val="24"/>
          <w:lang w:val="en-US"/>
        </w:rPr>
      </w:pPr>
    </w:p>
    <w:p>
      <w:pPr>
        <w:tabs>
          <w:tab w:val="left" w:pos="90"/>
        </w:tabs>
        <w:spacing w:after="0" w:line="360" w:lineRule="auto"/>
        <w:ind w:right="-99" w:rightChars="-45"/>
        <w:jc w:val="both"/>
        <w:rPr>
          <w:rFonts w:ascii="Times New Roman" w:hAnsi="Times New Roman" w:cs="Times New Roman"/>
          <w:b/>
          <w:bCs/>
          <w:sz w:val="24"/>
          <w:szCs w:val="24"/>
          <w:lang w:val="en-US"/>
        </w:rPr>
      </w:pPr>
    </w:p>
    <w:p>
      <w:pPr>
        <w:tabs>
          <w:tab w:val="left" w:pos="90"/>
        </w:tabs>
        <w:spacing w:after="0" w:line="360" w:lineRule="auto"/>
        <w:ind w:right="-99" w:rightChars="-45"/>
        <w:jc w:val="both"/>
        <w:rPr>
          <w:rFonts w:ascii="Times New Roman" w:hAnsi="Times New Roman" w:cs="Times New Roman"/>
          <w:b/>
          <w:bCs/>
          <w:sz w:val="24"/>
          <w:szCs w:val="24"/>
          <w:lang w:val="en-US"/>
        </w:rPr>
      </w:pPr>
    </w:p>
    <w:p>
      <w:pPr>
        <w:tabs>
          <w:tab w:val="left" w:pos="90"/>
        </w:tabs>
        <w:spacing w:after="0" w:line="360" w:lineRule="auto"/>
        <w:ind w:right="-99" w:rightChars="-45"/>
        <w:jc w:val="both"/>
        <w:rPr>
          <w:rFonts w:ascii="Times New Roman" w:hAnsi="Times New Roman" w:cs="Times New Roman"/>
          <w:b/>
          <w:bCs/>
          <w:sz w:val="24"/>
          <w:szCs w:val="24"/>
          <w:lang w:val="en-US"/>
        </w:rPr>
      </w:pPr>
    </w:p>
    <w:p>
      <w:pPr>
        <w:pStyle w:val="2"/>
        <w:rPr>
          <w:sz w:val="24"/>
          <w:szCs w:val="24"/>
        </w:rPr>
      </w:pPr>
      <w:r>
        <w:rPr>
          <w:sz w:val="24"/>
          <w:szCs w:val="24"/>
        </w:rPr>
        <w:t>DAFTAR TA</w:t>
      </w:r>
      <w:bookmarkStart w:id="9" w:name="_Toc199801649"/>
      <w:r>
        <w:rPr>
          <w:sz w:val="24"/>
          <w:szCs w:val="24"/>
        </w:rPr>
        <w:t>BEL</w:t>
      </w:r>
    </w:p>
    <w:p>
      <w:pPr>
        <w:rPr>
          <w:lang w:val="en-US"/>
        </w:rPr>
      </w:pPr>
    </w:p>
    <w:p>
      <w:pPr>
        <w:pStyle w:val="12"/>
        <w:tabs>
          <w:tab w:val="right" w:leader="dot" w:pos="5773"/>
        </w:tabs>
        <w:spacing w:after="0" w:line="312" w:lineRule="auto"/>
        <w:jc w:val="both"/>
        <w:rPr>
          <w:rFonts w:ascii="Times New Roman" w:hAnsi="Times New Roman" w:cs="Times New Roman"/>
          <w:lang w:val="en-US"/>
        </w:rPr>
        <w:sectPr>
          <w:headerReference r:id="rId7" w:type="default"/>
          <w:footerReference r:id="rId8" w:type="default"/>
          <w:pgSz w:w="8335" w:h="11850"/>
          <w:pgMar w:top="1418" w:right="1134" w:bottom="1134" w:left="1418" w:header="720" w:footer="720" w:gutter="0"/>
          <w:pgNumType w:fmt="lowerRoman" w:start="2" w:chapStyle="1"/>
          <w:cols w:space="720" w:num="1"/>
        </w:sectPr>
      </w:pPr>
      <w:r>
        <w:fldChar w:fldCharType="begin"/>
      </w:r>
      <w:r>
        <w:instrText xml:space="preserve"> HYPERLINK \l "_Toc199801689" </w:instrText>
      </w:r>
      <w:r>
        <w:fldChar w:fldCharType="separate"/>
      </w:r>
      <w:r>
        <w:rPr>
          <w:rFonts w:ascii="Times New Roman" w:hAnsi="Times New Roman" w:cs="Times New Roman"/>
          <w:lang w:val="en-US"/>
        </w:rPr>
        <w:t>Tabel 4.1 Kepastian Hukum Keppres Nomor 1/G/2023</w:t>
      </w:r>
      <w:r>
        <w:rPr>
          <w:rFonts w:ascii="Times New Roman" w:hAnsi="Times New Roman" w:cs="Times New Roman"/>
        </w:rPr>
        <w:tab/>
      </w:r>
      <w:r>
        <w:rPr>
          <w:rFonts w:ascii="Times New Roman" w:hAnsi="Times New Roman" w:cs="Times New Roman"/>
        </w:rPr>
        <w:fldChar w:fldCharType="end"/>
      </w:r>
      <w:r>
        <w:rPr>
          <w:rFonts w:ascii="Times New Roman" w:hAnsi="Times New Roman" w:cs="Times New Roman"/>
          <w:lang w:val="en-US"/>
        </w:rPr>
        <w:t>115</w:t>
      </w:r>
    </w:p>
    <w:p>
      <w:pPr>
        <w:pStyle w:val="2"/>
        <w:rPr>
          <w:sz w:val="24"/>
          <w:szCs w:val="24"/>
        </w:rPr>
      </w:pPr>
      <w:r>
        <w:rPr>
          <w:sz w:val="24"/>
          <w:szCs w:val="24"/>
        </w:rPr>
        <w:t>BAB I</w:t>
      </w:r>
      <w:bookmarkEnd w:id="9"/>
    </w:p>
    <w:p>
      <w:pPr>
        <w:pStyle w:val="2"/>
        <w:rPr>
          <w:sz w:val="24"/>
          <w:szCs w:val="24"/>
        </w:rPr>
      </w:pPr>
      <w:bookmarkStart w:id="10" w:name="_Toc199801650"/>
      <w:r>
        <w:rPr>
          <w:sz w:val="24"/>
          <w:szCs w:val="24"/>
        </w:rPr>
        <w:t>PENDAHULUAN</w:t>
      </w:r>
      <w:bookmarkEnd w:id="10"/>
    </w:p>
    <w:p>
      <w:pPr>
        <w:pStyle w:val="3"/>
      </w:pPr>
      <w:bookmarkStart w:id="11" w:name="_Toc199801651"/>
      <w:r>
        <w:t>Latar Belakang</w:t>
      </w:r>
      <w:bookmarkEnd w:id="11"/>
    </w:p>
    <w:p>
      <w:pPr>
        <w:tabs>
          <w:tab w:val="left" w:pos="426"/>
          <w:tab w:val="left" w:pos="851"/>
        </w:tabs>
        <w:spacing w:after="0" w:line="312" w:lineRule="auto"/>
        <w:ind w:left="426" w:right="-99" w:rightChars="-45" w:firstLine="567"/>
        <w:jc w:val="both"/>
        <w:rPr>
          <w:rFonts w:ascii="Times New Roman" w:hAnsi="Times New Roman" w:eastAsia="SimSun" w:cs="Times New Roman"/>
          <w:lang w:val="en-US"/>
        </w:rPr>
      </w:pPr>
      <w:r>
        <w:rPr>
          <w:rFonts w:ascii="Times New Roman" w:hAnsi="Times New Roman" w:eastAsia="SimSun" w:cs="Times New Roman"/>
          <w:lang w:val="en-US"/>
        </w:rPr>
        <w:t>Indonesia adalah negara dengan sistem Presidensial yang dipimpin oleh seorang Presiden, dengan wewenang penuh atas negaranya. Di Indonesia Presiden memiliki hak istimewa yaitu hak prerogatif yang melekat. Hak proregatif adalah hak istimewa yang dipegang presiden guna melakukan sesuatu dengan tanpa izin lembaga lain. Salah satu hak proregatif Presiden adalah mengambil putusan pemberian grasi kepada mereka yang terlibat proses hukum. Sebagaimana disebutkan dalam UUD 1945 Pasal 14 Ayat (1) yang berbunyi: “</w:t>
      </w:r>
      <w:r>
        <w:rPr>
          <w:rFonts w:ascii="Times New Roman" w:hAnsi="Times New Roman" w:eastAsia="SimSun" w:cs="Times New Roman"/>
        </w:rPr>
        <w:t>Presiden memberikan grasi dan rehabilitasi dengan memperhatikan pertimbangan Mahkamah Agun</w:t>
      </w:r>
      <w:r>
        <w:rPr>
          <w:rFonts w:ascii="Times New Roman" w:hAnsi="Times New Roman" w:eastAsia="SimSun" w:cs="Times New Roman"/>
          <w:lang w:val="en-US"/>
        </w:rPr>
        <w:t>g”.</w:t>
      </w:r>
      <w:r>
        <w:rPr>
          <w:rStyle w:val="17"/>
          <w:rFonts w:ascii="Times New Roman" w:hAnsi="Times New Roman" w:eastAsia="SimSun" w:cs="Times New Roman"/>
          <w:lang w:val="en-US"/>
        </w:rPr>
        <w:footnoteReference w:id="1"/>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cs="Times New Roman"/>
          <w:lang w:val="en-US"/>
        </w:rPr>
        <w:t>Undang-Undang No 22 Tahun 2002, kemudian disempurnakan dengan UU NO 5 Tahun 2010 tentang Grasiperubahan atas UU No 22 Tahun 2002 Tentang Grasi (selanjutnya disebut dengan UU Grasi). Grasi merupakan hak konstitusional sebagai Kepala Negara. Menurut UU Grasi Pasal 1, pengertian Grasi adalah “Pengampunan berupa perubahan, peringanan, pengurangan, atau penghapusan pelaksanaan pidana kepada terpidana yang diberikan oleh Presiden”.</w:t>
      </w:r>
      <w:r>
        <w:rPr>
          <w:rStyle w:val="17"/>
          <w:rFonts w:ascii="Times New Roman" w:hAnsi="Times New Roman" w:cs="Times New Roman"/>
          <w:lang w:val="en-US"/>
        </w:rPr>
        <w:footnoteReference w:id="2"/>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eastAsia="SimSun" w:cs="Times New Roman"/>
          <w:lang w:val="en-US"/>
        </w:rPr>
        <w:t>Berdasarkan ketentuan Pasal 2 UU Grasi Nomor 5 Tahun 2010 yang dapat mengajukan grasi kepada Presiden adalah terpidana yang telah memperoleh kekuatan hukum tetap.</w:t>
      </w:r>
      <w:r>
        <w:rPr>
          <w:rStyle w:val="17"/>
          <w:rFonts w:ascii="Times New Roman" w:hAnsi="Times New Roman" w:eastAsia="SimSun" w:cs="Times New Roman"/>
          <w:lang w:val="en-US"/>
        </w:rPr>
        <w:footnoteReference w:id="3"/>
      </w:r>
      <w:r>
        <w:rPr>
          <w:rFonts w:ascii="Times New Roman" w:hAnsi="Times New Roman" w:eastAsia="SimSun" w:cs="Times New Roman"/>
          <w:lang w:val="en-US"/>
        </w:rPr>
        <w:t xml:space="preserve"> Putusan yang dapat diajukan permohonan grasi kepada Presiden adalah Pidana penjara seumur hidup, pidana mati dan penjara paling rendah 2 Tahun. Grasi merupakan hak yang dimiliki oleh terpidana, untuk itu terpidana yang sudah memiliki hukum tetap bisa meminta kuasa hukum, keluarga atu terpidana sendiri untuk mengajukan grasi kepada Presiden. </w:t>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eastAsia="SimSun" w:cs="Times New Roman"/>
          <w:lang w:val="en-US"/>
        </w:rPr>
        <w:t>Salah satu yang dapat mengajukan grasi adalah pidana mati kasus narkotika. Permohonan grasi terhadap hukaman mati kasus narkotika sudah berjalan di Indonesia. Narkotika adalah obat bersal dari tanaman atau bukan tanaman, yang menimbulkan beberapa kemungkinan karena penggunaannya. Bisa menimbulkan perubahan kesadaran dan penurunan, kehilangan rasa, dapat juga mengurangi rasa nyeri. Narotika dapat menimbulkan ketergantungan yang berakibat fatal.</w:t>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eastAsia="SimSun" w:cs="Times New Roman"/>
          <w:lang w:val="en-US"/>
        </w:rPr>
        <w:t xml:space="preserve">Hukum pidana di Indonesia telah mengatur Undang-Undang mengenai Narkotika, tercantum dalam UUD 1945 Pasal 35 Tahun 2009. Sanksi tindak pidana narkotika bermacam-macam tergantung sebagai bandar, pengedar atau pengguna narkotika. </w:t>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eastAsia="SimSun" w:cs="Times New Roman"/>
          <w:lang w:val="en-US"/>
        </w:rPr>
        <w:t xml:space="preserve">Hukuman mati akan diberikan kepada terpidana, ketika menjadi bandar narkotika. Bandar narkotika adalah orang yang melakukan kegiatan peredaran, pengedaran, atau penyalahgunaan narkotika dalam jumlah besar. Pasal yang tekait dengan hukuman tersebut adalah Pasal 114-116 Undang-Undang narkotika, yang berbunyi: </w:t>
      </w:r>
    </w:p>
    <w:p>
      <w:pPr>
        <w:numPr>
          <w:ilvl w:val="0"/>
          <w:numId w:val="13"/>
        </w:numPr>
        <w:tabs>
          <w:tab w:val="left" w:pos="90"/>
          <w:tab w:val="clear" w:pos="425"/>
        </w:tabs>
        <w:spacing w:after="0" w:line="312" w:lineRule="auto"/>
        <w:ind w:left="865" w:right="-99" w:rightChars="-45"/>
        <w:jc w:val="both"/>
        <w:rPr>
          <w:rFonts w:ascii="Times New Roman" w:hAnsi="Times New Roman" w:cs="Times New Roman"/>
          <w:lang w:val="en-US"/>
        </w:rPr>
      </w:pPr>
      <w:r>
        <w:rPr>
          <w:rFonts w:ascii="Times New Roman" w:hAnsi="Times New Roman" w:cs="Times New Roman"/>
        </w:rPr>
        <w:t>Pasal 114 mengatur</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H</w:t>
      </w:r>
      <w:r>
        <w:rPr>
          <w:rFonts w:ascii="Times New Roman" w:hAnsi="Times New Roman" w:cs="Times New Roman"/>
        </w:rPr>
        <w:t xml:space="preserve">ukuman penjara </w:t>
      </w:r>
      <w:r>
        <w:rPr>
          <w:rFonts w:ascii="Times New Roman" w:hAnsi="Times New Roman" w:cs="Times New Roman"/>
          <w:lang w:val="en-US"/>
        </w:rPr>
        <w:t>seumur</w:t>
      </w:r>
      <w:r>
        <w:rPr>
          <w:rFonts w:ascii="Times New Roman" w:hAnsi="Times New Roman" w:cs="Times New Roman"/>
        </w:rPr>
        <w:t xml:space="preserve"> hidup</w:t>
      </w:r>
      <w:r>
        <w:rPr>
          <w:rFonts w:ascii="Times New Roman" w:hAnsi="Times New Roman" w:cs="Times New Roman"/>
          <w:lang w:val="en-US"/>
        </w:rPr>
        <w:t>,</w:t>
      </w:r>
      <w:r>
        <w:rPr>
          <w:rFonts w:ascii="Times New Roman" w:hAnsi="Times New Roman" w:cs="Times New Roman"/>
        </w:rPr>
        <w:t xml:space="preserve"> atau hukuman mati bagi bandar narkotika yang memiliki atau menguasai narkotika dalam jumlah tertentu.</w:t>
      </w:r>
      <w:r>
        <w:rPr>
          <w:rFonts w:ascii="Times New Roman" w:hAnsi="Times New Roman" w:cs="Times New Roman"/>
          <w:lang w:val="en-US"/>
        </w:rPr>
        <w:t xml:space="preserve"> </w:t>
      </w:r>
    </w:p>
    <w:p>
      <w:pPr>
        <w:numPr>
          <w:ilvl w:val="0"/>
          <w:numId w:val="13"/>
        </w:numPr>
        <w:tabs>
          <w:tab w:val="left" w:pos="90"/>
          <w:tab w:val="clear" w:pos="425"/>
        </w:tabs>
        <w:spacing w:after="0" w:line="312" w:lineRule="auto"/>
        <w:ind w:left="865" w:right="-99" w:rightChars="-45"/>
        <w:jc w:val="both"/>
        <w:rPr>
          <w:rFonts w:ascii="Times New Roman" w:hAnsi="Times New Roman" w:cs="Times New Roman"/>
          <w:lang w:val="en-US"/>
        </w:rPr>
      </w:pPr>
      <w:r>
        <w:rPr>
          <w:rFonts w:ascii="Times New Roman" w:hAnsi="Times New Roman" w:cs="Times New Roman"/>
        </w:rPr>
        <w:t>Pasal 115 mengatur</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H</w:t>
      </w:r>
      <w:r>
        <w:rPr>
          <w:rFonts w:ascii="Times New Roman" w:hAnsi="Times New Roman" w:cs="Times New Roman"/>
        </w:rPr>
        <w:t xml:space="preserve">ukuman penjara </w:t>
      </w:r>
      <w:r>
        <w:rPr>
          <w:rFonts w:ascii="Times New Roman" w:hAnsi="Times New Roman" w:cs="Times New Roman"/>
          <w:lang w:val="en-US"/>
        </w:rPr>
        <w:t>seumur</w:t>
      </w:r>
      <w:r>
        <w:rPr>
          <w:rFonts w:ascii="Times New Roman" w:hAnsi="Times New Roman" w:cs="Times New Roman"/>
        </w:rPr>
        <w:t xml:space="preserve"> hidup atau hukuman mati bagi bandar narkotika yang melakukan produksi, pengolahan, atau penyediaan narkotika dalam jumlah tertentu.</w:t>
      </w:r>
      <w:r>
        <w:rPr>
          <w:rFonts w:ascii="Times New Roman" w:hAnsi="Times New Roman" w:cs="Times New Roman"/>
          <w:lang w:val="en-US"/>
        </w:rPr>
        <w:t xml:space="preserve"> </w:t>
      </w:r>
    </w:p>
    <w:p>
      <w:pPr>
        <w:numPr>
          <w:ilvl w:val="0"/>
          <w:numId w:val="13"/>
        </w:numPr>
        <w:tabs>
          <w:tab w:val="left" w:pos="90"/>
          <w:tab w:val="clear" w:pos="425"/>
        </w:tabs>
        <w:spacing w:after="0" w:line="312" w:lineRule="auto"/>
        <w:ind w:left="865" w:right="-99" w:rightChars="-45"/>
        <w:jc w:val="both"/>
        <w:rPr>
          <w:rFonts w:ascii="Times New Roman" w:hAnsi="Times New Roman" w:cs="Times New Roman"/>
        </w:rPr>
      </w:pPr>
      <w:r>
        <w:rPr>
          <w:rFonts w:ascii="Times New Roman" w:hAnsi="Times New Roman" w:cs="Times New Roman"/>
        </w:rPr>
        <w:t>Pasal 116 mengatur</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H</w:t>
      </w:r>
      <w:r>
        <w:rPr>
          <w:rFonts w:ascii="Times New Roman" w:hAnsi="Times New Roman" w:cs="Times New Roman"/>
        </w:rPr>
        <w:t xml:space="preserve">ukuman penjara </w:t>
      </w:r>
      <w:r>
        <w:rPr>
          <w:rFonts w:ascii="Times New Roman" w:hAnsi="Times New Roman" w:cs="Times New Roman"/>
          <w:lang w:val="en-US"/>
        </w:rPr>
        <w:t>seumur</w:t>
      </w:r>
      <w:r>
        <w:rPr>
          <w:rFonts w:ascii="Times New Roman" w:hAnsi="Times New Roman" w:cs="Times New Roman"/>
        </w:rPr>
        <w:t xml:space="preserve"> hidup atau hukuman mati bagi bandar narkotika yang mengedarkan atau menyediakan narkotika kepada orang lain.</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rPr>
        <w:t>Di Indonesia grasi yang diberikan Presiden Jokowi kepada terpidana hukuman mati kasus narkotika pernah terjadi 1 kali pada Tahun 2023 kepada terpidana Merri Utami (</w:t>
      </w:r>
      <w:r>
        <w:rPr>
          <w:rFonts w:ascii="Times New Roman" w:hAnsi="Times New Roman" w:cs="Times New Roman"/>
          <w:lang w:val="en-US"/>
        </w:rPr>
        <w:t>MU )</w:t>
      </w:r>
      <w:r>
        <w:rPr>
          <w:rFonts w:ascii="Times New Roman" w:hAnsi="Times New Roman" w:cs="Times New Roman"/>
        </w:rPr>
        <w:t xml:space="preserve">. Grasi ini merupakan grasi pertama yang dikabulkan oleh Presiden Jokowi terhadap hukuman mati kasus narkotika. </w:t>
      </w:r>
      <w:r>
        <w:rPr>
          <w:rFonts w:ascii="Times New Roman" w:hAnsi="Times New Roman" w:cs="Times New Roman"/>
          <w:lang w:val="en-US"/>
        </w:rPr>
        <w:t>Pada Tahun 2001 Pengadilan Negeri tangerang telah menetapkan hukuman mati kepada MU karena kedapatan membawa narkotika jenis heroin seberat 1,1 kilogram. Meskipun telah melakukan upaya hukum sampai mengajukan PK (Peninjauan Kembali), pada Juli 2016 pemberitahuan putusan PK (Peninjauan Kembali) yang dikeluarkan oleh mahkamah agung hasilnya tetap sama yaitu pidana mati.</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Pada Tahun 2016, Pemerintahan Jokowi berniat untuk mengeksekusi 14 terpidana mati kasus narkotika, MU termasuk dalam daftar pidana yang akan ditembak mati. Eksekusi tersebut ditunda sampai waktu yang tidak ditentukan, karena kuasa hukum MU mengajukan permohonan grasi kepada Presiden Jokowi. Eksekusi untuk MU ditunda sampai waktu yang tidak ditentukan. 7 Tahun berselang, pada 13 Maret 2023, grasi dari Presiden Jokowi turun dengan menandatangani (Keputusan presiden Nomor 1/G/2023), yang status hukuman berubah dari hukuman mati menjadi hukuman seumur hidup.</w:t>
      </w:r>
    </w:p>
    <w:p>
      <w:pPr>
        <w:tabs>
          <w:tab w:val="left" w:pos="90"/>
        </w:tabs>
        <w:spacing w:after="0" w:line="240" w:lineRule="auto"/>
        <w:ind w:right="-99" w:rightChars="-45"/>
        <w:jc w:val="both"/>
        <w:rPr>
          <w:rFonts w:ascii="Times New Roman" w:hAnsi="Times New Roman" w:cs="Times New Roman"/>
          <w:sz w:val="32"/>
          <w:szCs w:val="32"/>
          <w:lang w:val="en-US"/>
        </w:rPr>
      </w:pPr>
    </w:p>
    <w:p>
      <w:pPr>
        <w:tabs>
          <w:tab w:val="left" w:pos="90"/>
        </w:tabs>
        <w:spacing w:after="0" w:line="240" w:lineRule="auto"/>
        <w:ind w:left="198" w:right="-99" w:rightChars="-45" w:hanging="198" w:hangingChars="62"/>
        <w:jc w:val="right"/>
        <w:rPr>
          <w:rFonts w:ascii="Traditional Arabic" w:hAnsi="Traditional Arabic" w:cs="Traditional Arabic"/>
          <w:i/>
          <w:iCs/>
          <w:sz w:val="28"/>
          <w:szCs w:val="28"/>
          <w:lang w:val="en-US"/>
        </w:rPr>
      </w:pPr>
      <w:r>
        <w:rPr>
          <w:rFonts w:ascii="Traditional Arabic" w:hAnsi="Traditional Arabic" w:cs="Traditional Arabic"/>
          <w:sz w:val="32"/>
          <w:szCs w:val="32"/>
          <w:lang w:val="en-US"/>
        </w:rPr>
        <w:t>يَٰٓأَيُّهَا ٱلَّذِينَ ءَامَنُوٓا۟ إِنَّمَا ٱلْخَمْرُ وَٱلْمَيْسِرُ وَٱلْأَنصَابُ وَٱلْأَزْلَٰمُ رِجْسٌ مِّنْ عَمَلِ ٱلشَّيْطَٰنِ فَٱجْتَنِبُوهُ لَعَلَّكُمْ تُفْلِحُونَ</w:t>
      </w:r>
    </w:p>
    <w:p>
      <w:pPr>
        <w:tabs>
          <w:tab w:val="left" w:pos="90"/>
        </w:tabs>
        <w:spacing w:after="0" w:line="240" w:lineRule="auto"/>
        <w:ind w:left="992" w:leftChars="451" w:right="-99" w:rightChars="-45" w:firstLine="2"/>
        <w:jc w:val="both"/>
        <w:rPr>
          <w:rFonts w:ascii="Times New Roman" w:hAnsi="Times New Roman" w:cs="Times New Roman"/>
          <w:lang w:val="en-US"/>
        </w:rPr>
      </w:pPr>
      <w:r>
        <w:rPr>
          <w:rFonts w:ascii="Times New Roman" w:hAnsi="Times New Roman" w:cs="Times New Roman"/>
          <w:i/>
          <w:iCs/>
          <w:lang w:val="en-US"/>
        </w:rPr>
        <w:t xml:space="preserve">“Wahai orang-orang yang beriman Sesungguhnya minuman keras, berjudi, (berkurban untuk) berhala, dan mengundi nasib dengan anak panah, adalah perbuatan keji dan termasuk perbuatan setan. Maka jauhilah (perbuatan-perbuatan) itu agar kamu beruntung”. </w:t>
      </w:r>
      <w:r>
        <w:rPr>
          <w:rFonts w:ascii="Times New Roman" w:hAnsi="Times New Roman" w:cs="Times New Roman"/>
          <w:lang w:val="en-US"/>
        </w:rPr>
        <w:t>(QS Al Maidah:5:90)</w:t>
      </w:r>
      <w:r>
        <w:rPr>
          <w:rStyle w:val="17"/>
          <w:rFonts w:ascii="Times New Roman" w:hAnsi="Times New Roman" w:cs="Times New Roman"/>
          <w:lang w:val="en-US"/>
        </w:rPr>
        <w:footnoteReference w:id="4"/>
      </w:r>
    </w:p>
    <w:p>
      <w:pPr>
        <w:tabs>
          <w:tab w:val="left" w:pos="90"/>
        </w:tabs>
        <w:spacing w:after="0" w:line="312" w:lineRule="auto"/>
        <w:ind w:left="992" w:leftChars="451" w:right="-99" w:rightChars="-45" w:firstLine="2"/>
        <w:jc w:val="both"/>
        <w:rPr>
          <w:rFonts w:ascii="Times New Roman" w:hAnsi="Times New Roman" w:cs="Times New Roman"/>
          <w:lang w:val="en-US"/>
        </w:rPr>
      </w:pP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 xml:space="preserve">Dalam Ayat tersebut dijelaskan bahwa meminum </w:t>
      </w:r>
      <w:r>
        <w:rPr>
          <w:rFonts w:ascii="Times New Roman" w:hAnsi="Times New Roman" w:cs="Times New Roman"/>
          <w:i/>
          <w:iCs/>
          <w:lang w:val="en-US"/>
        </w:rPr>
        <w:t>khamr</w:t>
      </w:r>
      <w:r>
        <w:rPr>
          <w:rFonts w:ascii="Times New Roman" w:hAnsi="Times New Roman" w:cs="Times New Roman"/>
          <w:lang w:val="en-US"/>
        </w:rPr>
        <w:t xml:space="preserve"> adalah perbuatan keji dan termasuk pebuatan setan. Karena itu Allah untuk menjauhi perbuatan tersebut, karena efek memabukan dan merusak akal. </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Dalam Hadis diriwayatkan oleh Imam Ahmad, Rasulallah SAW bersabda:</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p>
    <w:p>
      <w:pPr>
        <w:tabs>
          <w:tab w:val="left" w:pos="440"/>
        </w:tabs>
        <w:spacing w:after="0" w:line="240" w:lineRule="auto"/>
        <w:ind w:left="440" w:right="-99" w:rightChars="-45" w:hanging="440"/>
        <w:jc w:val="right"/>
        <w:rPr>
          <w:rFonts w:ascii="Traditional Arabic" w:hAnsi="Traditional Arabic" w:cs="Traditional Arabic"/>
          <w:sz w:val="32"/>
          <w:szCs w:val="32"/>
          <w:lang w:val="en-US"/>
        </w:rPr>
      </w:pPr>
      <w:r>
        <w:rPr>
          <w:rFonts w:ascii="Traditional Arabic" w:hAnsi="Traditional Arabic" w:eastAsia="Arial" w:cs="Traditional Arabic"/>
          <w:color w:val="000000"/>
          <w:sz w:val="32"/>
          <w:szCs w:val="32"/>
          <w:shd w:val="clear" w:color="auto" w:fill="FFFFFF"/>
        </w:rPr>
        <w:t>ثَلاثَةٌ قَدْ حَرَّمَ اللّٰهُ عَلَيْهِمُ الجَنَّةَ مُدْمِنُ الخَمْرِ وَالْعَاقُّ لِوَالِدَيْهِ وَالدَّيَوْثُ وَهُوَ الَّذِي يُقِرُّ السُّوْءَ فِي أَهْلِهِ</w:t>
      </w:r>
    </w:p>
    <w:p>
      <w:pPr>
        <w:tabs>
          <w:tab w:val="left" w:pos="90"/>
        </w:tabs>
        <w:spacing w:after="0" w:line="240" w:lineRule="auto"/>
        <w:ind w:left="992" w:leftChars="451" w:right="-99" w:rightChars="-45" w:firstLine="1"/>
        <w:jc w:val="both"/>
        <w:rPr>
          <w:rFonts w:ascii="Times New Roman" w:hAnsi="Times New Roman" w:eastAsia="Arial" w:cs="Times New Roman"/>
          <w:shd w:val="clear" w:color="auto" w:fill="FFFFFF"/>
        </w:rPr>
      </w:pPr>
      <w:r>
        <w:rPr>
          <w:rFonts w:ascii="Times New Roman" w:hAnsi="Times New Roman" w:eastAsia="Arial" w:cs="Times New Roman"/>
          <w:i/>
          <w:iCs/>
          <w:shd w:val="clear" w:color="auto" w:fill="FFFFFF"/>
        </w:rPr>
        <w:t xml:space="preserve">”Tiga golongan orang yang diharamkan </w:t>
      </w:r>
      <w:r>
        <w:rPr>
          <w:rFonts w:ascii="Times New Roman" w:hAnsi="Times New Roman" w:eastAsia="Arial" w:cs="Times New Roman"/>
          <w:i/>
          <w:iCs/>
          <w:shd w:val="clear" w:color="auto" w:fill="FFFFFF"/>
          <w:lang w:val="en-US"/>
        </w:rPr>
        <w:t>Allah</w:t>
      </w:r>
      <w:r>
        <w:rPr>
          <w:rFonts w:ascii="Times New Roman" w:hAnsi="Times New Roman" w:eastAsia="Arial" w:cs="Times New Roman"/>
          <w:i/>
          <w:iCs/>
          <w:shd w:val="clear" w:color="auto" w:fill="FFFFFF"/>
        </w:rPr>
        <w:t xml:space="preserve"> untuk masuk surga, yaitu orang yang terus-menerus minum khamr, orang yang durhaka kepada ibu-bapaknya, dan orang yang membiarkan istrinya berbuat serong”.</w:t>
      </w:r>
      <w:r>
        <w:rPr>
          <w:rFonts w:ascii="Times New Roman" w:hAnsi="Times New Roman" w:eastAsia="Arial" w:cs="Times New Roman"/>
          <w:shd w:val="clear" w:color="auto" w:fill="FFFFFF"/>
        </w:rPr>
        <w:t xml:space="preserve"> (HR Ahmad)</w:t>
      </w:r>
      <w:r>
        <w:rPr>
          <w:rStyle w:val="17"/>
          <w:rFonts w:ascii="Times New Roman" w:hAnsi="Times New Roman" w:eastAsia="Arial" w:cs="Times New Roman"/>
          <w:shd w:val="clear" w:color="auto" w:fill="FFFFFF"/>
        </w:rPr>
        <w:footnoteReference w:id="5"/>
      </w:r>
    </w:p>
    <w:p>
      <w:pPr>
        <w:tabs>
          <w:tab w:val="left" w:pos="90"/>
        </w:tabs>
        <w:spacing w:after="0" w:line="312" w:lineRule="auto"/>
        <w:ind w:left="440" w:leftChars="200" w:right="-99" w:rightChars="-45" w:firstLine="440" w:firstLineChars="200"/>
        <w:jc w:val="both"/>
        <w:rPr>
          <w:rFonts w:ascii="Times New Roman" w:hAnsi="Times New Roman" w:eastAsia="Arial" w:cs="Times New Roman"/>
          <w:shd w:val="clear" w:color="auto" w:fill="FFFFFF"/>
        </w:rPr>
      </w:pPr>
    </w:p>
    <w:p>
      <w:pPr>
        <w:tabs>
          <w:tab w:val="left" w:pos="90"/>
        </w:tabs>
        <w:spacing w:after="0" w:line="312" w:lineRule="auto"/>
        <w:ind w:left="440" w:leftChars="200" w:right="-99" w:rightChars="-45" w:firstLine="440" w:firstLineChars="200"/>
        <w:jc w:val="both"/>
        <w:rPr>
          <w:rFonts w:ascii="Times New Roman" w:hAnsi="Times New Roman" w:eastAsia="SimSun" w:cs="Times New Roman"/>
        </w:rPr>
      </w:pPr>
      <w:r>
        <w:rPr>
          <w:rFonts w:ascii="Times New Roman" w:hAnsi="Times New Roman" w:cs="Times New Roman"/>
          <w:lang w:val="en-US"/>
        </w:rPr>
        <w:t xml:space="preserve">Dalam Hadis lain juga dijelaskan, dari Aisyah RA meriwayatkan bahwa Rasulallah SAW bersabda: </w:t>
      </w:r>
      <w:r>
        <w:rPr>
          <w:rFonts w:ascii="Times New Roman" w:hAnsi="Times New Roman" w:cs="Times New Roman"/>
          <w:i/>
          <w:iCs/>
          <w:lang w:val="en-US"/>
        </w:rPr>
        <w:t>“Setiap minuman yang memabukan adalah haram”</w:t>
      </w:r>
      <w:r>
        <w:rPr>
          <w:rFonts w:ascii="Times New Roman" w:hAnsi="Times New Roman" w:cs="Times New Roman"/>
          <w:lang w:val="en-US"/>
        </w:rPr>
        <w:t xml:space="preserve">. </w:t>
      </w:r>
      <w:r>
        <w:rPr>
          <w:rFonts w:ascii="Times New Roman" w:hAnsi="Times New Roman" w:eastAsia="SimSun" w:cs="Times New Roman"/>
        </w:rPr>
        <w:t>(HR. Bukhari, 1993:242).</w:t>
      </w:r>
      <w:r>
        <w:rPr>
          <w:rFonts w:ascii="Times New Roman" w:hAnsi="Times New Roman" w:eastAsia="SimSun" w:cs="Times New Roman"/>
          <w:lang w:val="en-US"/>
        </w:rPr>
        <w:t xml:space="preserve"> Larangan </w:t>
      </w:r>
      <w:r>
        <w:rPr>
          <w:rFonts w:ascii="Times New Roman" w:hAnsi="Times New Roman" w:eastAsia="SimSun" w:cs="Times New Roman"/>
          <w:i/>
          <w:iCs/>
          <w:lang w:val="en-US"/>
        </w:rPr>
        <w:t>khamr</w:t>
      </w:r>
      <w:r>
        <w:rPr>
          <w:rFonts w:ascii="Times New Roman" w:hAnsi="Times New Roman" w:eastAsia="SimSun" w:cs="Times New Roman"/>
          <w:lang w:val="en-US"/>
        </w:rPr>
        <w:t xml:space="preserve"> berlaku tanpa memandang jumlahnya. Jika dalam jumlah banyak memabukkan, maka dalam jumlah sedikitpun juga haram. </w:t>
      </w:r>
      <w:r>
        <w:rPr>
          <w:rFonts w:ascii="Times New Roman" w:hAnsi="Times New Roman" w:cs="Times New Roman"/>
          <w:lang w:val="en-US"/>
        </w:rPr>
        <w:t xml:space="preserve">Demikian juga dalam penggunaan narkotika baik pengguna, penjual, pembeli, prosudusen, distributor, dan penerima semuanya terlibat dalam tindakan terlarang. </w:t>
      </w:r>
      <w:r>
        <w:rPr>
          <w:rFonts w:ascii="Times New Roman" w:hAnsi="Times New Roman" w:eastAsia="SimSun" w:cs="Times New Roman"/>
        </w:rPr>
        <w:t xml:space="preserve">Islam secara jelas dan tegas menetapkan hukuman untuk setiap pelanggaran larangan </w:t>
      </w:r>
      <w:r>
        <w:rPr>
          <w:rFonts w:ascii="Times New Roman" w:hAnsi="Times New Roman" w:eastAsia="SimSun" w:cs="Times New Roman"/>
          <w:lang w:val="en-US"/>
        </w:rPr>
        <w:t>Allah</w:t>
      </w:r>
      <w:r>
        <w:rPr>
          <w:rFonts w:ascii="Times New Roman" w:hAnsi="Times New Roman" w:eastAsia="SimSun" w:cs="Times New Roman"/>
        </w:rPr>
        <w:t xml:space="preserve">, baik melalui </w:t>
      </w:r>
      <w:r>
        <w:rPr>
          <w:rFonts w:ascii="Times New Roman" w:hAnsi="Times New Roman" w:eastAsia="SimSun" w:cs="Times New Roman"/>
          <w:i/>
          <w:iCs/>
        </w:rPr>
        <w:t>hadd</w:t>
      </w:r>
      <w:r>
        <w:rPr>
          <w:rFonts w:ascii="Times New Roman" w:hAnsi="Times New Roman" w:eastAsia="SimSun" w:cs="Times New Roman"/>
        </w:rPr>
        <w:t xml:space="preserve"> maupun </w:t>
      </w:r>
      <w:r>
        <w:rPr>
          <w:rFonts w:ascii="Times New Roman" w:hAnsi="Times New Roman" w:eastAsia="SimSun" w:cs="Times New Roman"/>
          <w:i/>
          <w:iCs/>
        </w:rPr>
        <w:t>ta'zir</w:t>
      </w:r>
      <w:r>
        <w:rPr>
          <w:rFonts w:ascii="Times New Roman" w:hAnsi="Times New Roman" w:eastAsia="SimSun" w:cs="Times New Roman"/>
        </w:rPr>
        <w:t>. Menurut Ulama’ Maliki, Hanafi, dan Hanbali, serta konsensus para sahabat, hukuman bagi mereka yang mengonsumsi minuman keras adalah 80 kali cambukan. Sebaliknya, Ulama’ Syafi'i berpendapat bahwa hukumannya adalah 40 kali cambukan, tetapi imam dapat menambahkannya menjadi 80 kali cambukan.</w:t>
      </w:r>
      <w:r>
        <w:rPr>
          <w:rStyle w:val="17"/>
          <w:rFonts w:ascii="Times New Roman" w:hAnsi="Times New Roman" w:cs="Times New Roman"/>
          <w:lang w:val="en-US"/>
        </w:rPr>
        <w:footnoteReference w:id="6"/>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eastAsia="SimSun" w:cs="Times New Roman"/>
          <w:lang w:val="en-US"/>
        </w:rPr>
        <w:t xml:space="preserve">Hukuman mati di Indonesia menjadi suatu hal kontriversi karena memberikan beberapa pendepat mengenai hukuman mati kepada seorang yang melanggar tindak pidana. Ada yang berpendapat setuju ada juga yang berpendapat tidak setuju. </w:t>
      </w:r>
      <w:r>
        <w:rPr>
          <w:rFonts w:ascii="Times New Roman" w:hAnsi="Times New Roman" w:cs="Times New Roman"/>
          <w:lang w:val="en-US"/>
        </w:rPr>
        <w:t>Banyak orang melihat grasi sebagai bentuk keadilan dan ketidakadilan. Ada yang berpendapat bahwa grasi dapat memberikan kesempatan kedua bagi pelanggar, karena hukuman mati tidak terbukti efektif dalam mengurangi peredaran narkoba dan dapat melanggar HAM (Hak Asasi Manusia). Beberapa ada juga yang mendukung karena menganggapnya sebagai langkah keras yang perlu, untuk menanggulangi peredaran narkoba, yang dianggap sebagai ancaman srius bagi terhadap generasi muda dan masyarakat. Dalam pandangan ini hukuman mati dianggap sebagai cara untuk memberikan jeraan kepada para pelaku dan untuk melindungi kaum dari dampak buruk narkotika. Grasi juga seharusnya diberikan kepada seseorang yang benar-benar mengakui kesalahannya dan ingin memperbaiki diri menjadi lebih baik. Dengan tujuan keadilan yang diberikan bukan untuk menghilangkan sanksi yang diperbuat terpidana.</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Konsep keadilan dalam hukum mengacu pada keseimbangan, kesetaraan, dan perlakuan yang adil bagi semua individu dalam sistem hukum. Setiap orang tanpa memandang agama, ras, gender, status sosial, semuanya memiliki hak yang sama dihadapan hukum dan diperlakukan secara adil dan setara. Tetapi diberikannya grasi kepada terpidana, kadang memberikan pendapat negatif, bahwa grasi diberikan hanya kepada orang-orang tertentu.</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Keeadilan dalam konsep hukum melibatkan aspek pelakuan yang objektif dan setara kepada semua kalangan tanpa adanya pengecualian atasnya, setiap orang memiliki hak yang sama untuk mempertahankan diri di hadapan Pengadilan, keputusan harus didasarkan pada hukum dengan proses yang adil dan bukti yang sah di mana penegakan hukum tidak memihak kepada siapapu harus netral.</w:t>
      </w:r>
      <w:r>
        <w:rPr>
          <w:rStyle w:val="17"/>
          <w:rFonts w:ascii="Times New Roman" w:hAnsi="Times New Roman" w:cs="Times New Roman"/>
          <w:lang w:val="en-US"/>
        </w:rPr>
        <w:footnoteReference w:id="7"/>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Pada kedua bidang ilmu hukum, yaitu hukum pidana positif dan hukum pidana Islam masing-masing mempunyai aturan yang berbeda dalam hal sanksi yang diberikan terhadap pelaku tindak pidana, salah satunya narkotika. Begitu pula pemberian grasi yang diberikan. Dalam hukum Islam pengaturannya berdasarkan pada Al-Qur’an, Al Hadis dan pendapat Ulama’. Sedangkan dalam Hukum Pidana umum di Indonesia pengaturannya bersumber pada Kitab Undang-Undang Hukum Pidana (KUHP).</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 xml:space="preserve">Dalam perkara ini penulis ingin meganalisis lebih dalam lagi dalam kepetusan Presiden grasi kepada MU. Karena, Keppres ini merupakan pemberian grasi pertama yang diberikan Presiden Jokowi kepada terpidana hukuman mati kasus narkotika di Indonesia. </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Di dalam hukum pidana Islam, pada zaman Nabi belum ada hukum pidana nakotika. Selain itu juga penulis ingin lebih mendalami mengenai pemberian grasi atau maaf yang diberikan kepada terpidana khususnya terpidana yang dijatuhi hukuman mati, apakah di dalam Islam dijelaskan mengenai persoalan ini.</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Alasan dalam pemberian grasi juga tidak dijelaskan atau diberitahukan secara transparan terang-terangan kepada masyarakat. Hal ini menimbulkan pertanyaan kenapa grsi diberikan kepada terpidana. Apakah di dalam hukum pidana Islam terdapat alasan yang relevan, kenapa grasi bisa diberikan kepada pelaku kejahatan.</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Dalam Keputusan Presiden tersebut apakah sudah sesuai dengan Peraturan Perundang-undangan yang berlaku Di Indonesia yang selanjutnya menganalisa lagi bagaimana grasi narkotika diberikan dalam hukum pidana Islam. Sehingga permasalahan ini perlu dikaji dan dianalisa lebih dalam untuk lebih memahami pemberian maaf dalam perspektif hukum Islam.</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r>
        <w:rPr>
          <w:rFonts w:ascii="Times New Roman" w:hAnsi="Times New Roman" w:cs="Times New Roman"/>
          <w:lang w:val="en-US"/>
        </w:rPr>
        <w:t xml:space="preserve">Berdasarkan dari persoalan di atas, penulis terpacu untuk mendalami bagaimana pemberian grasi terhadap pelaku tindak pidana narkotika hukuman mati. Bagaimana alasan perlu diberikannya grasi kepada pelaku kejahatan dan pemberian grasi terhadap pelaku tindak pidana narkotika terkhususnya dalam perspektif hukum pidana Islam. </w:t>
      </w:r>
    </w:p>
    <w:p>
      <w:pPr>
        <w:tabs>
          <w:tab w:val="left" w:pos="90"/>
        </w:tabs>
        <w:spacing w:after="0" w:line="312" w:lineRule="auto"/>
        <w:ind w:left="440" w:leftChars="200" w:right="-99" w:rightChars="-45" w:firstLine="440" w:firstLineChars="200"/>
        <w:jc w:val="both"/>
        <w:rPr>
          <w:rFonts w:ascii="Times New Roman" w:hAnsi="Times New Roman" w:cs="Times New Roman"/>
          <w:lang w:val="en-US"/>
        </w:rPr>
      </w:pPr>
    </w:p>
    <w:p>
      <w:pPr>
        <w:pStyle w:val="3"/>
        <w:ind w:left="426"/>
      </w:pPr>
      <w:bookmarkStart w:id="12" w:name="_Toc199801652"/>
      <w:r>
        <w:t>Rumusan Masalah</w:t>
      </w:r>
      <w:bookmarkEnd w:id="12"/>
      <w:r>
        <w:tab/>
      </w:r>
    </w:p>
    <w:p>
      <w:pPr>
        <w:pStyle w:val="4"/>
        <w:numPr>
          <w:ilvl w:val="0"/>
          <w:numId w:val="14"/>
        </w:numPr>
        <w:tabs>
          <w:tab w:val="left" w:pos="90"/>
        </w:tabs>
        <w:spacing w:after="0" w:line="312" w:lineRule="auto"/>
        <w:ind w:left="880" w:right="-99" w:rightChars="-45" w:hanging="440"/>
        <w:jc w:val="both"/>
        <w:rPr>
          <w:rFonts w:ascii="Times New Roman" w:hAnsi="Times New Roman" w:cs="Times New Roman"/>
          <w:lang w:val="en-US"/>
        </w:rPr>
      </w:pPr>
      <w:r>
        <w:rPr>
          <w:rFonts w:ascii="Times New Roman" w:hAnsi="Times New Roman" w:cs="Times New Roman"/>
          <w:lang w:val="en-US"/>
        </w:rPr>
        <w:t>Bagaimana pemberian grasi terhadap hukuman mati kasus narkotika perspektif hukum pidana Islam?</w:t>
      </w:r>
    </w:p>
    <w:p>
      <w:pPr>
        <w:pStyle w:val="4"/>
        <w:numPr>
          <w:ilvl w:val="0"/>
          <w:numId w:val="14"/>
        </w:numPr>
        <w:tabs>
          <w:tab w:val="left" w:pos="90"/>
        </w:tabs>
        <w:spacing w:after="0" w:line="312" w:lineRule="auto"/>
        <w:ind w:left="880" w:right="-99" w:rightChars="-45" w:hanging="440"/>
        <w:jc w:val="both"/>
        <w:rPr>
          <w:rFonts w:ascii="Times New Roman" w:hAnsi="Times New Roman" w:cs="Times New Roman"/>
          <w:lang w:val="en-US"/>
        </w:rPr>
      </w:pPr>
      <w:r>
        <w:rPr>
          <w:rFonts w:ascii="Times New Roman" w:hAnsi="Times New Roman" w:cs="Times New Roman"/>
          <w:lang w:val="en-US"/>
        </w:rPr>
        <w:t>Bagaimana proses pemberian grasi terhadap hukuman mati kasus narkotika perspektif hukum pidana Positif analisis Keputusan Presiden Nomor 1/G/2023?</w:t>
      </w:r>
    </w:p>
    <w:p>
      <w:pPr>
        <w:pStyle w:val="4"/>
        <w:tabs>
          <w:tab w:val="left" w:pos="90"/>
        </w:tabs>
        <w:spacing w:after="0" w:line="312" w:lineRule="auto"/>
        <w:ind w:left="440" w:right="-99" w:rightChars="-45"/>
        <w:jc w:val="both"/>
        <w:rPr>
          <w:rFonts w:ascii="Times New Roman" w:hAnsi="Times New Roman" w:cs="Times New Roman"/>
          <w:lang w:val="en-US"/>
        </w:rPr>
      </w:pPr>
    </w:p>
    <w:p>
      <w:pPr>
        <w:pStyle w:val="3"/>
      </w:pPr>
      <w:bookmarkStart w:id="13" w:name="_Toc199801653"/>
      <w:r>
        <w:t>Tujuan</w:t>
      </w:r>
      <w:bookmarkEnd w:id="13"/>
    </w:p>
    <w:p>
      <w:pPr>
        <w:pStyle w:val="4"/>
        <w:numPr>
          <w:ilvl w:val="0"/>
          <w:numId w:val="15"/>
        </w:numPr>
        <w:tabs>
          <w:tab w:val="left" w:pos="90"/>
        </w:tabs>
        <w:spacing w:after="0" w:line="312" w:lineRule="auto"/>
        <w:ind w:right="-99" w:rightChars="-45"/>
        <w:jc w:val="both"/>
        <w:rPr>
          <w:rFonts w:ascii="Times New Roman" w:hAnsi="Times New Roman" w:cs="Times New Roman"/>
          <w:lang w:val="en-US"/>
        </w:rPr>
      </w:pPr>
      <w:r>
        <w:rPr>
          <w:rFonts w:ascii="Times New Roman" w:hAnsi="Times New Roman" w:cs="Times New Roman"/>
          <w:lang w:val="en-US"/>
        </w:rPr>
        <w:t>Untuk memberi pengetahuan yang lebih mendalam mengenai pemberian grasi terhadap terpidana hukuman mati kasus narkotika dalam perspektif Hukum Pidana Islam.</w:t>
      </w:r>
    </w:p>
    <w:p>
      <w:pPr>
        <w:pStyle w:val="4"/>
        <w:numPr>
          <w:ilvl w:val="0"/>
          <w:numId w:val="15"/>
        </w:numPr>
        <w:tabs>
          <w:tab w:val="left" w:pos="90"/>
        </w:tabs>
        <w:spacing w:after="0" w:line="312" w:lineRule="auto"/>
        <w:ind w:right="-99" w:rightChars="-45"/>
        <w:jc w:val="both"/>
        <w:rPr>
          <w:rFonts w:ascii="Times New Roman" w:hAnsi="Times New Roman" w:cs="Times New Roman"/>
          <w:lang w:val="en-US"/>
        </w:rPr>
      </w:pPr>
      <w:r>
        <w:rPr>
          <w:rFonts w:ascii="Times New Roman" w:hAnsi="Times New Roman" w:cs="Times New Roman"/>
          <w:lang w:val="en-US"/>
        </w:rPr>
        <w:t>Untuk memberi pengetahuan mengenai bagaimana proses pemberian grasi terhadap hukuman mati kasus narkotika dalam perspektif hukum Pidana Positif dalam  analisis Keputusan Presiden Nomor 1/G/2023</w:t>
      </w:r>
    </w:p>
    <w:p>
      <w:pPr>
        <w:pStyle w:val="4"/>
        <w:tabs>
          <w:tab w:val="left" w:pos="90"/>
        </w:tabs>
        <w:spacing w:after="0" w:line="312" w:lineRule="auto"/>
        <w:ind w:left="360" w:right="-99" w:rightChars="-45"/>
        <w:jc w:val="both"/>
        <w:rPr>
          <w:rFonts w:ascii="Times New Roman" w:hAnsi="Times New Roman" w:cs="Times New Roman"/>
          <w:lang w:val="en-US"/>
        </w:rPr>
      </w:pPr>
    </w:p>
    <w:p>
      <w:pPr>
        <w:pStyle w:val="3"/>
      </w:pPr>
      <w:bookmarkStart w:id="14" w:name="_Toc199801654"/>
      <w:r>
        <w:t>Manfaat Penelitian</w:t>
      </w:r>
      <w:bookmarkEnd w:id="14"/>
    </w:p>
    <w:p>
      <w:pPr>
        <w:pStyle w:val="4"/>
        <w:numPr>
          <w:ilvl w:val="0"/>
          <w:numId w:val="16"/>
        </w:numPr>
        <w:tabs>
          <w:tab w:val="left" w:pos="90"/>
        </w:tabs>
        <w:spacing w:after="0" w:line="312" w:lineRule="auto"/>
        <w:ind w:left="667" w:right="-99" w:rightChars="-45" w:hanging="227"/>
        <w:jc w:val="both"/>
        <w:rPr>
          <w:rFonts w:ascii="Times New Roman" w:hAnsi="Times New Roman" w:cs="Times New Roman"/>
          <w:lang w:val="en-US"/>
        </w:rPr>
      </w:pPr>
      <w:r>
        <w:rPr>
          <w:rFonts w:ascii="Times New Roman" w:hAnsi="Times New Roman" w:cs="Times New Roman"/>
          <w:lang w:val="en-US"/>
        </w:rPr>
        <w:t>Manfaat Teoritis</w:t>
      </w:r>
    </w:p>
    <w:p>
      <w:pPr>
        <w:pStyle w:val="4"/>
        <w:tabs>
          <w:tab w:val="left" w:pos="90"/>
        </w:tabs>
        <w:spacing w:after="0" w:line="312" w:lineRule="auto"/>
        <w:ind w:left="660" w:leftChars="300" w:right="-99" w:rightChars="-45" w:firstLine="440" w:firstLineChars="200"/>
        <w:jc w:val="both"/>
        <w:rPr>
          <w:rFonts w:ascii="Times New Roman" w:hAnsi="Times New Roman" w:cs="Times New Roman"/>
          <w:lang w:val="en-US"/>
        </w:rPr>
      </w:pPr>
      <w:r>
        <w:rPr>
          <w:rFonts w:ascii="Times New Roman" w:hAnsi="Times New Roman" w:cs="Times New Roman"/>
          <w:lang w:val="en-US"/>
        </w:rPr>
        <w:t>Penelitian ini diharapkan dapat memberikan sudut pandang berupa referensi pemikiran dan bahan rujukan berdasarkan peraturan yang berlaku baik dalam hukum pidana Islam dan hukum pidana di Indonesia. Bagaiman pemberian grasi diberikan terhadap terpidana yang telah memiliki kekuatan hukum tetap khususnya dalam hukuman mati kasus Narkotika. Agar menambah pengetahuan ilmudan pembentukan pola piker yang lebih kristis.</w:t>
      </w:r>
    </w:p>
    <w:p>
      <w:pPr>
        <w:pStyle w:val="4"/>
        <w:numPr>
          <w:ilvl w:val="0"/>
          <w:numId w:val="16"/>
        </w:numPr>
        <w:tabs>
          <w:tab w:val="left" w:pos="90"/>
        </w:tabs>
        <w:spacing w:after="0" w:line="312" w:lineRule="auto"/>
        <w:ind w:left="660" w:right="-99" w:rightChars="-45" w:hanging="220"/>
        <w:jc w:val="both"/>
        <w:rPr>
          <w:rFonts w:ascii="Times New Roman" w:hAnsi="Times New Roman" w:cs="Times New Roman"/>
          <w:lang w:val="en-US"/>
        </w:rPr>
      </w:pPr>
      <w:r>
        <w:rPr>
          <w:rFonts w:ascii="Times New Roman" w:hAnsi="Times New Roman" w:cs="Times New Roman"/>
          <w:lang w:val="en-US"/>
        </w:rPr>
        <w:t>Manfaat Praktis</w:t>
      </w:r>
    </w:p>
    <w:p>
      <w:pPr>
        <w:pStyle w:val="4"/>
        <w:tabs>
          <w:tab w:val="left" w:pos="660"/>
        </w:tabs>
        <w:spacing w:after="0" w:line="312" w:lineRule="auto"/>
        <w:ind w:left="656" w:leftChars="298" w:right="-99" w:rightChars="-45" w:firstLine="442" w:firstLineChars="201"/>
        <w:jc w:val="both"/>
        <w:rPr>
          <w:rFonts w:ascii="Times New Roman" w:hAnsi="Times New Roman" w:cs="Times New Roman"/>
          <w:lang w:val="en-US"/>
        </w:rPr>
      </w:pPr>
      <w:r>
        <w:rPr>
          <w:rFonts w:ascii="Times New Roman" w:hAnsi="Times New Roman" w:cs="Times New Roman"/>
          <w:lang w:val="en-US"/>
        </w:rPr>
        <w:t xml:space="preserve">Secara praktis, hasil penelitian ini diharapkan dapat bermanfaat bagi diri pribadi khususnya dan kepada masyarakat secara umum. Dapat dijadikan sebagai bahan pembelajaran khususnya dengan permasalahan pemberian grasi terhadap terpidana hukuman mati kasus narkotika. </w:t>
      </w:r>
    </w:p>
    <w:p>
      <w:pPr>
        <w:pStyle w:val="4"/>
        <w:tabs>
          <w:tab w:val="left" w:pos="90"/>
        </w:tabs>
        <w:spacing w:after="0" w:line="312" w:lineRule="auto"/>
        <w:ind w:left="567" w:right="-99" w:rightChars="-45"/>
        <w:jc w:val="both"/>
        <w:rPr>
          <w:rFonts w:ascii="Times New Roman" w:hAnsi="Times New Roman" w:cs="Times New Roman"/>
          <w:lang w:val="en-US"/>
        </w:rPr>
      </w:pPr>
    </w:p>
    <w:p>
      <w:pPr>
        <w:pStyle w:val="3"/>
      </w:pPr>
      <w:bookmarkStart w:id="15" w:name="_Toc199801655"/>
      <w:r>
        <w:t>Tinjauan Pustaka</w:t>
      </w:r>
      <w:bookmarkEnd w:id="15"/>
    </w:p>
    <w:p>
      <w:pPr>
        <w:pStyle w:val="4"/>
        <w:tabs>
          <w:tab w:val="left" w:pos="440"/>
        </w:tabs>
        <w:spacing w:after="0" w:line="312" w:lineRule="auto"/>
        <w:ind w:left="436" w:leftChars="198" w:right="-99" w:rightChars="-45" w:firstLine="442" w:firstLineChars="201"/>
        <w:jc w:val="both"/>
        <w:rPr>
          <w:rFonts w:ascii="Times New Roman" w:hAnsi="Times New Roman" w:cs="Times New Roman"/>
          <w:lang w:val="en-US"/>
        </w:rPr>
      </w:pPr>
      <w:r>
        <w:rPr>
          <w:rFonts w:ascii="Times New Roman" w:hAnsi="Times New Roman" w:cs="Times New Roman"/>
          <w:lang w:val="en-US"/>
        </w:rPr>
        <w:t>Telaah Pustaka digunakan untuk mendapatkan gambaran tentang hubungan pembahasan dengan penelitian yang pernah dilakukan oleh peneliti sebelumnya. Sehingga tidak terjadi pengulangan dan plagiasi karya ilmiah yang pernah ada. Berdasarkan pada hasil penelitian terdahulu, penulis menggali berbagai informasi yang dapat menjadi acuan terhadap relevansi yang sesuai dengan teori dan fakta yang ada dengan penelitian yang akan dilakukan penulis. Penelitian ini membahas mengenai pemberian grasi dan maaf terhadap terpidana pembunuhan. Berikut beberapa hasil penelitian yang berhubungan dengan kajian yang hendak penulis teliti di antaranya, yaitu:</w:t>
      </w:r>
    </w:p>
    <w:p>
      <w:pPr>
        <w:pStyle w:val="4"/>
        <w:tabs>
          <w:tab w:val="left" w:pos="440"/>
        </w:tabs>
        <w:spacing w:after="0" w:line="312" w:lineRule="auto"/>
        <w:ind w:left="436" w:leftChars="198" w:right="-99" w:rightChars="-45" w:firstLine="442" w:firstLineChars="201"/>
        <w:jc w:val="both"/>
        <w:rPr>
          <w:rFonts w:ascii="Times New Roman" w:hAnsi="Times New Roman" w:cs="Times New Roman"/>
          <w:lang w:val="en-US"/>
        </w:rPr>
      </w:pPr>
      <w:r>
        <w:rPr>
          <w:rFonts w:ascii="Times New Roman" w:hAnsi="Times New Roman" w:cs="Times New Roman"/>
          <w:i/>
          <w:iCs/>
          <w:lang w:val="en-US"/>
        </w:rPr>
        <w:t xml:space="preserve">Pertama, </w:t>
      </w:r>
      <w:r>
        <w:rPr>
          <w:rFonts w:ascii="Times New Roman" w:hAnsi="Times New Roman" w:cs="Times New Roman"/>
          <w:lang w:val="en-US"/>
        </w:rPr>
        <w:t>penelitian tesis yang ditulis oleh ricson sinaga dengan judul “Analisis Yuridis Penjatuhan Hukuman Mati Terhadap Perantara Jual Beli Narkotika (Studi Putusan Nomor 594/Pid.Sus/215/PN.Tjb)”. Dalam penelitian tersebut, riricson sinaga menyatakan bahwa” Pidana mati di atur dalam UU Narkotika No 35 Tahun 2009. Perantara jual beli Narkotika dalam pasal 114 Ayat 2 yaitu tindakan dalam menawarkan untuk membeli, menjual, dijual, baik menjadi perantara jual beli, mmenyerahkan, menukar, bahkan sampai menerima Narkotika sebagaiman ayat 1 narkotika Golongan I pelaku bisa dipidana dengan pidana mati, penjara seumur hidup, atau penjara pidana paling singkat 6 Tahun paling lam 20 Tahun. Dalam penulisan tersebut penulis menjelaskan eksekusi mati dalam pelaksanaanya memiliki kendala yuridis. Karena adanya putusan MK yang telah membatalkan batas maksiMU m pengajuan grasi menjadi 1 Tahun, keMU dia bisa mengajukan Pk lebih dari 1 kali serta terdapat respon negative dari masyarakat terhadap hukuman mati</w:t>
      </w:r>
      <w:r>
        <w:rPr>
          <w:rFonts w:ascii="Times New Roman" w:hAnsi="Times New Roman" w:eastAsia="SimSun" w:cs="Times New Roman"/>
        </w:rPr>
        <w:t>.</w:t>
      </w:r>
      <w:r>
        <w:rPr>
          <w:rFonts w:ascii="Times New Roman" w:hAnsi="Times New Roman" w:eastAsia="SimSun" w:cs="Times New Roman"/>
          <w:lang w:val="en-US"/>
        </w:rPr>
        <w:t>”</w:t>
      </w:r>
      <w:r>
        <w:rPr>
          <w:rStyle w:val="17"/>
          <w:rFonts w:ascii="Times New Roman" w:hAnsi="Times New Roman" w:eastAsia="SimSun" w:cs="Times New Roman"/>
          <w:lang w:val="en-US"/>
        </w:rPr>
        <w:footnoteReference w:id="8"/>
      </w:r>
      <w:r>
        <w:rPr>
          <w:rFonts w:ascii="Times New Roman" w:hAnsi="Times New Roman" w:eastAsia="SimSun" w:cs="Times New Roman"/>
          <w:lang w:val="en-US"/>
        </w:rPr>
        <w:t xml:space="preserve"> Dalam objek penelitian ini saya lebih fokus kepada kurangnya kepastian hukum dalam kasus MU. Dari menjalani masa tunggu hukuman mati sampai 22 Tahun, sedangkan penjara maksimal 20 Tahun. Dan, keputusan pengajuan permohonan grasi harusnya diberikan 3 bulan setelah pengajuan, tapi diberikan setelah menunggu 7 Tahun.</w:t>
      </w:r>
    </w:p>
    <w:p>
      <w:pPr>
        <w:pStyle w:val="4"/>
        <w:tabs>
          <w:tab w:val="left" w:pos="440"/>
        </w:tabs>
        <w:spacing w:after="0" w:line="312" w:lineRule="auto"/>
        <w:ind w:left="436" w:leftChars="198" w:right="-99" w:rightChars="-45" w:firstLine="442" w:firstLineChars="201"/>
        <w:jc w:val="both"/>
        <w:rPr>
          <w:rFonts w:ascii="Times New Roman" w:hAnsi="Times New Roman" w:eastAsia="SimSun" w:cs="Times New Roman"/>
          <w:lang w:val="en-US"/>
        </w:rPr>
      </w:pPr>
      <w:r>
        <w:rPr>
          <w:rFonts w:ascii="Times New Roman" w:hAnsi="Times New Roman" w:cs="Times New Roman"/>
          <w:i/>
          <w:iCs/>
          <w:lang w:val="en-US"/>
        </w:rPr>
        <w:t>Ke-dua,</w:t>
      </w:r>
      <w:r>
        <w:rPr>
          <w:rFonts w:ascii="Times New Roman" w:hAnsi="Times New Roman" w:cs="Times New Roman"/>
          <w:lang w:val="en-US"/>
        </w:rPr>
        <w:t xml:space="preserve"> penelitian skripsi yang ditulis oleh zahrotul latifah degan judul “Hak Proregatif Presiden Dalam Memberikan Grasi Kepada Terpidana Mati Kasus Narkotika Perspektif Fikih Siyasah”. Penelitia tersebut penulis menyatakan bahwa “Dalam Perspektif Fiqh Siyasah, pemberian pengampunan merupakan hak prerogative Presiden. </w:t>
      </w:r>
      <w:r>
        <w:rPr>
          <w:rFonts w:ascii="Times New Roman" w:hAnsi="Times New Roman" w:eastAsia="SimSun" w:cs="Times New Roman"/>
          <w:lang w:val="en-US"/>
        </w:rPr>
        <w:t>S</w:t>
      </w:r>
      <w:r>
        <w:rPr>
          <w:rFonts w:ascii="Times New Roman" w:hAnsi="Times New Roman" w:eastAsia="SimSun" w:cs="Times New Roman"/>
        </w:rPr>
        <w:t xml:space="preserve">ebutan </w:t>
      </w:r>
      <w:r>
        <w:rPr>
          <w:rFonts w:ascii="Times New Roman" w:hAnsi="Times New Roman" w:eastAsia="SimSun" w:cs="Times New Roman"/>
          <w:i/>
          <w:iCs/>
        </w:rPr>
        <w:t>al-afwu</w:t>
      </w:r>
      <w:r>
        <w:rPr>
          <w:rFonts w:ascii="Times New Roman" w:hAnsi="Times New Roman" w:eastAsia="SimSun" w:cs="Times New Roman"/>
        </w:rPr>
        <w:t xml:space="preserve"> atau </w:t>
      </w:r>
      <w:r>
        <w:rPr>
          <w:rFonts w:ascii="Times New Roman" w:hAnsi="Times New Roman" w:eastAsia="SimSun" w:cs="Times New Roman"/>
          <w:i/>
          <w:iCs/>
        </w:rPr>
        <w:t>al-syaffa’at</w:t>
      </w:r>
      <w:r>
        <w:rPr>
          <w:rFonts w:ascii="Times New Roman" w:hAnsi="Times New Roman" w:eastAsia="SimSun" w:cs="Times New Roman"/>
          <w:i/>
          <w:iCs/>
          <w:lang w:val="en-US"/>
        </w:rPr>
        <w:t xml:space="preserve"> </w:t>
      </w:r>
      <w:r>
        <w:rPr>
          <w:rFonts w:ascii="Times New Roman" w:hAnsi="Times New Roman" w:eastAsia="SimSun" w:cs="Times New Roman"/>
          <w:lang w:val="en-US"/>
        </w:rPr>
        <w:t xml:space="preserve">menjadi sebutan dalam Fiqh Siyasah, pengampunan tersebut bisa diberikan oleh ahli waris yaitu dari pihak korban atau oleh penguasa secara langsung. </w:t>
      </w:r>
    </w:p>
    <w:p>
      <w:pPr>
        <w:pStyle w:val="4"/>
        <w:tabs>
          <w:tab w:val="left" w:pos="440"/>
        </w:tabs>
        <w:spacing w:after="0" w:line="312" w:lineRule="auto"/>
        <w:ind w:left="436" w:leftChars="198" w:right="-99" w:rightChars="-45" w:firstLine="442" w:firstLineChars="201"/>
        <w:jc w:val="both"/>
        <w:rPr>
          <w:rFonts w:ascii="Times New Roman" w:hAnsi="Times New Roman" w:cs="Times New Roman"/>
          <w:lang w:val="en-US"/>
        </w:rPr>
      </w:pPr>
      <w:r>
        <w:rPr>
          <w:rFonts w:ascii="Times New Roman" w:hAnsi="Times New Roman" w:eastAsia="SimSun" w:cs="Times New Roman"/>
          <w:lang w:val="en-US"/>
        </w:rPr>
        <w:t xml:space="preserve">Hukuman bagi pengonsumsi narkotika para Ulama’ sepakat dikenai sanksi </w:t>
      </w:r>
      <w:r>
        <w:rPr>
          <w:rFonts w:ascii="Times New Roman" w:hAnsi="Times New Roman" w:eastAsia="SimSun" w:cs="Times New Roman"/>
          <w:i/>
          <w:iCs/>
          <w:lang w:val="en-US"/>
        </w:rPr>
        <w:t>had</w:t>
      </w:r>
      <w:r>
        <w:rPr>
          <w:rFonts w:ascii="Times New Roman" w:hAnsi="Times New Roman" w:eastAsia="SimSun" w:cs="Times New Roman"/>
          <w:lang w:val="en-US"/>
        </w:rPr>
        <w:t xml:space="preserve"> yang disamakan dengan hukuman peminum khamr. Sedangkan terpidana akan dikenai sanksi </w:t>
      </w:r>
      <w:r>
        <w:rPr>
          <w:rFonts w:ascii="Times New Roman" w:hAnsi="Times New Roman" w:eastAsia="SimSun" w:cs="Times New Roman"/>
          <w:i/>
          <w:iCs/>
          <w:lang w:val="en-US"/>
        </w:rPr>
        <w:t>Ta’zir</w:t>
      </w:r>
      <w:r>
        <w:rPr>
          <w:rFonts w:ascii="Times New Roman" w:hAnsi="Times New Roman" w:eastAsia="SimSun" w:cs="Times New Roman"/>
          <w:lang w:val="en-US"/>
        </w:rPr>
        <w:t xml:space="preserve"> bagi mereka yang memproduksi, menyalahgunakan dan memperdagangkan narkotika di mana yang memberikan hukuman diberikan kepada pihak yang berwenang</w:t>
      </w:r>
      <w:r>
        <w:rPr>
          <w:rFonts w:ascii="Times New Roman" w:hAnsi="Times New Roman" w:eastAsia="SimSun" w:cs="Times New Roman"/>
        </w:rPr>
        <w:t>.</w:t>
      </w:r>
      <w:r>
        <w:rPr>
          <w:rFonts w:ascii="Times New Roman" w:hAnsi="Times New Roman" w:eastAsia="SimSun" w:cs="Times New Roman"/>
          <w:lang w:val="en-US"/>
        </w:rPr>
        <w:t>”</w:t>
      </w:r>
      <w:r>
        <w:rPr>
          <w:rStyle w:val="17"/>
          <w:rFonts w:ascii="Times New Roman" w:hAnsi="Times New Roman" w:eastAsia="SimSun" w:cs="Times New Roman"/>
        </w:rPr>
        <w:footnoteReference w:id="9"/>
      </w:r>
      <w:r>
        <w:rPr>
          <w:rFonts w:ascii="Times New Roman" w:hAnsi="Times New Roman" w:eastAsia="SimSun" w:cs="Times New Roman"/>
          <w:lang w:val="en-US"/>
        </w:rPr>
        <w:t xml:space="preserve"> Sedangkan objek penelitian saya lebih fokus kepada alasan dan prosedur grasi diberikan terhadap terpidana kasus narkotika yang dikenai sanksi hukuman mati perspektif hukum pidana Islam.</w:t>
      </w:r>
    </w:p>
    <w:p>
      <w:pPr>
        <w:pStyle w:val="4"/>
        <w:tabs>
          <w:tab w:val="left" w:pos="440"/>
        </w:tabs>
        <w:spacing w:after="0" w:line="312" w:lineRule="auto"/>
        <w:ind w:left="436" w:leftChars="198" w:right="-99" w:rightChars="-45" w:firstLine="442" w:firstLineChars="201"/>
        <w:jc w:val="both"/>
        <w:rPr>
          <w:rFonts w:ascii="Times New Roman" w:hAnsi="Times New Roman" w:cs="Times New Roman"/>
          <w:lang w:val="en-US"/>
        </w:rPr>
      </w:pPr>
      <w:r>
        <w:rPr>
          <w:rFonts w:ascii="Times New Roman" w:hAnsi="Times New Roman" w:cs="Times New Roman"/>
          <w:i/>
          <w:iCs/>
          <w:lang w:val="en-US"/>
        </w:rPr>
        <w:t>Ke-tiga,</w:t>
      </w:r>
      <w:r>
        <w:rPr>
          <w:rFonts w:ascii="Times New Roman" w:hAnsi="Times New Roman" w:cs="Times New Roman"/>
          <w:lang w:val="en-US"/>
        </w:rPr>
        <w:t xml:space="preserve"> penelitian skripsi yang ditulis oleh joko santoso dengan judul “Analisis Penerapan Hukuman Mati Dalam Kasus Narkorika (Studi Kasus Putusan Mahkamah Agung No.383 K/Pid.Sus/2022). Dalam penelitian tersebut penulis menyatakan bahwa “Masyarakat diharapkan untuk menyadarı peran penting mereka dalam penanggulangan kejahatan narkoba dan penegakan hukum. Kesadaran akan bahwa kejahatan sering kali berakar dari dalam masyarakat itu sendiri merupakan langkah awal yang penting. Selain itu, masyarakat memiliki tanggung jawab untuk menjaga keamanan di lingkungan mereka. Peran serta aktif dan kesadaran kolektif masyarakat sangat diperlukan menciptakan lingkungan yang aman dan mendukung upaya pemerintah dalam menanggulangi kejahatan narkoba. Oleh karena itu, keterlibatan masyarakat dalarm proses pencegahan dan penanggulangan kejahatan harus ditingkatkan untuk mencapai hasil yang lebih efektif.”</w:t>
      </w:r>
      <w:r>
        <w:rPr>
          <w:rStyle w:val="17"/>
          <w:rFonts w:ascii="Times New Roman" w:hAnsi="Times New Roman" w:cs="Times New Roman"/>
          <w:lang w:val="en-US"/>
        </w:rPr>
        <w:footnoteReference w:id="10"/>
      </w:r>
      <w:r>
        <w:rPr>
          <w:rFonts w:ascii="Times New Roman" w:hAnsi="Times New Roman" w:cs="Times New Roman"/>
          <w:lang w:val="en-US"/>
        </w:rPr>
        <w:t xml:space="preserve"> Objek penelitian saya akan lebih memperhatikan kenapa grasi harus diberikan kepada terpidana hukuman mati dalam khususnya perspektif hukum pidana Islam.</w:t>
      </w:r>
    </w:p>
    <w:p>
      <w:pPr>
        <w:pStyle w:val="4"/>
        <w:tabs>
          <w:tab w:val="left" w:pos="440"/>
        </w:tabs>
        <w:spacing w:after="0" w:line="312" w:lineRule="auto"/>
        <w:ind w:left="436" w:leftChars="198" w:right="-99" w:rightChars="-45" w:firstLine="442" w:firstLineChars="201"/>
        <w:jc w:val="both"/>
        <w:rPr>
          <w:rFonts w:ascii="Times New Roman" w:hAnsi="Times New Roman" w:cs="Times New Roman"/>
          <w:lang w:val="en-US"/>
        </w:rPr>
      </w:pPr>
      <w:r>
        <w:rPr>
          <w:rFonts w:ascii="Times New Roman" w:hAnsi="Times New Roman" w:cs="Times New Roman"/>
          <w:i/>
          <w:iCs/>
          <w:lang w:val="en-US"/>
        </w:rPr>
        <w:t xml:space="preserve">Ke-empat, </w:t>
      </w:r>
      <w:r>
        <w:rPr>
          <w:rFonts w:ascii="Times New Roman" w:hAnsi="Times New Roman" w:cs="Times New Roman"/>
          <w:lang w:val="en-US"/>
        </w:rPr>
        <w:t>penelitian yang di tulis oleh Laelly Marlina Padmawati dengan judul “Tinjauan Yuridis Pemberian Grasi Dalam Kajian Pidana Terkait Efek Jera Pemidanaan”. Dalam Penelitian tersebut menyatakan bahwa: “Bertujuan untuk mengetahui kaitan antara pemberian grasi dengan efek jera pemidanaan dalam perspektif hukum pidana. Penelitian hukum ini merupakan penelitian hukum normatif yang bersifat preskriptif. Penelitian ini menggunakan pendekatan perundang-undangan. Analisis bahan hukum ini menggunakan analisis silogisme deduktif. Hasil penelitian menunjukkan bahwa berdasarkan teori tujuan pemidanaan, pemberian grasi mendukung efek jera suatu pemidanaan. Namun dalam prakteknya. Pemberian grasi dapat mengurangi efek jera dari suatu pemidanaan sehingga terjadi pengulangan kembali tindak pidana tersebut,”</w:t>
      </w:r>
      <w:r>
        <w:rPr>
          <w:rStyle w:val="17"/>
          <w:rFonts w:ascii="Times New Roman" w:hAnsi="Times New Roman" w:cs="Times New Roman"/>
          <w:lang w:val="en-US"/>
        </w:rPr>
        <w:footnoteReference w:id="11"/>
      </w:r>
      <w:r>
        <w:rPr>
          <w:rFonts w:ascii="Times New Roman" w:hAnsi="Times New Roman" w:cs="Times New Roman"/>
          <w:lang w:val="en-US"/>
        </w:rPr>
        <w:t xml:space="preserve"> Objek penelitian saya lebih fokus kepada kenapa grasi perlu diberikan kepada terpidana hukuman mati, dengan perspektif Al Qur’an dan Hadis serta penjelasan tafsir mengenai dianjurkannya memberi pengampunan kepada orang lain terutama dalam kasus pidana narkotika.</w:t>
      </w:r>
    </w:p>
    <w:p>
      <w:pPr>
        <w:pStyle w:val="4"/>
        <w:tabs>
          <w:tab w:val="left" w:pos="440"/>
        </w:tabs>
        <w:spacing w:after="0" w:line="312" w:lineRule="auto"/>
        <w:ind w:left="436" w:leftChars="198" w:right="-99" w:rightChars="-45" w:firstLine="442" w:firstLineChars="201"/>
        <w:jc w:val="both"/>
        <w:rPr>
          <w:rFonts w:ascii="Times New Roman" w:hAnsi="Times New Roman" w:eastAsia="SimSun" w:cs="Times New Roman"/>
          <w:lang w:val="en-US"/>
        </w:rPr>
      </w:pPr>
      <w:r>
        <w:rPr>
          <w:rFonts w:ascii="Times New Roman" w:hAnsi="Times New Roman" w:cs="Times New Roman"/>
          <w:i/>
          <w:iCs/>
          <w:lang w:val="en-US"/>
        </w:rPr>
        <w:t>Ke-lima,</w:t>
      </w:r>
      <w:r>
        <w:rPr>
          <w:rFonts w:ascii="Times New Roman" w:hAnsi="Times New Roman" w:cs="Times New Roman"/>
          <w:lang w:val="en-US"/>
        </w:rPr>
        <w:t xml:space="preserve"> penelitian jurnal yang ditulis Oleh Jihadini Nur Azizah Dan Siti Ngainnur Rohmah dengan judul “</w:t>
      </w:r>
      <w:r>
        <w:rPr>
          <w:rFonts w:ascii="Times New Roman" w:hAnsi="Times New Roman" w:eastAsia="SimSun" w:cs="Times New Roman"/>
        </w:rPr>
        <w:t>Kewenangan Presiden dalam Pemberian Grasi Kepada Terpidana Narkotika, Psikotropika dan Bahan Adiktif Perspektif Fiqih Siyasah</w:t>
      </w:r>
      <w:r>
        <w:rPr>
          <w:rFonts w:ascii="Times New Roman" w:hAnsi="Times New Roman" w:eastAsia="SimSun" w:cs="Times New Roman"/>
          <w:lang w:val="en-US"/>
        </w:rPr>
        <w:t xml:space="preserve">”. Dalam penelitian tersebut menyatakan bahwa “Pemberian pengampuanan atau grasi merupakan wewenang Presiden. Grasi boleh diberikan kepada Terpidana narkotika, karena pidana tersebut termasuk kedalam jarima </w:t>
      </w:r>
      <w:r>
        <w:rPr>
          <w:rFonts w:ascii="Times New Roman" w:hAnsi="Times New Roman" w:eastAsia="SimSun" w:cs="Times New Roman"/>
          <w:i/>
          <w:iCs/>
          <w:lang w:val="en-US"/>
        </w:rPr>
        <w:t>ta’zir.</w:t>
      </w:r>
      <w:r>
        <w:rPr>
          <w:rFonts w:ascii="Times New Roman" w:hAnsi="Times New Roman" w:eastAsia="SimSun" w:cs="Times New Roman"/>
          <w:lang w:val="en-US"/>
        </w:rPr>
        <w:t xml:space="preserve"> Di mana hukumnya ditentukan oleh hakim atau kepala negara. Pertimbanan grasi juga diberikan oleh Mahkamah Agung kepada Presiden, dalam putusan tersebut Presiden harus benar-benar mempertmbangkan dengan seksama bagaimana dampak ke depannya yang akan berakibat karena pemberian grasi tersebut dan pemberian grasi tersebut juga bertujuan untuk kemaslahatan umat</w:t>
      </w:r>
      <w:r>
        <w:rPr>
          <w:rFonts w:ascii="Times New Roman" w:hAnsi="Times New Roman" w:eastAsia="SimSun" w:cs="Times New Roman"/>
        </w:rPr>
        <w:t>.</w:t>
      </w:r>
      <w:r>
        <w:rPr>
          <w:rFonts w:ascii="Times New Roman" w:hAnsi="Times New Roman" w:eastAsia="SimSun" w:cs="Times New Roman"/>
          <w:lang w:val="en-US"/>
        </w:rPr>
        <w:t>”</w:t>
      </w:r>
      <w:r>
        <w:rPr>
          <w:rStyle w:val="17"/>
          <w:rFonts w:ascii="Times New Roman" w:hAnsi="Times New Roman" w:eastAsia="SimSun" w:cs="Times New Roman"/>
        </w:rPr>
        <w:footnoteReference w:id="12"/>
      </w:r>
      <w:r>
        <w:rPr>
          <w:rFonts w:ascii="Times New Roman" w:hAnsi="Times New Roman" w:eastAsia="SimSun" w:cs="Times New Roman"/>
          <w:lang w:val="en-US"/>
        </w:rPr>
        <w:t xml:space="preserve"> Objek penelitian saya lebih fokus kepada bagaimana alasan Islam sangat mengannjurkan pemberian grasi terutama dalam grasi yang diberikan kepada terpidana hukuman mati.</w:t>
      </w:r>
    </w:p>
    <w:p>
      <w:pPr>
        <w:pStyle w:val="4"/>
        <w:tabs>
          <w:tab w:val="left" w:pos="440"/>
        </w:tabs>
        <w:spacing w:after="0" w:line="312" w:lineRule="auto"/>
        <w:ind w:left="436" w:leftChars="198" w:right="-99" w:rightChars="-45" w:firstLine="442" w:firstLineChars="201"/>
        <w:jc w:val="both"/>
        <w:rPr>
          <w:rFonts w:ascii="Times New Roman" w:hAnsi="Times New Roman" w:eastAsia="SimSun" w:cs="Times New Roman"/>
          <w:lang w:val="en-US"/>
        </w:rPr>
      </w:pPr>
      <w:r>
        <w:rPr>
          <w:rFonts w:ascii="Times New Roman" w:hAnsi="Times New Roman" w:cs="Times New Roman"/>
          <w:i/>
          <w:iCs/>
          <w:lang w:val="en-US"/>
        </w:rPr>
        <w:t xml:space="preserve">Ke-enam, </w:t>
      </w:r>
      <w:r>
        <w:rPr>
          <w:rFonts w:ascii="Times New Roman" w:hAnsi="Times New Roman" w:cs="Times New Roman"/>
          <w:lang w:val="en-US"/>
        </w:rPr>
        <w:t xml:space="preserve">penelitian jurnal yang ditulis oleh </w:t>
      </w:r>
      <w:r>
        <w:rPr>
          <w:rFonts w:ascii="Times New Roman" w:hAnsi="Times New Roman" w:eastAsia="SimSun" w:cs="Times New Roman"/>
        </w:rPr>
        <w:t>Froyland Matthew Karundeng</w:t>
      </w:r>
      <w:r>
        <w:rPr>
          <w:rFonts w:ascii="Times New Roman" w:hAnsi="Times New Roman" w:eastAsia="SimSun" w:cs="Times New Roman"/>
          <w:lang w:val="en-US"/>
        </w:rPr>
        <w:t>,</w:t>
      </w:r>
      <w:r>
        <w:rPr>
          <w:rFonts w:ascii="Times New Roman" w:hAnsi="Times New Roman" w:eastAsia="SimSun" w:cs="Times New Roman"/>
        </w:rPr>
        <w:t xml:space="preserve"> Daniel F. Aling</w:t>
      </w:r>
      <w:r>
        <w:rPr>
          <w:rFonts w:ascii="Times New Roman" w:hAnsi="Times New Roman" w:eastAsia="SimSun" w:cs="Times New Roman"/>
          <w:lang w:val="en-US"/>
        </w:rPr>
        <w:t xml:space="preserve"> dan</w:t>
      </w:r>
      <w:r>
        <w:rPr>
          <w:rFonts w:ascii="Times New Roman" w:hAnsi="Times New Roman" w:eastAsia="SimSun" w:cs="Times New Roman"/>
        </w:rPr>
        <w:t xml:space="preserve"> Marthin Doodoh</w:t>
      </w:r>
      <w:r>
        <w:rPr>
          <w:rFonts w:ascii="Times New Roman" w:hAnsi="Times New Roman" w:eastAsia="SimSun" w:cs="Times New Roman"/>
          <w:lang w:val="en-US"/>
        </w:rPr>
        <w:t xml:space="preserve"> dengan judul “</w:t>
      </w:r>
      <w:r>
        <w:rPr>
          <w:rFonts w:ascii="Times New Roman" w:hAnsi="Times New Roman" w:eastAsia="SimSun" w:cs="Times New Roman"/>
        </w:rPr>
        <w:t>Kajian Hukum Tentang Grasi Terhadap Terpidana Mati Kasus Narkoba</w:t>
      </w:r>
      <w:r>
        <w:rPr>
          <w:rFonts w:ascii="Times New Roman" w:hAnsi="Times New Roman" w:eastAsia="SimSun" w:cs="Times New Roman"/>
          <w:lang w:val="en-US"/>
        </w:rPr>
        <w:t>”. Dalam penelitian tersebut penulis menyatakan b</w:t>
      </w:r>
      <w:r>
        <w:rPr>
          <w:rFonts w:ascii="Times New Roman" w:hAnsi="Times New Roman" w:eastAsia="SimSun" w:cs="Times New Roman"/>
        </w:rPr>
        <w:t xml:space="preserve">ahwa </w:t>
      </w:r>
      <w:r>
        <w:rPr>
          <w:rFonts w:ascii="Times New Roman" w:hAnsi="Times New Roman" w:eastAsia="SimSun" w:cs="Times New Roman"/>
          <w:lang w:val="en-US"/>
        </w:rPr>
        <w:t>“grasi merupakan bagian dari Hukum Tatat Negara, khususnya dalam pembagian kekuasaan adalah kekuasaan Presiden sebagai Eksekutif ddalam bidang Yudikatif dari sinilah unsur hukum tata negaranya. Suatu putusan Pengadilan perkara pidana yang berkekuatan hukum tetap merupakan unsur hukum itu sendiri, hukuman mati dalam hal ini bisa dihapuskan karena adanya grasi bisa dengan diubah hukumannya dari hukuman mati menajadi hukuman penjara seumur hidup 20 tahun penjara. Jadi dalam hal tersebut penulis memberi kesimpulan grasi merupakan titik temudari dua bagian hukum, yaitu hukum pidana dan hukum tata negara. Bahwa di Indonesia penjatuhan hukuman mati belum dihapus dan masih berlaku dalam KUHP dalam Pasal 10.”</w:t>
      </w:r>
      <w:r>
        <w:rPr>
          <w:rStyle w:val="17"/>
          <w:rFonts w:ascii="Times New Roman" w:hAnsi="Times New Roman" w:eastAsia="SimSun" w:cs="Times New Roman"/>
          <w:lang w:val="en-US"/>
        </w:rPr>
        <w:footnoteReference w:id="13"/>
      </w:r>
      <w:r>
        <w:rPr>
          <w:rFonts w:ascii="Times New Roman" w:hAnsi="Times New Roman" w:eastAsia="SimSun" w:cs="Times New Roman"/>
          <w:lang w:val="en-US"/>
        </w:rPr>
        <w:t xml:space="preserve"> Objek penelitian saya lebih fokus terhadap pemberian grasi terhdap tindak pidana narkotika perspektif hukum pidana Islam berdasarkan cerita-cerita Nabi di dalam Hadis.</w:t>
      </w:r>
    </w:p>
    <w:p>
      <w:pPr>
        <w:pStyle w:val="4"/>
        <w:tabs>
          <w:tab w:val="left" w:pos="90"/>
        </w:tabs>
        <w:spacing w:after="0" w:line="312" w:lineRule="auto"/>
        <w:ind w:left="0" w:right="-99" w:rightChars="-45"/>
        <w:jc w:val="both"/>
        <w:rPr>
          <w:rFonts w:ascii="Times New Roman" w:hAnsi="Times New Roman" w:cs="Times New Roman"/>
          <w:lang w:val="en-US"/>
        </w:rPr>
      </w:pPr>
    </w:p>
    <w:p>
      <w:pPr>
        <w:pStyle w:val="3"/>
      </w:pPr>
      <w:bookmarkStart w:id="16" w:name="_Toc199801656"/>
      <w:r>
        <w:t>Metode Penelitian</w:t>
      </w:r>
      <w:bookmarkEnd w:id="16"/>
    </w:p>
    <w:p>
      <w:pPr>
        <w:pStyle w:val="4"/>
        <w:tabs>
          <w:tab w:val="left" w:pos="440"/>
        </w:tabs>
        <w:spacing w:after="0" w:line="312" w:lineRule="auto"/>
        <w:ind w:left="440" w:leftChars="200" w:right="-99" w:rightChars="-45" w:firstLine="440" w:firstLineChars="200"/>
        <w:jc w:val="both"/>
        <w:rPr>
          <w:rFonts w:ascii="Times New Roman" w:hAnsi="Times New Roman" w:cs="Times New Roman"/>
          <w:b/>
          <w:bCs/>
          <w:lang w:val="en-US"/>
        </w:rPr>
      </w:pPr>
      <w:r>
        <w:rPr>
          <w:rFonts w:asciiTheme="majorBidi" w:hAnsiTheme="majorBidi" w:cstheme="majorBidi"/>
          <w:shd w:val="clear" w:color="auto" w:fill="FFFFFF"/>
        </w:rPr>
        <w:t xml:space="preserve">Penelitian adalah sarana untuk mengembangkan </w:t>
      </w:r>
      <w:r>
        <w:rPr>
          <w:rFonts w:asciiTheme="majorBidi" w:hAnsiTheme="majorBidi" w:cstheme="majorBidi"/>
          <w:shd w:val="clear" w:color="auto" w:fill="FFFFFF"/>
          <w:lang w:val="en-US"/>
        </w:rPr>
        <w:t xml:space="preserve">ilmu </w:t>
      </w:r>
      <w:r>
        <w:rPr>
          <w:rFonts w:asciiTheme="majorBidi" w:hAnsiTheme="majorBidi" w:cstheme="majorBidi"/>
          <w:shd w:val="clear" w:color="auto" w:fill="FFFFFF"/>
        </w:rPr>
        <w:t xml:space="preserve">pengetahuan baik secara teoritis maupun praktis. Penelitian merupakan komponen utama dalam </w:t>
      </w:r>
      <w:r>
        <w:rPr>
          <w:rFonts w:asciiTheme="majorBidi" w:hAnsiTheme="majorBidi" w:cstheme="majorBidi"/>
          <w:shd w:val="clear" w:color="auto" w:fill="FFFFFF"/>
          <w:lang w:val="en-US"/>
        </w:rPr>
        <w:t xml:space="preserve">ilmu </w:t>
      </w:r>
      <w:r>
        <w:rPr>
          <w:rFonts w:asciiTheme="majorBidi" w:hAnsiTheme="majorBidi" w:cstheme="majorBidi"/>
          <w:shd w:val="clear" w:color="auto" w:fill="FFFFFF"/>
        </w:rPr>
        <w:t>pengetahuan yang bertujuan untuk memahami dan mendalami berbagai aspek kehidupan.</w:t>
      </w:r>
      <w:r>
        <w:rPr>
          <w:rStyle w:val="17"/>
          <w:rFonts w:asciiTheme="majorBidi" w:hAnsiTheme="majorBidi" w:cstheme="majorBidi"/>
          <w:shd w:val="clear" w:color="auto" w:fill="FFFFFF"/>
        </w:rPr>
        <w:footnoteReference w:id="14"/>
      </w:r>
    </w:p>
    <w:p>
      <w:pPr>
        <w:pStyle w:val="4"/>
        <w:numPr>
          <w:ilvl w:val="0"/>
          <w:numId w:val="17"/>
        </w:numPr>
        <w:tabs>
          <w:tab w:val="left" w:pos="90"/>
        </w:tabs>
        <w:spacing w:after="0" w:line="312" w:lineRule="auto"/>
        <w:ind w:left="667" w:right="-99" w:rightChars="-45" w:hanging="227"/>
        <w:jc w:val="both"/>
        <w:rPr>
          <w:rFonts w:ascii="Times New Roman" w:hAnsi="Times New Roman" w:cs="Times New Roman"/>
          <w:b/>
          <w:bCs/>
          <w:lang w:val="en-US"/>
        </w:rPr>
      </w:pPr>
      <w:r>
        <w:rPr>
          <w:rFonts w:ascii="Times New Roman" w:hAnsi="Times New Roman" w:cs="Times New Roman"/>
          <w:b/>
          <w:bCs/>
          <w:lang w:val="en-US"/>
        </w:rPr>
        <w:t>Jenis Penelitian</w:t>
      </w:r>
    </w:p>
    <w:p>
      <w:pPr>
        <w:pStyle w:val="4"/>
        <w:tabs>
          <w:tab w:val="left" w:pos="90"/>
        </w:tabs>
        <w:spacing w:after="0" w:line="312" w:lineRule="auto"/>
        <w:ind w:left="667" w:right="-99" w:rightChars="-45" w:firstLine="433"/>
        <w:jc w:val="both"/>
        <w:rPr>
          <w:rFonts w:ascii="Times New Roman" w:hAnsi="Times New Roman" w:cs="Times New Roman"/>
          <w:lang w:val="en-US"/>
        </w:rPr>
      </w:pPr>
      <w:r>
        <w:rPr>
          <w:rFonts w:ascii="Times New Roman" w:hAnsi="Times New Roman" w:cs="Times New Roman"/>
          <w:lang w:val="en-US"/>
        </w:rPr>
        <w:t>Penulis dalam penelitian ini menggunakan jenis penelitian hukum Normatif yakni suatu penelitian hukum yang menggabungkan antara unsur normatif yang berkaitan dengan pemberlakuan hukum normatif (Undang-Undang, Kodifikasi, atau Norma Hukum) yang berlaku di tengah masyarakat. Dengan melihat penelitian ini dari dua sisi hukum pidana positif dan hukum pidana Islam yang menitik beratkan dalam pemberian grasi terhadap terpidana hukuman mati kasus narkotika perspektif hukum pidana positif dan Islam..</w:t>
      </w:r>
    </w:p>
    <w:p>
      <w:pPr>
        <w:pStyle w:val="4"/>
        <w:numPr>
          <w:ilvl w:val="0"/>
          <w:numId w:val="17"/>
        </w:numPr>
        <w:tabs>
          <w:tab w:val="left" w:pos="90"/>
        </w:tabs>
        <w:spacing w:after="0" w:line="312" w:lineRule="auto"/>
        <w:ind w:left="667" w:right="-99" w:rightChars="-45" w:hanging="227"/>
        <w:jc w:val="both"/>
        <w:rPr>
          <w:rFonts w:ascii="Times New Roman" w:hAnsi="Times New Roman" w:cs="Times New Roman"/>
          <w:b/>
          <w:bCs/>
          <w:lang w:val="en-US"/>
        </w:rPr>
      </w:pPr>
      <w:r>
        <w:rPr>
          <w:rFonts w:ascii="Times New Roman" w:hAnsi="Times New Roman" w:cs="Times New Roman"/>
          <w:b/>
          <w:bCs/>
          <w:lang w:val="en-US"/>
        </w:rPr>
        <w:t>Sumber Data</w:t>
      </w:r>
    </w:p>
    <w:p>
      <w:pPr>
        <w:spacing w:after="0" w:line="312" w:lineRule="auto"/>
        <w:ind w:left="660" w:leftChars="300" w:firstLine="440" w:firstLineChars="200"/>
        <w:jc w:val="both"/>
        <w:rPr>
          <w:rFonts w:ascii="Times New Roman" w:hAnsi="Times New Roman" w:cs="Times New Roman"/>
        </w:rPr>
      </w:pPr>
      <w:r>
        <w:rPr>
          <w:rFonts w:ascii="Times New Roman" w:hAnsi="Times New Roman" w:cs="Times New Roman"/>
          <w:lang w:val="en-US"/>
        </w:rPr>
        <w:t>S</w:t>
      </w:r>
      <w:r>
        <w:rPr>
          <w:rFonts w:ascii="Times New Roman" w:hAnsi="Times New Roman" w:cs="Times New Roman"/>
        </w:rPr>
        <w:t>umber data adalah tempat atau entitas dari mana data diperoleh.  Sumber data juga bisa dibedakan menjadi data primer (diperoleh langsung dari sumber pertama) dan data sekunder (diperoleh dari pihak lain).</w:t>
      </w:r>
      <w:r>
        <w:rPr>
          <w:rStyle w:val="17"/>
          <w:rFonts w:ascii="Times New Roman" w:hAnsi="Times New Roman" w:cs="Times New Roman"/>
        </w:rPr>
        <w:footnoteReference w:id="15"/>
      </w:r>
      <w:r>
        <w:rPr>
          <w:rFonts w:ascii="Times New Roman" w:hAnsi="Times New Roman" w:cs="Times New Roman"/>
        </w:rPr>
        <w:t> </w:t>
      </w:r>
    </w:p>
    <w:p>
      <w:pPr>
        <w:spacing w:after="0" w:line="312" w:lineRule="auto"/>
        <w:ind w:left="660" w:leftChars="300" w:firstLine="440" w:firstLineChars="200"/>
        <w:jc w:val="both"/>
        <w:rPr>
          <w:rFonts w:ascii="Times New Roman" w:hAnsi="Times New Roman" w:cs="Times New Roman"/>
          <w:lang w:val="en-US"/>
        </w:rPr>
      </w:pPr>
      <w:r>
        <w:rPr>
          <w:rFonts w:ascii="Times New Roman" w:hAnsi="Times New Roman" w:cs="Times New Roman"/>
          <w:lang w:val="en-US"/>
        </w:rPr>
        <w:t>Peneliti menggunakan sumber data sekunder, karena tidak memperoleh data langsung dari sumber pertama, melainkan data diperoleh dari bahan-bahan pustaka. Dalam penelitian hukum sekunder mencakup 3 bahan hukum, yaitu:</w:t>
      </w:r>
      <w:r>
        <w:rPr>
          <w:rStyle w:val="17"/>
          <w:rFonts w:ascii="Times New Roman" w:hAnsi="Times New Roman" w:cs="Times New Roman"/>
          <w:lang w:val="en-US"/>
        </w:rPr>
        <w:footnoteReference w:id="16"/>
      </w:r>
    </w:p>
    <w:p>
      <w:pPr>
        <w:pStyle w:val="4"/>
        <w:numPr>
          <w:ilvl w:val="0"/>
          <w:numId w:val="18"/>
        </w:numPr>
        <w:tabs>
          <w:tab w:val="left" w:pos="90"/>
        </w:tabs>
        <w:spacing w:after="0" w:line="312" w:lineRule="auto"/>
        <w:ind w:left="894" w:right="-99" w:rightChars="-45" w:hanging="234"/>
        <w:jc w:val="both"/>
        <w:rPr>
          <w:rFonts w:ascii="Times New Roman" w:hAnsi="Times New Roman" w:cs="Times New Roman"/>
          <w:lang w:val="en-US"/>
        </w:rPr>
      </w:pPr>
      <w:r>
        <w:rPr>
          <w:rFonts w:ascii="Times New Roman" w:hAnsi="Times New Roman" w:cs="Times New Roman"/>
          <w:lang w:val="en-US"/>
        </w:rPr>
        <w:t>Bahan hukum primer, yaitu bahan-bahan hukum yang mengikat yang memiliki otoritas hukum. Al-Qur’an dan Hadist, Undang-Undang Dasar Negara Republik Indonesia Tahun 1945, Keputusan Presiden</w:t>
      </w:r>
      <w:r>
        <w:rPr>
          <w:rFonts w:ascii="Times New Roman" w:hAnsi="Times New Roman" w:eastAsia="SimSun" w:cs="Times New Roman"/>
        </w:rPr>
        <w:t xml:space="preserve"> Data primer ini berupa data-data yang otentik, objektif, dan reliabel</w:t>
      </w:r>
      <w:r>
        <w:rPr>
          <w:rFonts w:ascii="Times New Roman" w:hAnsi="Times New Roman" w:eastAsia="SimSun" w:cs="Times New Roman"/>
          <w:lang w:val="en-US"/>
        </w:rPr>
        <w:t xml:space="preserve"> k</w:t>
      </w:r>
      <w:r>
        <w:rPr>
          <w:rFonts w:ascii="Times New Roman" w:hAnsi="Times New Roman" w:cs="Times New Roman"/>
          <w:lang w:val="en-US"/>
        </w:rPr>
        <w:t>arena data tersebut akan digunakan sebagai dasar untuk memecahkan suatu permasalahan.</w:t>
      </w:r>
      <w:r>
        <w:rPr>
          <w:rStyle w:val="17"/>
          <w:rFonts w:ascii="Times New Roman" w:hAnsi="Times New Roman" w:cs="Times New Roman"/>
          <w:lang w:val="en-US"/>
        </w:rPr>
        <w:footnoteReference w:id="17"/>
      </w:r>
      <w:r>
        <w:rPr>
          <w:rFonts w:ascii="Times New Roman" w:hAnsi="Times New Roman" w:cs="Times New Roman"/>
          <w:lang w:val="en-US"/>
        </w:rPr>
        <w:t xml:space="preserve"> </w:t>
      </w:r>
    </w:p>
    <w:p>
      <w:pPr>
        <w:pStyle w:val="4"/>
        <w:numPr>
          <w:ilvl w:val="0"/>
          <w:numId w:val="18"/>
        </w:numPr>
        <w:tabs>
          <w:tab w:val="left" w:pos="90"/>
        </w:tabs>
        <w:spacing w:after="0" w:line="312" w:lineRule="auto"/>
        <w:ind w:left="894" w:right="-99" w:rightChars="-45" w:hanging="234"/>
        <w:jc w:val="both"/>
        <w:rPr>
          <w:rFonts w:ascii="Times New Roman" w:hAnsi="Times New Roman" w:cs="Times New Roman"/>
          <w:lang w:val="en-US"/>
        </w:rPr>
      </w:pPr>
      <w:r>
        <w:rPr>
          <w:rFonts w:ascii="Times New Roman" w:hAnsi="Times New Roman" w:cs="Times New Roman"/>
          <w:lang w:val="en-US"/>
        </w:rPr>
        <w:t xml:space="preserve">Bahan hukum sekunder, yaitu penjelasan yang berkaitan dengan bahan hukum primer yang memberikan penjelasan mengenai analisis yang terdiri dari buku yang ditulis oleh ahli hukum, jurnal ilmiah hukum, pendapat para ahli hukum, rancangan Undang-Undang dan karya ilmiah hukum.  </w:t>
      </w:r>
    </w:p>
    <w:p>
      <w:pPr>
        <w:pStyle w:val="4"/>
        <w:numPr>
          <w:ilvl w:val="0"/>
          <w:numId w:val="18"/>
        </w:numPr>
        <w:tabs>
          <w:tab w:val="left" w:pos="90"/>
        </w:tabs>
        <w:spacing w:after="0" w:line="312" w:lineRule="auto"/>
        <w:ind w:left="894" w:right="-99" w:rightChars="-45" w:hanging="234"/>
        <w:jc w:val="both"/>
        <w:rPr>
          <w:rFonts w:ascii="Times New Roman" w:hAnsi="Times New Roman" w:cs="Times New Roman"/>
          <w:lang w:val="en-US"/>
        </w:rPr>
      </w:pPr>
      <w:r>
        <w:rPr>
          <w:rFonts w:ascii="Times New Roman" w:hAnsi="Times New Roman" w:cs="Times New Roman"/>
          <w:lang w:val="en-US"/>
        </w:rPr>
        <w:t>Bahan Hukum Tersier, yaitu bahan hukum yang memberikan penjelasan terhadap bahan hukum primer dan sekunder. Adapun yang digunakan dalam penelitian ini terdiri dari, kamu s hukum, majalah dan Media masa, yaitu internet.</w:t>
      </w:r>
    </w:p>
    <w:p>
      <w:pPr>
        <w:pStyle w:val="4"/>
        <w:numPr>
          <w:ilvl w:val="0"/>
          <w:numId w:val="17"/>
        </w:numPr>
        <w:tabs>
          <w:tab w:val="left" w:pos="90"/>
        </w:tabs>
        <w:spacing w:after="0" w:line="312" w:lineRule="auto"/>
        <w:ind w:left="667" w:right="-99" w:rightChars="-45" w:hanging="227"/>
        <w:jc w:val="both"/>
        <w:rPr>
          <w:rFonts w:ascii="Times New Roman" w:hAnsi="Times New Roman" w:cs="Times New Roman"/>
          <w:b/>
          <w:bCs/>
          <w:lang w:val="en-US"/>
        </w:rPr>
      </w:pPr>
      <w:r>
        <w:rPr>
          <w:rFonts w:ascii="Times New Roman" w:hAnsi="Times New Roman" w:cs="Times New Roman"/>
          <w:b/>
          <w:bCs/>
          <w:lang w:val="en-US"/>
        </w:rPr>
        <w:t>Teknik Pengumpulan Data</w:t>
      </w:r>
    </w:p>
    <w:p>
      <w:pPr>
        <w:spacing w:after="0" w:line="312" w:lineRule="auto"/>
        <w:ind w:left="720" w:firstLine="720"/>
        <w:jc w:val="both"/>
        <w:rPr>
          <w:rFonts w:ascii="Times New Roman" w:hAnsi="Times New Roman" w:cs="Times New Roman"/>
          <w:b/>
          <w:bCs/>
          <w:lang w:val="en-US"/>
        </w:rPr>
      </w:pPr>
      <w:r>
        <w:rPr>
          <w:rFonts w:asciiTheme="majorBidi" w:hAnsiTheme="majorBidi" w:cstheme="majorBidi"/>
          <w:shd w:val="clear" w:color="auto" w:fill="FFFFFF"/>
          <w:lang w:val="en-US"/>
        </w:rPr>
        <w:t xml:space="preserve">Dalam </w:t>
      </w:r>
      <w:r>
        <w:rPr>
          <w:rFonts w:asciiTheme="majorBidi" w:hAnsiTheme="majorBidi" w:cstheme="majorBidi"/>
          <w:shd w:val="clear" w:color="auto" w:fill="FFFFFF"/>
        </w:rPr>
        <w:t>penelitian skripsi in</w:t>
      </w:r>
      <w:r>
        <w:rPr>
          <w:rFonts w:asciiTheme="majorBidi" w:hAnsiTheme="majorBidi" w:cstheme="majorBidi"/>
          <w:shd w:val="clear" w:color="auto" w:fill="FFFFFF"/>
          <w:lang w:val="en-US"/>
        </w:rPr>
        <w:t>i, untuk mengumpulkan data</w:t>
      </w:r>
      <w:r>
        <w:rPr>
          <w:rFonts w:asciiTheme="majorBidi" w:hAnsiTheme="majorBidi" w:cstheme="majorBidi"/>
          <w:shd w:val="clear" w:color="auto" w:fill="FFFFFF"/>
        </w:rPr>
        <w:t xml:space="preserve"> digunakan teknik dokumentasi yang melibatkan buku-buku dan </w:t>
      </w:r>
      <w:r>
        <w:rPr>
          <w:rFonts w:asciiTheme="majorBidi" w:hAnsiTheme="majorBidi" w:cstheme="majorBidi"/>
          <w:shd w:val="clear" w:color="auto" w:fill="FFFFFF"/>
          <w:lang w:val="en-US"/>
        </w:rPr>
        <w:t>Kitab</w:t>
      </w:r>
      <w:r>
        <w:rPr>
          <w:rFonts w:asciiTheme="majorBidi" w:hAnsiTheme="majorBidi" w:cstheme="majorBidi"/>
          <w:shd w:val="clear" w:color="auto" w:fill="FFFFFF"/>
        </w:rPr>
        <w:t>-</w:t>
      </w:r>
      <w:r>
        <w:rPr>
          <w:rFonts w:asciiTheme="majorBidi" w:hAnsiTheme="majorBidi" w:cstheme="majorBidi"/>
          <w:shd w:val="clear" w:color="auto" w:fill="FFFFFF"/>
          <w:lang w:val="en-US"/>
        </w:rPr>
        <w:t>kitab</w:t>
      </w:r>
      <w:r>
        <w:rPr>
          <w:rFonts w:asciiTheme="majorBidi" w:hAnsiTheme="majorBidi" w:cstheme="majorBidi"/>
          <w:shd w:val="clear" w:color="auto" w:fill="FFFFFF"/>
        </w:rPr>
        <w:t xml:space="preserve"> yang relevan dengan pokok masalah yang diteliti, seperti karya-karya </w:t>
      </w:r>
      <w:r>
        <w:rPr>
          <w:rFonts w:asciiTheme="majorBidi" w:hAnsiTheme="majorBidi" w:cstheme="majorBidi"/>
          <w:shd w:val="clear" w:color="auto" w:fill="FFFFFF"/>
          <w:lang w:val="en-US"/>
        </w:rPr>
        <w:t>buku yang membahas tentang hukum dan kitab yang berkaitan dengan penelitian, arsip, tulisan dan gambar yang dapat mendukung penelitian, yang kemudianyang di kemudian dikelompokan sesuai dengan Rumusan masalah.</w:t>
      </w:r>
    </w:p>
    <w:p>
      <w:pPr>
        <w:pStyle w:val="4"/>
        <w:numPr>
          <w:ilvl w:val="0"/>
          <w:numId w:val="17"/>
        </w:numPr>
        <w:tabs>
          <w:tab w:val="left" w:pos="90"/>
        </w:tabs>
        <w:spacing w:after="0" w:line="312" w:lineRule="auto"/>
        <w:ind w:left="667" w:right="-99" w:rightChars="-45" w:hanging="227"/>
        <w:jc w:val="both"/>
        <w:rPr>
          <w:rFonts w:ascii="Times New Roman" w:hAnsi="Times New Roman" w:cs="Times New Roman"/>
          <w:b/>
          <w:bCs/>
          <w:lang w:val="en-US"/>
        </w:rPr>
      </w:pPr>
      <w:r>
        <w:rPr>
          <w:rFonts w:ascii="Times New Roman" w:hAnsi="Times New Roman" w:cs="Times New Roman"/>
          <w:b/>
          <w:bCs/>
          <w:lang w:val="en-US"/>
        </w:rPr>
        <w:t>Analisis Data</w:t>
      </w:r>
    </w:p>
    <w:p>
      <w:pPr>
        <w:pStyle w:val="4"/>
        <w:tabs>
          <w:tab w:val="left" w:pos="90"/>
        </w:tabs>
        <w:spacing w:after="0" w:line="312" w:lineRule="auto"/>
        <w:ind w:left="669" w:right="-99" w:rightChars="-45" w:firstLine="431"/>
        <w:jc w:val="both"/>
        <w:rPr>
          <w:rFonts w:ascii="Times New Roman" w:hAnsi="Times New Roman" w:cs="Times New Roman"/>
          <w:lang w:val="en-US"/>
        </w:rPr>
      </w:pPr>
      <w:r>
        <w:rPr>
          <w:rFonts w:ascii="Times New Roman" w:hAnsi="Times New Roman" w:cs="Times New Roman"/>
          <w:b/>
          <w:bCs/>
          <w:lang w:val="en-US"/>
        </w:rPr>
        <w:t xml:space="preserve"> </w:t>
      </w:r>
      <w:r>
        <w:rPr>
          <w:rFonts w:ascii="Times New Roman" w:hAnsi="Times New Roman" w:cs="Times New Roman"/>
          <w:lang w:val="en-US"/>
        </w:rPr>
        <w:t>Teknis analisis data bersifat induktif dengan menganalisis data yang diperoleh, selanjutnya dikembangkan menjadi dugaan-dugaan atau kesimpulan sementara. Dari data kesimplan tersebut selanjutnya diteliti lagi dengan data yang baru, secara berulang-ulang sehingga dapat disimpulkan apakah dugaan tersebut dapat diterima atau ditolak dengan semua data yang sudah dianalisis.</w:t>
      </w:r>
      <w:r>
        <w:rPr>
          <w:rStyle w:val="17"/>
          <w:rFonts w:ascii="Times New Roman" w:hAnsi="Times New Roman" w:cs="Times New Roman"/>
          <w:lang w:val="en-US"/>
        </w:rPr>
        <w:footnoteReference w:id="18"/>
      </w:r>
      <w:r>
        <w:rPr>
          <w:rFonts w:ascii="Times New Roman" w:hAnsi="Times New Roman" w:cs="Times New Roman"/>
          <w:lang w:val="en-US"/>
        </w:rPr>
        <w:t xml:space="preserve"> </w:t>
      </w:r>
    </w:p>
    <w:p>
      <w:pPr>
        <w:spacing w:after="0" w:line="312" w:lineRule="auto"/>
        <w:ind w:left="720" w:firstLine="720"/>
        <w:jc w:val="both"/>
        <w:rPr>
          <w:rFonts w:asciiTheme="majorBidi" w:hAnsiTheme="majorBidi" w:cstheme="majorBidi"/>
          <w:shd w:val="clear" w:color="auto" w:fill="FFFFFF"/>
        </w:rPr>
      </w:pPr>
      <w:r>
        <w:rPr>
          <w:rFonts w:asciiTheme="majorBidi" w:hAnsiTheme="majorBidi" w:cstheme="majorBidi"/>
          <w:shd w:val="clear" w:color="auto" w:fill="FFFFFF"/>
        </w:rPr>
        <w:t>Dalam analisis data ini, penulis menggunakan dua metode utama:</w:t>
      </w:r>
    </w:p>
    <w:p>
      <w:pPr>
        <w:pStyle w:val="4"/>
        <w:numPr>
          <w:ilvl w:val="0"/>
          <w:numId w:val="19"/>
        </w:numPr>
        <w:spacing w:line="312" w:lineRule="auto"/>
        <w:ind w:left="993" w:hanging="283"/>
        <w:jc w:val="both"/>
        <w:rPr>
          <w:rFonts w:asciiTheme="majorBidi" w:hAnsiTheme="majorBidi" w:cstheme="majorBidi"/>
          <w:shd w:val="clear" w:color="auto" w:fill="FFFFFF"/>
        </w:rPr>
      </w:pPr>
      <w:r>
        <w:rPr>
          <w:rFonts w:ascii="Times New Roman" w:hAnsi="Times New Roman" w:cs="Times New Roman"/>
          <w:lang w:val="en-US"/>
        </w:rPr>
        <w:t>Dalam penelitian ini metode pengumpulan data menggunakan metode data kualitatif, yaitu dengan menganalisis secara mendalam dari hasil pencarian buku-buku, dokumen-dokumen, artikel, literatur, jurnal, Ayat Al Qur’an dengan tafsir-tafsir mengenai maaf dan sumber lainnya yang berkaitan atau membahas mengenai pemberian grasi terhadap terpidana hukuman mati kasus narkotika, baik secara hukum pidana positif dan hukum pidana Islam.</w:t>
      </w:r>
    </w:p>
    <w:p>
      <w:pPr>
        <w:pStyle w:val="4"/>
        <w:numPr>
          <w:ilvl w:val="0"/>
          <w:numId w:val="19"/>
        </w:numPr>
        <w:spacing w:line="312" w:lineRule="auto"/>
        <w:ind w:left="993" w:hanging="283"/>
        <w:jc w:val="both"/>
        <w:rPr>
          <w:rFonts w:asciiTheme="majorBidi" w:hAnsiTheme="majorBidi" w:cstheme="majorBidi"/>
          <w:shd w:val="clear" w:color="auto" w:fill="FFFFFF"/>
        </w:rPr>
      </w:pPr>
      <w:r>
        <w:rPr>
          <w:rFonts w:asciiTheme="majorBidi" w:hAnsiTheme="majorBidi" w:cstheme="majorBidi"/>
          <w:shd w:val="clear" w:color="auto" w:fill="FFFFFF"/>
        </w:rPr>
        <w:t xml:space="preserve">Pendekatan penelitian yang digunakan adalah pendekatan normatif, yang berfokus pada peraturan-peraturan tertulis </w:t>
      </w:r>
      <w:r>
        <w:rPr>
          <w:rFonts w:asciiTheme="majorBidi" w:hAnsiTheme="majorBidi" w:cstheme="majorBidi"/>
          <w:shd w:val="clear" w:color="auto" w:fill="FFFFFF"/>
          <w:lang w:val="en-US"/>
        </w:rPr>
        <w:t xml:space="preserve">yang berkaitan dengan pembahasan topik penelitian. </w:t>
      </w:r>
      <w:r>
        <w:rPr>
          <w:rFonts w:asciiTheme="majorBidi" w:hAnsiTheme="majorBidi" w:cstheme="majorBidi"/>
          <w:shd w:val="clear" w:color="auto" w:fill="FFFFFF"/>
        </w:rPr>
        <w:t>Pendekatan ini memerlukan data primer dan sekunder yang diperoleh melalui studi literatur di perpustakaan.</w:t>
      </w:r>
    </w:p>
    <w:p>
      <w:pPr>
        <w:pStyle w:val="4"/>
        <w:tabs>
          <w:tab w:val="left" w:pos="90"/>
        </w:tabs>
        <w:spacing w:after="0" w:line="312" w:lineRule="auto"/>
        <w:ind w:left="0" w:right="-99" w:rightChars="-45"/>
        <w:jc w:val="both"/>
        <w:rPr>
          <w:rFonts w:ascii="Times New Roman" w:hAnsi="Times New Roman" w:cs="Times New Roman"/>
          <w:b/>
          <w:bCs/>
          <w:lang w:val="en-US"/>
        </w:rPr>
      </w:pPr>
    </w:p>
    <w:p>
      <w:pPr>
        <w:pStyle w:val="3"/>
      </w:pPr>
      <w:bookmarkStart w:id="17" w:name="_Toc199801657"/>
      <w:r>
        <w:t>Sistematika Penelitian</w:t>
      </w:r>
      <w:bookmarkEnd w:id="17"/>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 xml:space="preserve">Dalam sistematika pembahasan, terdiri dari 5 bab yang masing-masing bab berkaitan dengan yang lain dari latarbelakang hingga simpulan secara garis besar dari hasil analisis penulis. Setiap bab memiliki subbab masing-masing yang menjelasakan lebih spesifik dan detail dengan bab. Dengan penjelasan secara garis besar adalah sebagai berikut: </w:t>
      </w:r>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 xml:space="preserve">Bab I: Dalam bab ini penulis menguraikan tentang Latar belakang masalah yang terangkum di dalamnya tentang apa yang menjadi alasan memilih judul, dan Rumusan Masalah. Selanjutnya untuk lebih memperjelas maka dikemukakan pula tujuan dan manfaat penulisan yang mengacu pada Rumusan masalah. kemudian agar tidak terjadi pengulangan dan penjiplakan maka dibentangkan pula berbagai hasil penelitian terdahulu yang dituangkan dalam tinjauan pustaka. Demikian pula metode penelitian diungkapkan dengan maksud dapat diketahui apa yang menjadi sumber data, teknik pengumpulan data, analisis data, dan pengembangannya kemudian tampak dalam sistematika penulisan. </w:t>
      </w:r>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Bab II: Dalam bab ini penulis akan memaparkan tentang Tinjauan umum. Dalam hal ini Tinjauan umum tentang narkotika perspektif hukum pidana Islam dan Positif, penjelasan mengenai grasi perspektif hukum pidana Positif (pegertian, sejarah, dasar hukum, dan syarat-syarat pengajuan grasi), grasi perspektif hukum pidana Islam (pengertian, sejarah, dasar hukum, pemberian pengampunan dalam hukum Islam, dan rukun dan syarat pemberian grasi).</w:t>
      </w:r>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Bab III: Dalam bab ini penulis akan memaparkan bagian Pembahasan Tentang Tinjauan Yuridis Grasi yang diberikan kepada MU, bagaimana perkara kasus mudari awal ditangkap menjadi tersangka sampai diberikan grasi oleh Presiden Jokowi.</w:t>
      </w:r>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Bab IV: Bab ini berisi hasil analisi dan penelitian dari data-data yang diperoleh, selama proses analisis serta pembahasan tentang bagaimana sudut pandang hukum pidana Islam dan hukum pidana Positif dalam pemberian grasi, terutama dalam grasi yang diberikan terhadap terpidana hukuman mati kasus narkotika (Keppres No 1/G/2023).</w:t>
      </w:r>
    </w:p>
    <w:p>
      <w:pPr>
        <w:pStyle w:val="4"/>
        <w:tabs>
          <w:tab w:val="left" w:pos="90"/>
        </w:tabs>
        <w:spacing w:after="0" w:line="312" w:lineRule="auto"/>
        <w:ind w:left="284" w:right="-99" w:rightChars="-45" w:firstLine="436"/>
        <w:jc w:val="both"/>
        <w:rPr>
          <w:rFonts w:ascii="Times New Roman" w:hAnsi="Times New Roman" w:cs="Times New Roman"/>
          <w:lang w:val="en-US"/>
        </w:rPr>
      </w:pPr>
      <w:r>
        <w:rPr>
          <w:rFonts w:ascii="Times New Roman" w:hAnsi="Times New Roman" w:cs="Times New Roman"/>
          <w:lang w:val="en-US"/>
        </w:rPr>
        <w:t>Bab V: Dalam bab ini merupakan bagian terakhir yang akan menyimpulkan dari keseluruhan pembahasan, mulai dari pembahasan awal sampai pembahasan akhir. Serta saran yang bersifat membangun untuk perbaikan dan penyempurnaan skripsi penulis.</w:t>
      </w:r>
    </w:p>
    <w:p>
      <w:pPr>
        <w:tabs>
          <w:tab w:val="left" w:pos="90"/>
        </w:tabs>
        <w:spacing w:after="0" w:line="312" w:lineRule="auto"/>
        <w:ind w:right="-99" w:rightChars="-45"/>
        <w:jc w:val="both"/>
        <w:rPr>
          <w:rFonts w:ascii="Times New Roman" w:hAnsi="Times New Roman" w:cs="Times New Roman"/>
          <w:lang w:val="en-US"/>
        </w:rPr>
      </w:pPr>
    </w:p>
    <w:p>
      <w:pPr>
        <w:pStyle w:val="3"/>
      </w:pPr>
      <w:bookmarkStart w:id="18" w:name="_Toc199801658"/>
      <w:r>
        <w:t>Kerangka Teori</w:t>
      </w:r>
      <w:bookmarkEnd w:id="18"/>
    </w:p>
    <w:p>
      <w:pPr>
        <w:tabs>
          <w:tab w:val="left" w:pos="90"/>
          <w:tab w:val="left" w:pos="1800"/>
        </w:tabs>
        <w:spacing w:after="0" w:line="312" w:lineRule="auto"/>
        <w:ind w:left="284" w:right="-99" w:rightChars="-45" w:firstLine="567"/>
        <w:jc w:val="both"/>
        <w:rPr>
          <w:rFonts w:ascii="Times New Roman" w:hAnsi="Times New Roman" w:cs="Times New Roman"/>
          <w:lang w:val="en-US"/>
        </w:rPr>
      </w:pPr>
      <w:r>
        <w:rPr>
          <w:rFonts w:ascii="Times New Roman" w:hAnsi="Times New Roman" w:cs="Times New Roman"/>
          <w:lang w:val="en-US"/>
        </w:rPr>
        <w:t>Berdasarkan Undang-Undang No. 22 Tahun 2002 Jo Undang-Undang No. 5 Tahun 2010 tentang Grasi dirumuskan bahwa grasi merupakan bentuk pengampunan berupa perubahan, peringanan, pengurangan atau penghapusan pelaksanaan pidana kepada pelaku pidana yang diberikan oleh presiden.  Pelaku pidan dalam hal ini adalah seseorang yang telah memperoleh kekuatan hukum tetap oleh keputusan hakim di Pengadilan.</w:t>
      </w:r>
      <w:r>
        <w:rPr>
          <w:rStyle w:val="17"/>
          <w:rFonts w:ascii="Times New Roman" w:hAnsi="Times New Roman" w:cs="Times New Roman"/>
          <w:lang w:val="en-US"/>
        </w:rPr>
        <w:footnoteReference w:id="19"/>
      </w:r>
    </w:p>
    <w:p>
      <w:pPr>
        <w:tabs>
          <w:tab w:val="left" w:pos="90"/>
          <w:tab w:val="left" w:pos="1800"/>
        </w:tabs>
        <w:spacing w:after="0" w:line="312" w:lineRule="auto"/>
        <w:ind w:left="284" w:right="-99" w:rightChars="-45" w:firstLine="567"/>
        <w:jc w:val="both"/>
        <w:rPr>
          <w:rFonts w:ascii="Times New Roman" w:hAnsi="Times New Roman" w:cs="Times New Roman"/>
          <w:lang w:val="en-US"/>
        </w:rPr>
      </w:pPr>
      <w:r>
        <w:rPr>
          <w:rFonts w:ascii="Times New Roman" w:hAnsi="Times New Roman" w:cs="Times New Roman"/>
          <w:lang w:val="en-US"/>
        </w:rPr>
        <w:t>Banyak terpidana yang mengajukan permohonan grasi kepada Presiden. Salah satunya terpidana MU yang mengajukan grasi kepada Presiden Jokowi. Dalam hal ini Presiden Jokowi memiliki hak prerogatif dengan memberikan grasi kepada terpidana. Oleh karena itu, grasi diatur dalam UU Nomor 5 Tahun 2010 sebelumnya tercatat dalam peraturan grasi Nomor 22 Tahun 2002, sebelumnya UU grasi Nomor 3 Tahun 1950. Adanya peraturan grasi ini mengurangi pencegahan terjadinya penyalahgunaan dalam pemberian grasi.</w:t>
      </w:r>
      <w:r>
        <w:rPr>
          <w:rStyle w:val="17"/>
          <w:rFonts w:ascii="Times New Roman" w:hAnsi="Times New Roman" w:cs="Times New Roman"/>
          <w:lang w:val="en-US"/>
        </w:rPr>
        <w:footnoteReference w:id="20"/>
      </w:r>
    </w:p>
    <w:p>
      <w:pPr>
        <w:tabs>
          <w:tab w:val="left" w:pos="90"/>
          <w:tab w:val="left" w:pos="1800"/>
        </w:tabs>
        <w:spacing w:after="0" w:line="312" w:lineRule="auto"/>
        <w:ind w:left="284" w:right="-99" w:rightChars="-45" w:firstLine="567"/>
        <w:jc w:val="both"/>
        <w:rPr>
          <w:rFonts w:ascii="Times New Roman" w:hAnsi="Times New Roman" w:cs="Times New Roman"/>
          <w:lang w:val="en-US"/>
        </w:rPr>
      </w:pPr>
      <w:r>
        <w:rPr>
          <w:rFonts w:ascii="Times New Roman" w:hAnsi="Times New Roman" w:cs="Times New Roman"/>
          <w:lang w:val="en-US"/>
        </w:rPr>
        <w:t>Syarat-syarat formil pemberian grasi telah di atur dalam Pasal 2 Undang-Undang Nomor 5 Tahun 2010, yang ditujukan kepada pelaku pidana yang telah memiliki putusan pengadilan berkekuatan hukum tetap. Permohonan ini dapat diajukan oleh terpidana yang telah diberi sanksi dengan hukuman mati, penjara seumur hidup dan/ penjara paling rendah 2 Tahun. Selain itu pengajuan grasi oleh terpidana atu kuasa hukumnya atau keluarganya dapat diajukan permohonan kepada Presiden hanya dapat diajukan 1 kali saja.</w:t>
      </w:r>
      <w:r>
        <w:rPr>
          <w:rStyle w:val="17"/>
          <w:rFonts w:ascii="Times New Roman" w:hAnsi="Times New Roman" w:cs="Times New Roman"/>
          <w:lang w:val="en-US"/>
        </w:rPr>
        <w:footnoteReference w:id="21"/>
      </w:r>
    </w:p>
    <w:p>
      <w:pPr>
        <w:tabs>
          <w:tab w:val="left" w:pos="90"/>
        </w:tabs>
        <w:spacing w:after="0" w:line="312" w:lineRule="auto"/>
        <w:ind w:left="284" w:right="-99" w:rightChars="-45" w:firstLine="567"/>
        <w:jc w:val="both"/>
        <w:rPr>
          <w:rFonts w:ascii="Times New Roman" w:hAnsi="Times New Roman" w:cs="Times New Roman"/>
          <w:lang w:val="en-US"/>
        </w:rPr>
      </w:pPr>
      <w:r>
        <w:rPr>
          <w:rFonts w:ascii="Times New Roman" w:hAnsi="Times New Roman" w:cs="Times New Roman"/>
          <w:lang w:val="en-US"/>
        </w:rPr>
        <w:t xml:space="preserve">Dalam Hukum pidana Islam, grasi tidak dijelaskan secara gamblang dalam Al Qur’an ataupun Hadis. Dalam hal ini, Islam sangat menganjurkan bagi siapa saja yang mau berubah dan bertaubat. Dalam hukuman </w:t>
      </w:r>
      <w:r>
        <w:rPr>
          <w:rFonts w:ascii="Times New Roman" w:hAnsi="Times New Roman" w:cs="Times New Roman"/>
          <w:i/>
          <w:iCs/>
          <w:lang w:val="en-US"/>
        </w:rPr>
        <w:t xml:space="preserve">ta’zir </w:t>
      </w:r>
      <w:r>
        <w:rPr>
          <w:rFonts w:ascii="Times New Roman" w:hAnsi="Times New Roman" w:eastAsia="SimSun" w:cs="Times New Roman"/>
        </w:rPr>
        <w:t>jenis hukuman yang dikenal sebagai</w:t>
      </w:r>
      <w:r>
        <w:rPr>
          <w:rFonts w:ascii="Times New Roman" w:hAnsi="Times New Roman" w:eastAsia="SimSun" w:cs="Times New Roman"/>
          <w:i/>
          <w:iCs/>
        </w:rPr>
        <w:t xml:space="preserve"> </w:t>
      </w:r>
      <w:r>
        <w:rPr>
          <w:rStyle w:val="19"/>
          <w:rFonts w:ascii="Times New Roman" w:hAnsi="Times New Roman" w:eastAsia="SimSun" w:cs="Times New Roman"/>
          <w:b w:val="0"/>
          <w:bCs w:val="0"/>
          <w:i/>
          <w:iCs/>
        </w:rPr>
        <w:t>ta'zi</w:t>
      </w:r>
      <w:r>
        <w:rPr>
          <w:rStyle w:val="19"/>
          <w:rFonts w:ascii="Times New Roman" w:hAnsi="Times New Roman" w:eastAsia="SimSun" w:cs="Times New Roman"/>
          <w:b w:val="0"/>
          <w:bCs w:val="0"/>
        </w:rPr>
        <w:t>r</w:t>
      </w:r>
      <w:r>
        <w:rPr>
          <w:rFonts w:ascii="Times New Roman" w:hAnsi="Times New Roman" w:eastAsia="SimSun" w:cs="Times New Roman"/>
        </w:rPr>
        <w:t xml:space="preserve"> adalah hukuman yang ditentukan oleh penguasa atau hakim dan tidak memiliki ketentuan yang tetap seperti dalam hukum hudud. Jika seseorang dijatuhi hukuman</w:t>
      </w:r>
      <w:r>
        <w:rPr>
          <w:rFonts w:ascii="Times New Roman" w:hAnsi="Times New Roman" w:eastAsia="SimSun" w:cs="Times New Roman"/>
          <w:i/>
          <w:iCs/>
        </w:rPr>
        <w:t xml:space="preserve"> ta'zir </w:t>
      </w:r>
      <w:r>
        <w:rPr>
          <w:rFonts w:ascii="Times New Roman" w:hAnsi="Times New Roman" w:eastAsia="SimSun" w:cs="Times New Roman"/>
        </w:rPr>
        <w:t>karena pelanggaran terkait narkotika, maka ada kemungkinan bahwa penguasa atau hakim bisa memberikan pengurangan hukuman, atau bahkan pengampunan, jika mereka mempertimbangkan faktor-faktor seperti taubat, permohonan dari pelaku, atau kondisi sosial lainnya. Ini memberi ruang bagi pengampunan atau grasi, walaupun tetap dalam bingkai kebijakan negara.</w:t>
      </w:r>
      <w:r>
        <w:rPr>
          <w:rFonts w:ascii="Times New Roman" w:hAnsi="Times New Roman" w:eastAsia="SimSun" w:cs="Times New Roman"/>
          <w:lang w:val="en-US"/>
        </w:rPr>
        <w:t xml:space="preserve"> </w:t>
      </w:r>
    </w:p>
    <w:p>
      <w:pPr>
        <w:tabs>
          <w:tab w:val="left" w:pos="90"/>
        </w:tabs>
        <w:spacing w:after="0" w:line="312" w:lineRule="auto"/>
        <w:ind w:left="284" w:right="-99" w:rightChars="-45" w:firstLine="567"/>
        <w:jc w:val="both"/>
        <w:rPr>
          <w:rFonts w:ascii="Times New Roman" w:hAnsi="Times New Roman" w:cs="Times New Roman"/>
          <w:lang w:val="en-US"/>
        </w:rPr>
      </w:pPr>
      <w:r>
        <w:rPr>
          <w:rFonts w:ascii="Times New Roman" w:hAnsi="Times New Roman" w:eastAsia="SimSun" w:cs="Times New Roman"/>
        </w:rPr>
        <w:t xml:space="preserve">Dalam Islam, </w:t>
      </w:r>
      <w:r>
        <w:rPr>
          <w:rStyle w:val="19"/>
          <w:rFonts w:ascii="Times New Roman" w:hAnsi="Times New Roman" w:eastAsia="SimSun" w:cs="Times New Roman"/>
          <w:b w:val="0"/>
          <w:bCs w:val="0"/>
        </w:rPr>
        <w:t>taubat</w:t>
      </w:r>
      <w:r>
        <w:rPr>
          <w:rFonts w:ascii="Times New Roman" w:hAnsi="Times New Roman" w:eastAsia="SimSun" w:cs="Times New Roman"/>
        </w:rPr>
        <w:t xml:space="preserve"> (pertobatan) merupakan salah satu jalan bagi seseorang untuk dibebaskan dari dosa. Jika seseorang yang terlibat dalam kasus narkotika benar-benar bertaubat dengan sungguh-sungguh, ada </w:t>
      </w:r>
      <w:r>
        <w:rPr>
          <w:rFonts w:ascii="Times New Roman" w:hAnsi="Times New Roman" w:eastAsia="SimSun" w:cs="Times New Roman"/>
          <w:lang w:val="en-US"/>
        </w:rPr>
        <w:t>kemungkinan</w:t>
      </w:r>
      <w:r>
        <w:rPr>
          <w:rFonts w:ascii="Times New Roman" w:hAnsi="Times New Roman" w:eastAsia="SimSun" w:cs="Times New Roman"/>
        </w:rPr>
        <w:t xml:space="preserve"> bahwa </w:t>
      </w:r>
      <w:r>
        <w:rPr>
          <w:rFonts w:ascii="Times New Roman" w:hAnsi="Times New Roman" w:eastAsia="SimSun" w:cs="Times New Roman"/>
          <w:lang w:val="en-US"/>
        </w:rPr>
        <w:t>Allah</w:t>
      </w:r>
      <w:r>
        <w:rPr>
          <w:rFonts w:ascii="Times New Roman" w:hAnsi="Times New Roman" w:eastAsia="SimSun" w:cs="Times New Roman"/>
        </w:rPr>
        <w:t xml:space="preserve"> akan mengampuni dosa-dosanya. </w:t>
      </w:r>
      <w:r>
        <w:rPr>
          <w:rFonts w:ascii="Times New Roman" w:hAnsi="Times New Roman" w:eastAsia="SimSun" w:cs="Times New Roman"/>
          <w:lang w:val="en-US"/>
        </w:rPr>
        <w:t>Namun</w:t>
      </w:r>
      <w:r>
        <w:rPr>
          <w:rFonts w:ascii="Times New Roman" w:hAnsi="Times New Roman" w:eastAsia="SimSun" w:cs="Times New Roman"/>
        </w:rPr>
        <w:t>, ini tidak serta-merta menghapuskan kewajiban hukum di dunia yang diterapkan oleh penguasa atau hakim. Taubat bisa menjadi alasan untuk mempertimbangkan pengurangan hukuman, tetapi hal tersebut tergantung pada kebijakan negara dan keputusan pengadilan.</w:t>
      </w:r>
    </w:p>
    <w:p>
      <w:pPr>
        <w:tabs>
          <w:tab w:val="left" w:pos="90"/>
        </w:tabs>
        <w:spacing w:after="0" w:line="312" w:lineRule="auto"/>
        <w:ind w:left="424" w:right="-99" w:rightChars="-45" w:firstLine="427"/>
        <w:jc w:val="both"/>
        <w:rPr>
          <w:rFonts w:ascii="Times New Roman" w:hAnsi="Times New Roman" w:eastAsia="SimSun" w:cs="Times New Roman"/>
          <w:lang w:val="en-US"/>
        </w:rPr>
      </w:pPr>
      <w:r>
        <w:rPr>
          <w:rFonts w:ascii="Times New Roman" w:hAnsi="Times New Roman" w:cs="Times New Roman"/>
          <w:lang w:val="en-US"/>
        </w:rPr>
        <w:t xml:space="preserve">Narkotika diatur dalam Undang-Undang Republik Indonesia Nomer 35 Tahun 2009. Pengaturan dalam Undang-Undang tersebut meliputi segala bentuk kegiatan dan/ atau perbuatan dengan narkotika. </w:t>
      </w:r>
      <w:r>
        <w:rPr>
          <w:rFonts w:ascii="Times New Roman" w:hAnsi="Times New Roman" w:eastAsia="SimSun" w:cs="Times New Roman"/>
          <w:lang w:val="en-US"/>
        </w:rPr>
        <w:t>Salah satu yang dapat mengajukan grasi adalah pidana mati kasus narkotika. Permohonan grasi terhadap hukaman mati kasus narkotika sudah berjalan di Indonesia. Narkotika adalah obat bersal dari tanaman atau bukan tanaman, yang menimbulkan beberapa kemungkinan karena penggunaannya. Bisa menimbulkan perubahan kesadaran dan penurunan, kehilangan rasa, dapat juga mengurangi rasa nyeri. Narotika dapat menimbulkan ketergantungan yang berakibat fatal.</w:t>
      </w:r>
    </w:p>
    <w:p>
      <w:pPr>
        <w:tabs>
          <w:tab w:val="left" w:pos="90"/>
        </w:tabs>
        <w:spacing w:after="0" w:line="312" w:lineRule="auto"/>
        <w:ind w:left="284" w:right="-99" w:rightChars="-45" w:firstLine="567"/>
        <w:jc w:val="both"/>
        <w:rPr>
          <w:rFonts w:ascii="Times New Roman" w:hAnsi="Times New Roman" w:eastAsia="SimSun" w:cs="Times New Roman"/>
          <w:lang w:val="en-US"/>
        </w:rPr>
      </w:pPr>
      <w:r>
        <w:rPr>
          <w:rFonts w:ascii="Times New Roman" w:hAnsi="Times New Roman" w:eastAsia="SimSun" w:cs="Times New Roman"/>
          <w:lang w:val="en-US"/>
        </w:rPr>
        <w:t xml:space="preserve">Dalam Al Qur’an dan Hadis tidak disebutkan secara langsung mengenai diharamkannya narkotika. Para Ulama’ berpendapat narkotika diqiyaskan dengan minuman khamr. Karena dampak yang ditimbulkan oleh penggunaan narkotika sama bahkan lebih berbahaya. Untuk itu, ada beberapa Ayat dan Hadis yang melarang atau mengharamkan </w:t>
      </w:r>
      <w:r>
        <w:rPr>
          <w:rFonts w:ascii="Times New Roman" w:hAnsi="Times New Roman" w:eastAsia="SimSun" w:cs="Times New Roman"/>
          <w:i/>
          <w:iCs/>
          <w:lang w:val="en-US"/>
        </w:rPr>
        <w:t>khamr</w:t>
      </w:r>
      <w:r>
        <w:rPr>
          <w:rFonts w:ascii="Times New Roman" w:hAnsi="Times New Roman" w:eastAsia="SimSun" w:cs="Times New Roman"/>
          <w:lang w:val="en-US"/>
        </w:rPr>
        <w:t xml:space="preserve"> yang dapat dijadikan dalil dasar penyalahgunaan narotika. </w:t>
      </w:r>
    </w:p>
    <w:p>
      <w:pPr>
        <w:tabs>
          <w:tab w:val="left" w:pos="90"/>
        </w:tabs>
        <w:spacing w:after="0" w:line="312" w:lineRule="auto"/>
        <w:ind w:left="284" w:right="-99" w:rightChars="-45" w:firstLine="567"/>
        <w:jc w:val="both"/>
        <w:rPr>
          <w:rFonts w:ascii="Times New Roman" w:hAnsi="Times New Roman" w:eastAsia="SimSun" w:cs="Times New Roman"/>
          <w:lang w:val="en-US"/>
        </w:rPr>
      </w:pPr>
      <w:r>
        <w:rPr>
          <w:rFonts w:ascii="Times New Roman" w:hAnsi="Times New Roman" w:eastAsia="SimSun" w:cs="Times New Roman"/>
          <w:lang w:val="en-US"/>
        </w:rPr>
        <w:t>Terdapat dalam Surat Al-Baqarah Ayat 219 yang berbunyi:</w:t>
      </w:r>
    </w:p>
    <w:p>
      <w:pPr>
        <w:tabs>
          <w:tab w:val="left" w:pos="90"/>
        </w:tabs>
        <w:spacing w:after="0" w:line="312" w:lineRule="auto"/>
        <w:ind w:left="284" w:right="-99" w:rightChars="-45" w:firstLine="567"/>
        <w:jc w:val="both"/>
        <w:rPr>
          <w:rFonts w:ascii="Times New Roman" w:hAnsi="Times New Roman" w:eastAsia="SimSun" w:cs="Times New Roman"/>
          <w:lang w:val="en-US"/>
        </w:rPr>
      </w:pPr>
    </w:p>
    <w:p>
      <w:pPr>
        <w:tabs>
          <w:tab w:val="left" w:pos="-29"/>
        </w:tabs>
        <w:bidi/>
        <w:spacing w:after="0" w:line="240" w:lineRule="auto"/>
        <w:ind w:left="-29" w:right="284"/>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يَسْـَٔلُونَكَ عَنِ ٱلْخَمْرِ وَٱلْمَيْسِرِۖ قُلْ فِيهِمَآ إِثْمٌ كَبِيرٌ وَمَنَٰفِعُ لِلنَّاسِ وَإِثْمُهُمَآ أَكْبَرُ مِن نَّفْعِهِمَاۗ وَيَسْـَٔلُونَكَ مَاذَا يُنفِقُونَ قُلِ ٱلْعَفْوَۗ كَذَٰلِكَ يُبَيِّنُ ٱللَّهُ لَكُمُ ٱلْءَايَٰتِ لَعَلَّكُمْ تَتَفَكَّرُونَ</w:t>
      </w:r>
    </w:p>
    <w:p>
      <w:pPr>
        <w:tabs>
          <w:tab w:val="left" w:pos="90"/>
        </w:tabs>
        <w:spacing w:after="0" w:line="240" w:lineRule="auto"/>
        <w:ind w:left="849" w:leftChars="386" w:right="-99" w:rightChars="-45" w:firstLine="2"/>
        <w:jc w:val="both"/>
        <w:rPr>
          <w:rFonts w:ascii="Times New Roman" w:hAnsi="Times New Roman" w:eastAsia="SimSun" w:cs="Times New Roman"/>
          <w:lang w:val="en-US"/>
        </w:rPr>
      </w:pPr>
      <w:r>
        <w:rPr>
          <w:rFonts w:ascii="Times New Roman" w:hAnsi="Times New Roman" w:eastAsia="SimSun" w:cs="Times New Roman"/>
          <w:i/>
          <w:iCs/>
          <w:lang w:val="en-US"/>
        </w:rPr>
        <w:t xml:space="preserve">“Mereka menanyakan kepadamu (Muhammad) tentang khamr dan judi. Katakanlah, “Pada keduanya terdapat dosa besar dan beberapa manfaat bagi manusia. Tetapi dosanya lebih besar daripada manfaatnya.” Dan mereka menanyakan kepadamu (tentang) apa yang (harus) mereka infakkan. Katakanlah, “Kelebihan (dari apa yang diperlukan).” Demikianlah Allah menerangkan Ayat-Ayat-Nya kepadamu agar kamu memikirkan.” </w:t>
      </w:r>
      <w:r>
        <w:rPr>
          <w:rFonts w:ascii="Times New Roman" w:hAnsi="Times New Roman" w:eastAsia="SimSun" w:cs="Times New Roman"/>
          <w:lang w:val="en-US"/>
        </w:rPr>
        <w:t>(QS Al-Baqarah:2:219)</w:t>
      </w:r>
      <w:r>
        <w:rPr>
          <w:rStyle w:val="17"/>
          <w:rFonts w:ascii="Times New Roman" w:hAnsi="Times New Roman" w:eastAsia="SimSun" w:cs="Times New Roman"/>
          <w:lang w:val="en-US"/>
        </w:rPr>
        <w:footnoteReference w:id="22"/>
      </w:r>
    </w:p>
    <w:p>
      <w:pPr>
        <w:tabs>
          <w:tab w:val="left" w:pos="90"/>
        </w:tabs>
        <w:spacing w:after="0" w:line="312" w:lineRule="auto"/>
        <w:ind w:left="284" w:right="-99" w:rightChars="-45" w:firstLine="567"/>
        <w:jc w:val="both"/>
        <w:rPr>
          <w:rFonts w:ascii="Times New Roman" w:hAnsi="Times New Roman" w:eastAsia="SimSun" w:cs="Times New Roman"/>
          <w:lang w:val="en-US"/>
        </w:rPr>
      </w:pPr>
      <w:r>
        <w:rPr>
          <w:rFonts w:ascii="Times New Roman" w:hAnsi="Times New Roman" w:eastAsia="SimSun" w:cs="Times New Roman"/>
          <w:lang w:val="en-US"/>
        </w:rPr>
        <w:t xml:space="preserve">Dalam Ayat tersebut dijelaskan bahwa minuman </w:t>
      </w:r>
      <w:r>
        <w:rPr>
          <w:rFonts w:ascii="Times New Roman" w:hAnsi="Times New Roman" w:eastAsia="SimSun" w:cs="Times New Roman"/>
          <w:i/>
          <w:iCs/>
          <w:lang w:val="en-US"/>
        </w:rPr>
        <w:t xml:space="preserve">khamr </w:t>
      </w:r>
      <w:r>
        <w:rPr>
          <w:rFonts w:ascii="Times New Roman" w:hAnsi="Times New Roman" w:eastAsia="SimSun" w:cs="Times New Roman"/>
          <w:lang w:val="en-US"/>
        </w:rPr>
        <w:t xml:space="preserve">dan judi terdapat dosa besar dan beberapa manfaat bagi manusia. Tetapi, dosanya lebih besar dari pada manfaatnya. Begitupula narkotika mengandung beberapa manfaat tapi yang menyalahgunakan dosanya lebih besar. Narkotika boleh digunakan dalam keadaan darurat atau untuk kesehatan medis. </w:t>
      </w:r>
    </w:p>
    <w:p>
      <w:pPr>
        <w:tabs>
          <w:tab w:val="left" w:pos="90"/>
        </w:tabs>
        <w:spacing w:after="0" w:line="312" w:lineRule="auto"/>
        <w:ind w:left="284" w:right="-99" w:rightChars="-45" w:firstLine="567"/>
        <w:jc w:val="both"/>
        <w:rPr>
          <w:rFonts w:ascii="Times New Roman" w:hAnsi="Times New Roman" w:eastAsia="SimSun" w:cs="Times New Roman"/>
          <w:i/>
          <w:iCs/>
          <w:lang w:val="en-US"/>
        </w:rPr>
      </w:pPr>
      <w:r>
        <w:rPr>
          <w:rFonts w:ascii="Times New Roman" w:hAnsi="Times New Roman" w:eastAsia="SimSun" w:cs="Times New Roman"/>
          <w:lang w:val="en-US"/>
        </w:rPr>
        <w:t>Hukum pidana Islam memandang hukuman yang diberikan kepada tindak pidan narkotika ada yang berpendapat hukumannya diberikan dengan</w:t>
      </w:r>
      <w:r>
        <w:rPr>
          <w:rFonts w:ascii="Times New Roman" w:hAnsi="Times New Roman" w:eastAsia="SimSun" w:cs="Times New Roman"/>
          <w:i/>
          <w:iCs/>
          <w:lang w:val="en-US"/>
        </w:rPr>
        <w:t xml:space="preserve"> had</w:t>
      </w:r>
      <w:r>
        <w:rPr>
          <w:rFonts w:ascii="Times New Roman" w:hAnsi="Times New Roman" w:eastAsia="SimSun" w:cs="Times New Roman"/>
          <w:lang w:val="en-US"/>
        </w:rPr>
        <w:t xml:space="preserve"> ada juga yang berpendapat hukumannya </w:t>
      </w:r>
      <w:r>
        <w:rPr>
          <w:rFonts w:ascii="Times New Roman" w:hAnsi="Times New Roman" w:eastAsia="SimSun" w:cs="Times New Roman"/>
          <w:i/>
          <w:iCs/>
          <w:lang w:val="en-US"/>
        </w:rPr>
        <w:t xml:space="preserve">ta’zir. </w:t>
      </w:r>
    </w:p>
    <w:p>
      <w:pPr>
        <w:tabs>
          <w:tab w:val="left" w:pos="90"/>
        </w:tabs>
        <w:spacing w:after="0" w:line="312" w:lineRule="auto"/>
        <w:ind w:left="284" w:right="-99" w:rightChars="-45" w:firstLine="567"/>
        <w:jc w:val="both"/>
        <w:rPr>
          <w:rFonts w:ascii="Times New Roman" w:hAnsi="Times New Roman" w:eastAsia="SimSun" w:cs="Times New Roman"/>
        </w:rPr>
      </w:pPr>
      <w:r>
        <w:rPr>
          <w:rFonts w:ascii="Times New Roman" w:hAnsi="Times New Roman" w:eastAsia="SimSun" w:cs="Times New Roman"/>
          <w:lang w:val="en-US"/>
        </w:rPr>
        <w:t xml:space="preserve">Penyalahgunaan narkotika berupa obat-obat terlarang adalah haram, melainkan yang bertujuan untuk pengobatan medis dan selain itu untuk pencampuran bumbu dapur dalam jumlah sedikit saja </w:t>
      </w:r>
      <w:r>
        <w:rPr>
          <w:rFonts w:ascii="Times New Roman" w:hAnsi="Times New Roman" w:eastAsia="SimSun" w:cs="Times New Roman"/>
        </w:rPr>
        <w:t>seperti sedikit buah lada untuk campuran bumbu masak dan pelezat masakan untuk merangsang selera. Keharaman narkotika dan penyalahgunaan obat-obatan terlarang hukumannya sama seperti pengharaman khamr sesuai dengan Al Qur’an dan Sunah yang bersifat pasti (</w:t>
      </w:r>
      <w:r>
        <w:rPr>
          <w:rFonts w:ascii="Times New Roman" w:hAnsi="Times New Roman" w:eastAsia="SimSun" w:cs="Times New Roman"/>
          <w:i/>
          <w:iCs/>
        </w:rPr>
        <w:t>Qoth’i</w:t>
      </w:r>
      <w:r>
        <w:rPr>
          <w:rFonts w:ascii="Times New Roman" w:hAnsi="Times New Roman" w:eastAsia="SimSun" w:cs="Times New Roman"/>
        </w:rPr>
        <w:t>).</w:t>
      </w:r>
      <w:r>
        <w:rPr>
          <w:rStyle w:val="17"/>
          <w:rFonts w:ascii="Times New Roman" w:hAnsi="Times New Roman" w:eastAsia="SimSun" w:cs="Times New Roman"/>
          <w:lang w:val="en-US"/>
        </w:rPr>
        <w:footnoteReference w:id="23"/>
      </w:r>
    </w:p>
    <w:p>
      <w:pPr>
        <w:tabs>
          <w:tab w:val="left" w:pos="90"/>
        </w:tabs>
        <w:spacing w:after="0" w:line="312" w:lineRule="auto"/>
        <w:ind w:left="284" w:right="-99" w:rightChars="-45" w:firstLine="567"/>
        <w:jc w:val="both"/>
        <w:rPr>
          <w:rFonts w:ascii="Times New Roman" w:hAnsi="Times New Roman" w:eastAsia="SimSun" w:cs="Times New Roman"/>
        </w:rPr>
      </w:pPr>
      <w:r>
        <w:rPr>
          <w:rFonts w:ascii="Times New Roman" w:hAnsi="Times New Roman" w:eastAsia="SimSun" w:cs="Times New Roman"/>
        </w:rPr>
        <w:t xml:space="preserve">Mayoritas Ulama’ dari </w:t>
      </w:r>
      <w:r>
        <w:rPr>
          <w:rFonts w:ascii="Times New Roman" w:hAnsi="Times New Roman" w:eastAsia="SimSun" w:cs="Times New Roman"/>
          <w:lang w:val="en-US"/>
        </w:rPr>
        <w:t>M</w:t>
      </w:r>
      <w:r>
        <w:rPr>
          <w:rFonts w:ascii="Times New Roman" w:hAnsi="Times New Roman" w:eastAsia="SimSun" w:cs="Times New Roman"/>
        </w:rPr>
        <w:t>a</w:t>
      </w:r>
      <w:r>
        <w:rPr>
          <w:rFonts w:ascii="Times New Roman" w:hAnsi="Times New Roman" w:eastAsia="SimSun" w:cs="Times New Roman"/>
          <w:lang w:val="en-US"/>
        </w:rPr>
        <w:t>d</w:t>
      </w:r>
      <w:r>
        <w:rPr>
          <w:rFonts w:ascii="Times New Roman" w:hAnsi="Times New Roman" w:eastAsia="SimSun" w:cs="Times New Roman"/>
        </w:rPr>
        <w:t>zhab Malik, Syafi'i, Hambali, dan sebagian Ulama’ Hanafi sepakat tentang keharaman penggunaan khamr dan narkotika untuk pengobatan. Akan tetapi, sebagian Ulama’ lainnya, termasuk beberapa Ulama’ Syafi'i, Abu Tsur, dan satu pendapat dalam mazhab Hanafi, berpendapat sebaliknya. Mereka membolehkan penggunaan khamr dan narkotika dalam pengobatan dalam kondisi terpaksa atau darurat, begitu pula dengan zat-zat najis dan terlarang lainnya, meskipun tidak najis.</w:t>
      </w:r>
      <w:r>
        <w:rPr>
          <w:rStyle w:val="17"/>
          <w:rFonts w:ascii="Times New Roman" w:hAnsi="Times New Roman" w:eastAsia="SimSun" w:cs="Times New Roman"/>
        </w:rPr>
        <w:footnoteReference w:id="24"/>
      </w:r>
    </w:p>
    <w:p>
      <w:pPr>
        <w:tabs>
          <w:tab w:val="left" w:pos="90"/>
        </w:tabs>
        <w:spacing w:after="0" w:line="312" w:lineRule="auto"/>
        <w:ind w:left="284" w:right="-99" w:rightChars="-45" w:firstLine="567"/>
        <w:jc w:val="both"/>
        <w:rPr>
          <w:rFonts w:ascii="Times New Roman" w:hAnsi="Times New Roman" w:cs="Times New Roman"/>
          <w:lang w:val="en-US"/>
        </w:rPr>
      </w:pPr>
      <w:r>
        <w:rPr>
          <w:rFonts w:ascii="Times New Roman" w:hAnsi="Times New Roman" w:eastAsia="SimSun" w:cs="Times New Roman"/>
        </w:rPr>
        <w:t xml:space="preserve">Grasi yang diberikan presiden terhadap hukuman mati kasus narkotika pernah terjadi pada Tahun 2023 kepada terpidana meri utami. grasi ini merupakan grasi yang pertama kali diberikan terhadap terpidana hukuman mati kasus narkotika oleh Presiden Jokowi. </w:t>
      </w:r>
      <w:r>
        <w:rPr>
          <w:rFonts w:ascii="Times New Roman" w:hAnsi="Times New Roman" w:eastAsia="SimSun" w:cs="Times New Roman"/>
          <w:lang w:val="en-US"/>
        </w:rPr>
        <w:t>Berawal dari pegawai migran ditaiwan awal Tahun 2000, ia kenal dengan pria bernama J. kemudian MU dihadiahi sebuah tas oleh pria tersebut, yang ternyata di dalamnya berisi narkotika jenis heroin seberat 1,1 kilogram. Setelah itu pulang dan sesampainya di Jakarta MU ditangkap di bandara soekarno-hatta pada 31 oktober 2001. MU divonis hukuman mati oleh Pengadilan Negeri Tangerang pada Mei 2002, MU nyaris di eksekusi pada 29 Juli 2016. Eksekusi mati MU dibatalkan setelah mengajukan permohonan grasi kepada Presiden Jokowi, MU melanjutkan hukuman penjara sampai waktu yang tidak ditentukan. Setelah menunggu 7 Tahun akhirnya keputusan presiden keluar pada 13 maret 2023. Jokowi mennadatangani Keppres Nomer 1/G/2023 yang status hukumannya berubah dari hukuman mati menjadi penjara seumur hidup.</w:t>
      </w:r>
      <w:r>
        <w:rPr>
          <w:rStyle w:val="17"/>
          <w:rFonts w:ascii="Times New Roman" w:hAnsi="Times New Roman" w:eastAsia="SimSun" w:cs="Times New Roman"/>
          <w:lang w:val="en-US"/>
        </w:rPr>
        <w:footnoteReference w:id="25"/>
      </w:r>
      <w:r>
        <w:rPr>
          <w:rFonts w:ascii="Times New Roman" w:hAnsi="Times New Roman" w:eastAsia="SimSun" w:cs="Times New Roman"/>
          <w:lang w:val="en-US"/>
        </w:rPr>
        <w:t xml:space="preserve"> </w:t>
      </w:r>
      <w:r>
        <w:rPr>
          <w:rFonts w:ascii="Times New Roman" w:hAnsi="Times New Roman" w:cs="Times New Roman"/>
          <w:lang w:val="en-US"/>
        </w:rPr>
        <w:t xml:space="preserve">. </w:t>
      </w:r>
    </w:p>
    <w:p>
      <w:pPr>
        <w:tabs>
          <w:tab w:val="left" w:pos="90"/>
        </w:tabs>
        <w:spacing w:after="0" w:line="312" w:lineRule="auto"/>
        <w:ind w:left="284" w:right="-99" w:rightChars="-45" w:firstLine="567"/>
        <w:jc w:val="both"/>
        <w:rPr>
          <w:rFonts w:ascii="Times New Roman" w:hAnsi="Times New Roman" w:eastAsia="SimSun" w:cs="Times New Roman"/>
        </w:rPr>
      </w:pPr>
      <w:r>
        <w:rPr>
          <w:rFonts w:ascii="Times New Roman" w:hAnsi="Times New Roman" w:eastAsia="SimSun" w:cs="Times New Roman"/>
        </w:rPr>
        <w:t xml:space="preserve">Dalam </w:t>
      </w:r>
      <w:r>
        <w:rPr>
          <w:rStyle w:val="19"/>
          <w:rFonts w:ascii="Times New Roman" w:hAnsi="Times New Roman" w:eastAsia="SimSun" w:cs="Times New Roman"/>
          <w:b w:val="0"/>
          <w:bCs w:val="0"/>
        </w:rPr>
        <w:t>hukum pidana positif</w:t>
      </w:r>
      <w:r>
        <w:rPr>
          <w:rFonts w:ascii="Times New Roman" w:hAnsi="Times New Roman" w:eastAsia="SimSun" w:cs="Times New Roman"/>
        </w:rPr>
        <w:t xml:space="preserve">, grasi terhadap pelaku narkotika </w:t>
      </w:r>
      <w:r>
        <w:rPr>
          <w:rFonts w:ascii="Times New Roman" w:hAnsi="Times New Roman" w:eastAsia="SimSun" w:cs="Times New Roman"/>
          <w:lang w:val="en-US"/>
        </w:rPr>
        <w:t>dimungkinkan</w:t>
      </w:r>
      <w:r>
        <w:rPr>
          <w:rFonts w:ascii="Times New Roman" w:hAnsi="Times New Roman" w:eastAsia="SimSun" w:cs="Times New Roman"/>
        </w:rPr>
        <w:t>, meskipun sangat bergantung pada kebijakan penguasa atau</w:t>
      </w:r>
      <w:r>
        <w:rPr>
          <w:rFonts w:ascii="Times New Roman" w:hAnsi="Times New Roman" w:eastAsia="SimSun" w:cs="Times New Roman"/>
          <w:lang w:val="en-US"/>
        </w:rPr>
        <w:t xml:space="preserve"> P</w:t>
      </w:r>
      <w:r>
        <w:rPr>
          <w:rFonts w:ascii="Times New Roman" w:hAnsi="Times New Roman" w:eastAsia="SimSun" w:cs="Times New Roman"/>
        </w:rPr>
        <w:t xml:space="preserve">residen. Untuk </w:t>
      </w:r>
      <w:r>
        <w:rPr>
          <w:rStyle w:val="19"/>
          <w:rFonts w:ascii="Times New Roman" w:hAnsi="Times New Roman" w:eastAsia="SimSun" w:cs="Times New Roman"/>
          <w:b w:val="0"/>
          <w:bCs w:val="0"/>
        </w:rPr>
        <w:t>hukum pidana Islam</w:t>
      </w:r>
      <w:r>
        <w:rPr>
          <w:rFonts w:ascii="Times New Roman" w:hAnsi="Times New Roman" w:eastAsia="SimSun" w:cs="Times New Roman"/>
        </w:rPr>
        <w:t xml:space="preserve">, meskipun tidak ada mekanisme grasi formal, pelaku narkotika yang bertaubat dengan sungguh-sungguh dapat memperoleh pengampunan atau keringanan hukuman melalui proses </w:t>
      </w:r>
      <w:r>
        <w:rPr>
          <w:rStyle w:val="19"/>
          <w:rFonts w:ascii="Times New Roman" w:hAnsi="Times New Roman" w:eastAsia="SimSun" w:cs="Times New Roman"/>
          <w:b w:val="0"/>
          <w:bCs w:val="0"/>
          <w:i/>
          <w:iCs/>
        </w:rPr>
        <w:t>ta'zir</w:t>
      </w:r>
      <w:r>
        <w:rPr>
          <w:rFonts w:ascii="Times New Roman" w:hAnsi="Times New Roman" w:eastAsia="SimSun" w:cs="Times New Roman"/>
        </w:rPr>
        <w:t xml:space="preserve"> yang dipertimbangkan oleh penguasa atau hakim.</w:t>
      </w: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left="284" w:right="-99" w:rightChars="-45" w:firstLine="567"/>
        <w:jc w:val="both"/>
        <w:rPr>
          <w:rFonts w:ascii="Times New Roman" w:hAnsi="Times New Roman" w:eastAsia="SimSun" w:cs="Times New Roman"/>
        </w:rPr>
      </w:pPr>
    </w:p>
    <w:p>
      <w:pPr>
        <w:tabs>
          <w:tab w:val="left" w:pos="90"/>
        </w:tabs>
        <w:spacing w:after="0" w:line="312" w:lineRule="auto"/>
        <w:ind w:right="-99" w:rightChars="-45"/>
        <w:jc w:val="both"/>
        <w:rPr>
          <w:rFonts w:ascii="Times New Roman" w:hAnsi="Times New Roman" w:eastAsia="SimSun" w:cs="Times New Roman"/>
        </w:rPr>
      </w:pPr>
    </w:p>
    <w:p>
      <w:pPr>
        <w:tabs>
          <w:tab w:val="left" w:pos="90"/>
        </w:tabs>
        <w:spacing w:after="0" w:line="312" w:lineRule="auto"/>
        <w:ind w:right="-99" w:rightChars="-45"/>
        <w:jc w:val="both"/>
        <w:rPr>
          <w:rFonts w:ascii="Times New Roman" w:hAnsi="Times New Roman" w:eastAsia="SimSun" w:cs="Times New Roman"/>
        </w:rPr>
      </w:pPr>
    </w:p>
    <w:p>
      <w:pPr>
        <w:pStyle w:val="2"/>
        <w:rPr>
          <w:lang w:val="id-ID"/>
        </w:rPr>
        <w:sectPr>
          <w:headerReference r:id="rId9" w:type="default"/>
          <w:footerReference r:id="rId10" w:type="default"/>
          <w:footnotePr>
            <w:numRestart w:val="eachSect"/>
          </w:footnotePr>
          <w:pgSz w:w="8335" w:h="11850"/>
          <w:pgMar w:top="1418" w:right="1134" w:bottom="1134" w:left="1418" w:header="720" w:footer="720" w:gutter="0"/>
          <w:pgNumType w:start="1"/>
          <w:cols w:space="720" w:num="1"/>
          <w:titlePg/>
          <w:docGrid w:linePitch="299" w:charSpace="0"/>
        </w:sectPr>
      </w:pPr>
      <w:bookmarkStart w:id="19" w:name="_Toc199801659"/>
    </w:p>
    <w:p>
      <w:pPr>
        <w:pStyle w:val="2"/>
      </w:pPr>
      <w:r>
        <w:t>BAB II</w:t>
      </w:r>
      <w:bookmarkEnd w:id="19"/>
    </w:p>
    <w:p>
      <w:pPr>
        <w:pStyle w:val="2"/>
      </w:pPr>
      <w:bookmarkStart w:id="20" w:name="_Toc199801660"/>
      <w:r>
        <w:t xml:space="preserve">TINJAUAN UMUM NARKOTIKA DAN GRASI PERSPEKTIF HUKUM PIDANA ISLAM DAN POSITIF </w:t>
      </w:r>
      <w:bookmarkEnd w:id="20"/>
    </w:p>
    <w:p/>
    <w:p>
      <w:pPr>
        <w:pStyle w:val="3"/>
        <w:numPr>
          <w:ilvl w:val="0"/>
          <w:numId w:val="20"/>
        </w:numPr>
        <w:ind w:left="284" w:hanging="284"/>
      </w:pPr>
      <w:r>
        <w:t>Narkotika Hukum Pidana Islam</w:t>
      </w:r>
    </w:p>
    <w:p>
      <w:pPr>
        <w:numPr>
          <w:ilvl w:val="0"/>
          <w:numId w:val="21"/>
        </w:numPr>
        <w:tabs>
          <w:tab w:val="left" w:pos="567"/>
        </w:tabs>
        <w:spacing w:after="0" w:line="312" w:lineRule="auto"/>
        <w:ind w:left="567" w:leftChars="129" w:right="-103" w:rightChars="-47" w:hanging="283" w:hangingChars="129"/>
        <w:contextualSpacing/>
        <w:jc w:val="both"/>
        <w:rPr>
          <w:rFonts w:ascii="Times New Roman" w:hAnsi="Times New Roman" w:cs="Times New Roman"/>
        </w:rPr>
      </w:pPr>
      <w:r>
        <w:rPr>
          <w:rFonts w:ascii="Times New Roman" w:hAnsi="Times New Roman" w:cs="Times New Roman"/>
        </w:rPr>
        <w:t>Pengertian Narkotika Hukum Pidana Islam</w:t>
      </w:r>
    </w:p>
    <w:p>
      <w:pPr>
        <w:tabs>
          <w:tab w:val="left" w:pos="1000"/>
        </w:tabs>
        <w:spacing w:before="240" w:after="0" w:line="312" w:lineRule="auto"/>
        <w:ind w:left="565" w:leftChars="257" w:right="-103" w:rightChars="-47" w:firstLine="556" w:firstLineChars="253"/>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Narkotika dan obat-obatan terlarang tidak dijelaskan secara tegas, karena narkotika muncul pada tahun 1800-an. Jumhur Ulama’ sepakat pengharaman narkotika diqiyaskan dengan minuman khamr, karena status hukumnya tidak ditemukan di dalam Al Qur’an, maka penentuan hukumnya bisa ditenukan dengan </w:t>
      </w:r>
      <w:r>
        <w:rPr>
          <w:rFonts w:ascii="Times New Roman" w:hAnsi="Times New Roman" w:eastAsia="SimSun" w:cs="Times New Roman"/>
          <w:i/>
          <w:iCs/>
          <w:lang w:val="en-US"/>
        </w:rPr>
        <w:t>qiyas</w:t>
      </w:r>
      <w:r>
        <w:rPr>
          <w:rFonts w:ascii="Times New Roman" w:hAnsi="Times New Roman" w:eastAsia="SimSun" w:cs="Times New Roman"/>
          <w:lang w:val="en-US"/>
        </w:rPr>
        <w:t xml:space="preserve"> atau disamakan dengan hukum yang sudah ada di dalam Al Qur’an. </w:t>
      </w:r>
    </w:p>
    <w:p>
      <w:pPr>
        <w:tabs>
          <w:tab w:val="left" w:pos="1000"/>
        </w:tabs>
        <w:spacing w:before="240" w:after="0" w:line="312" w:lineRule="auto"/>
        <w:ind w:left="565" w:leftChars="257" w:right="-103" w:rightChars="-47" w:firstLine="556" w:firstLineChars="253"/>
        <w:contextualSpacing/>
        <w:jc w:val="both"/>
        <w:rPr>
          <w:rFonts w:ascii="Times New Roman" w:hAnsi="Times New Roman" w:eastAsia="SimSun" w:cs="Times New Roman"/>
        </w:rPr>
      </w:pPr>
      <w:r>
        <w:rPr>
          <w:rFonts w:ascii="Times New Roman" w:hAnsi="Times New Roman" w:eastAsia="SimSun" w:cs="Times New Roman"/>
          <w:lang w:val="en-US"/>
        </w:rPr>
        <w:t xml:space="preserve">Narkotika menurut bahasa berasal dari kata </w:t>
      </w:r>
      <w:r>
        <w:rPr>
          <w:rFonts w:ascii="Times New Roman" w:hAnsi="Times New Roman" w:eastAsia="SimSun" w:cs="Times New Roman"/>
          <w:i/>
          <w:iCs/>
        </w:rPr>
        <w:t>khoddaro-yukhoddiru-takhdiirun</w:t>
      </w:r>
      <w:r>
        <w:rPr>
          <w:rFonts w:ascii="Times New Roman" w:hAnsi="Times New Roman" w:eastAsia="SimSun" w:cs="Times New Roman"/>
        </w:rPr>
        <w:t>,</w:t>
      </w:r>
      <w:r>
        <w:rPr>
          <w:rFonts w:ascii="Times New Roman" w:hAnsi="Times New Roman" w:eastAsia="SimSun" w:cs="Times New Roman"/>
          <w:lang w:val="en-US"/>
        </w:rPr>
        <w:t xml:space="preserve"> yang berarti (</w:t>
      </w:r>
      <w:r>
        <w:rPr>
          <w:rFonts w:ascii="Times New Roman" w:hAnsi="Times New Roman" w:eastAsia="SimSun" w:cs="Times New Roman"/>
        </w:rPr>
        <w:t>kurang perasaan, galau, mati rasa, tidak sadarkan diri, tertutup, gelap, atau mabuk</w:t>
      </w:r>
      <w:r>
        <w:rPr>
          <w:rFonts w:ascii="Times New Roman" w:hAnsi="Times New Roman" w:eastAsia="SimSun" w:cs="Times New Roman"/>
          <w:lang w:val="en-US"/>
        </w:rPr>
        <w:t>)</w:t>
      </w:r>
      <w:r>
        <w:rPr>
          <w:rFonts w:ascii="Times New Roman" w:hAnsi="Times New Roman" w:eastAsia="SimSun" w:cs="Times New Roman"/>
        </w:rPr>
        <w:t>.</w:t>
      </w:r>
      <w:r>
        <w:rPr>
          <w:rFonts w:ascii="Times New Roman" w:hAnsi="Times New Roman" w:eastAsia="SimSun" w:cs="Times New Roman"/>
          <w:lang w:val="en-US"/>
        </w:rPr>
        <w:t xml:space="preserve"> Sedangkan secara istilah narkotika berarti jenis obat-obatan yang dapat mempengaruhi pemikiran seseorang yang dalam hal ini menyebabkan orang menjadi tidak sadarkan diri (mabuk) atau gila setelah penggunannya</w:t>
      </w:r>
      <w:r>
        <w:rPr>
          <w:rFonts w:ascii="Times New Roman" w:hAnsi="Times New Roman" w:eastAsia="SimSun" w:cs="Times New Roman"/>
        </w:rPr>
        <w:t>.</w:t>
      </w:r>
      <w:r>
        <w:rPr>
          <w:rStyle w:val="17"/>
          <w:rFonts w:ascii="Times New Roman" w:hAnsi="Times New Roman" w:eastAsia="SimSun" w:cs="Times New Roman"/>
        </w:rPr>
        <w:footnoteReference w:id="26"/>
      </w:r>
    </w:p>
    <w:p>
      <w:pPr>
        <w:tabs>
          <w:tab w:val="left" w:pos="1000"/>
        </w:tabs>
        <w:spacing w:after="0" w:line="312" w:lineRule="auto"/>
        <w:ind w:left="565" w:leftChars="257" w:right="-103" w:rightChars="-47" w:firstLine="556" w:firstLineChars="253"/>
        <w:contextualSpacing/>
        <w:jc w:val="both"/>
        <w:rPr>
          <w:rFonts w:ascii="Times New Roman" w:hAnsi="Times New Roman" w:eastAsia="SimSun" w:cs="Times New Roman"/>
          <w:lang w:val="en-US"/>
        </w:rPr>
      </w:pPr>
      <w:r>
        <w:rPr>
          <w:rFonts w:ascii="Times New Roman" w:hAnsi="Times New Roman" w:eastAsia="SimSun" w:cs="Times New Roman"/>
        </w:rPr>
        <w:t xml:space="preserve">Status hukum narkotika, dalam konteks Fiqih sebenarnya juga tidak dijelaskan secara tegas mengenai penjelasannya di dalam Al Qur’an. Karena pada zaman Nabi Muhammad Narkotika belum dikenal. Membahas mengenai pengharaman narkotika para Ulama’ menyepakati akibat yang ditimbulkan sebab dapat membahayakan jiwa dan raga manusia, penyalahgunaan narkotika dihukumi haram. Apabila terdapat suatu perkara yang tidak ada status hukum </w:t>
      </w:r>
      <w:r>
        <w:rPr>
          <w:rFonts w:ascii="Times New Roman" w:hAnsi="Times New Roman" w:eastAsia="SimSun" w:cs="Times New Roman"/>
          <w:lang w:val="en-US"/>
        </w:rPr>
        <w:t>di dalam Al Qur’an dan Sunah. Maka, para mujtahid akan menyelesaikan permasalahan tersebut dengan pendekatan menggunakan qiyas, pendapat ini menurut Ibnu Taimiyyah dan Ahmad Al Hasary. Karena hal tersebut bagi seseorang siapapun itu yang membeli, memproduksi, mengonsumsi, menjual, serta kegiatan-kegiatan yang berhubungan dengan penyalahgunaan narkotika adalah haram. Karena narkotika memiliki efek yang lebih berbahaya dari pada minuman khamr.</w:t>
      </w:r>
    </w:p>
    <w:p>
      <w:pPr>
        <w:pStyle w:val="4"/>
        <w:numPr>
          <w:ilvl w:val="0"/>
          <w:numId w:val="21"/>
        </w:numPr>
        <w:spacing w:after="0" w:line="312" w:lineRule="auto"/>
        <w:ind w:left="567" w:leftChars="129" w:right="-103" w:rightChars="-47" w:hanging="283" w:hangingChars="129"/>
        <w:jc w:val="both"/>
        <w:rPr>
          <w:rFonts w:ascii="Times New Roman" w:hAnsi="Times New Roman" w:cs="Times New Roman"/>
        </w:rPr>
      </w:pPr>
      <w:r>
        <w:rPr>
          <w:rFonts w:ascii="Times New Roman" w:hAnsi="Times New Roman" w:cs="Times New Roman"/>
        </w:rPr>
        <w:t>Sejarah Narkotika Hukum Pidana Islam</w:t>
      </w:r>
    </w:p>
    <w:p>
      <w:pPr>
        <w:tabs>
          <w:tab w:val="left" w:pos="1000"/>
        </w:tabs>
        <w:spacing w:after="0" w:line="312" w:lineRule="auto"/>
        <w:ind w:left="565" w:leftChars="257" w:right="-103" w:rightChars="-47" w:firstLine="550" w:firstLineChars="250"/>
        <w:contextualSpacing/>
        <w:jc w:val="both"/>
        <w:rPr>
          <w:rFonts w:ascii="Times New Roman" w:hAnsi="Times New Roman" w:eastAsia="SimSun" w:cs="Times New Roman"/>
        </w:rPr>
      </w:pPr>
      <w:r>
        <w:rPr>
          <w:rFonts w:ascii="Times New Roman" w:hAnsi="Times New Roman" w:eastAsia="SimSun" w:cs="Times New Roman"/>
        </w:rPr>
        <w:t xml:space="preserve">Penggunaan narkotika sudah dikenal sejak ribuan Tahun yang lalu. Misalnya, opium yang berasal dari tanaman poppy telah digunakan oleh bangsa Sumeria sekitar 3400 SM untuk tujuan medis dan ritual. Di Cina, penggunaan opium meningkat pada abad ke-17 dan menjadi masalah sosial yang serius. Pada awal abad ke-20, banyak negara </w:t>
      </w:r>
      <w:r>
        <w:rPr>
          <w:rFonts w:ascii="Times New Roman" w:hAnsi="Times New Roman" w:eastAsia="SimSun" w:cs="Times New Roman"/>
          <w:lang w:val="en-US"/>
        </w:rPr>
        <w:t>mulai</w:t>
      </w:r>
      <w:r>
        <w:rPr>
          <w:rFonts w:ascii="Times New Roman" w:hAnsi="Times New Roman" w:eastAsia="SimSun" w:cs="Times New Roman"/>
        </w:rPr>
        <w:t xml:space="preserve"> menyadari dampak buruk dari penyalahgunaan narkotika dan </w:t>
      </w:r>
      <w:r>
        <w:rPr>
          <w:rFonts w:ascii="Times New Roman" w:hAnsi="Times New Roman" w:eastAsia="SimSun" w:cs="Times New Roman"/>
          <w:lang w:val="en-US"/>
        </w:rPr>
        <w:t>mulai</w:t>
      </w:r>
      <w:r>
        <w:rPr>
          <w:rFonts w:ascii="Times New Roman" w:hAnsi="Times New Roman" w:eastAsia="SimSun" w:cs="Times New Roman"/>
        </w:rPr>
        <w:t xml:space="preserve"> memberlakukan peraturan untuk mengontrol penggunaannya. </w:t>
      </w:r>
    </w:p>
    <w:p>
      <w:pPr>
        <w:tabs>
          <w:tab w:val="left" w:pos="1000"/>
        </w:tabs>
        <w:spacing w:before="240" w:after="0" w:line="312" w:lineRule="auto"/>
        <w:ind w:left="565" w:leftChars="257" w:right="-103" w:rightChars="-47" w:firstLine="550" w:firstLineChars="250"/>
        <w:contextualSpacing/>
        <w:jc w:val="both"/>
        <w:rPr>
          <w:rFonts w:ascii="Times New Roman" w:hAnsi="Times New Roman" w:eastAsia="SimSun" w:cs="Times New Roman"/>
        </w:rPr>
      </w:pPr>
      <w:r>
        <w:rPr>
          <w:rFonts w:ascii="Times New Roman" w:hAnsi="Times New Roman" w:eastAsia="SimSun" w:cs="Times New Roman"/>
        </w:rPr>
        <w:t>Penyalahgunaan opium pertama kali disebutkan di Dunia Islam dimulai pada abad ke-10 (M), lebih dari 3 abad setelah masa Nabi, ketika al-Biruni (973-1051 M) menggambarkan bagaimana masyarakat menjalankan “kebiasaan mengonsumsi opium setiap hari untuk meringankan penderitaan, untuk membebaskan tubuh dari efek panas terik, dan untuk memastikan tidur yang lebih lama dan lebih nyenyak” Khususnya, ia menambahkan, “obat-obatan tersebut dimulai dengan dosis yang lebih rendah dan secara bertahap berkembang hingga dosis yang mematikan.” Karena berbagai keadaan sosio-ekonomi, budaya, dan politik, kebiasaan ini tetap ada di Afghanistan, Iran, Mesir, Pakistan, dan Turki, dimana opium ditanam secara resmi atau legal.</w:t>
      </w:r>
      <w:r>
        <w:rPr>
          <w:rStyle w:val="17"/>
          <w:rFonts w:ascii="Times New Roman" w:hAnsi="Times New Roman" w:eastAsia="SimSun" w:cs="Times New Roman"/>
        </w:rPr>
        <w:footnoteReference w:id="27"/>
      </w:r>
    </w:p>
    <w:p>
      <w:pPr>
        <w:tabs>
          <w:tab w:val="left" w:pos="1000"/>
        </w:tabs>
        <w:spacing w:before="240" w:after="0" w:line="312" w:lineRule="auto"/>
        <w:ind w:left="565" w:leftChars="257" w:right="-103" w:rightChars="-47" w:firstLine="550" w:firstLineChars="250"/>
        <w:contextualSpacing/>
        <w:jc w:val="both"/>
        <w:rPr>
          <w:rFonts w:ascii="Times New Roman" w:hAnsi="Times New Roman" w:eastAsia="SimSun" w:cs="Times New Roman"/>
        </w:rPr>
      </w:pPr>
      <w:r>
        <w:rPr>
          <w:rFonts w:ascii="Times New Roman" w:hAnsi="Times New Roman" w:eastAsia="SimSun" w:cs="Times New Roman"/>
        </w:rPr>
        <w:t>Ribuan Tahun yang lalu, penduduk asli salah satu negara panas dan kering di Timur Tengah menemukan tanaman berumur satu Tahun yang menghasilkan sejenis sari selama 7-9 hari untuk menghilangkan rasa sakit. Poppy pertama kali ditanam di Mesir dan dikenal dengan nama Thebaica. Kata di atas berasal dari kata “Tabas”; sebuah kota di Mesir Kuno tempat orang menanam opium. Papirus Ebers yang tersisa dari Tahun 1500 SM menyebutkan metode untuk menenangkan anak-anak.</w:t>
      </w:r>
      <w:r>
        <w:rPr>
          <w:rStyle w:val="17"/>
          <w:rFonts w:ascii="Times New Roman" w:hAnsi="Times New Roman" w:eastAsia="SimSun" w:cs="Times New Roman"/>
        </w:rPr>
        <w:footnoteReference w:id="28"/>
      </w:r>
    </w:p>
    <w:p>
      <w:pPr>
        <w:tabs>
          <w:tab w:val="left" w:pos="1000"/>
        </w:tabs>
        <w:spacing w:before="240" w:after="0" w:line="312" w:lineRule="auto"/>
        <w:ind w:left="565" w:leftChars="257" w:right="-103" w:rightChars="-47" w:firstLine="550" w:firstLineChars="250"/>
        <w:contextualSpacing/>
        <w:jc w:val="both"/>
        <w:rPr>
          <w:rFonts w:ascii="Times New Roman" w:hAnsi="Times New Roman" w:eastAsia="SimSun" w:cs="Times New Roman"/>
        </w:rPr>
      </w:pPr>
      <w:r>
        <w:rPr>
          <w:rFonts w:ascii="Times New Roman" w:hAnsi="Times New Roman" w:eastAsia="SimSun" w:cs="Times New Roman"/>
        </w:rPr>
        <w:t>Para arkeolog telah mendapatkan bukti sejarah yang menunjukkan bahwa penanaman opium sudah ada sejak 15.000 Tahun yang lalu</w:t>
      </w:r>
      <w:r>
        <w:rPr>
          <w:rFonts w:ascii="Times New Roman" w:hAnsi="Times New Roman" w:eastAsia="SimSun" w:cs="Times New Roman"/>
          <w:lang w:val="en-US"/>
        </w:rPr>
        <w:t>.</w:t>
      </w:r>
      <w:r>
        <w:rPr>
          <w:rFonts w:ascii="Times New Roman" w:hAnsi="Times New Roman" w:eastAsia="SimSun" w:cs="Times New Roman"/>
        </w:rPr>
        <w:t xml:space="preserve"> Namun, catatan sejarah yang tersisa belum membuktikan bahwa orang-orang zaman dahulu telah menyadari manfaat dan khasiat obat dari opium. mungkin, mereka menggunakannya secara tradisional, tanpa mengetahui prnggunaan penerapannya. Di Kekaisaran Romawi, orang </w:t>
      </w:r>
      <w:r>
        <w:rPr>
          <w:rFonts w:ascii="Times New Roman" w:hAnsi="Times New Roman" w:eastAsia="SimSun" w:cs="Times New Roman"/>
          <w:lang w:val="en-US"/>
        </w:rPr>
        <w:t>mungkin</w:t>
      </w:r>
      <w:r>
        <w:rPr>
          <w:rFonts w:ascii="Times New Roman" w:hAnsi="Times New Roman" w:eastAsia="SimSun" w:cs="Times New Roman"/>
        </w:rPr>
        <w:t xml:space="preserve"> menggunakan opium dalam upacara keagamaan dan </w:t>
      </w:r>
      <w:r>
        <w:rPr>
          <w:rFonts w:ascii="Times New Roman" w:hAnsi="Times New Roman" w:eastAsia="SimSun" w:cs="Times New Roman"/>
          <w:lang w:val="en-US"/>
        </w:rPr>
        <w:t>mungkin</w:t>
      </w:r>
      <w:r>
        <w:rPr>
          <w:rFonts w:ascii="Times New Roman" w:hAnsi="Times New Roman" w:eastAsia="SimSun" w:cs="Times New Roman"/>
        </w:rPr>
        <w:t xml:space="preserve"> menggunakannya untuk simbolisasi proses kematian dan reinkarnasi. Bahkan catatan yang lebih tua menunjukkan bahwa orang-orang zaman dahulu mungkin percaya bahwa opium bisa saja bersifat ajaib, meskipun tidak ada bukti yang menunjukkan bahwa orang-orang pada zaman itu telah menggunakannya untuk kesenangan.</w:t>
      </w:r>
      <w:r>
        <w:rPr>
          <w:rStyle w:val="17"/>
          <w:rFonts w:ascii="Times New Roman" w:hAnsi="Times New Roman" w:eastAsia="SimSun" w:cs="Times New Roman"/>
        </w:rPr>
        <w:footnoteReference w:id="29"/>
      </w:r>
    </w:p>
    <w:p>
      <w:pPr>
        <w:numPr>
          <w:ilvl w:val="0"/>
          <w:numId w:val="21"/>
        </w:numPr>
        <w:tabs>
          <w:tab w:val="left" w:pos="567"/>
        </w:tabs>
        <w:spacing w:after="0" w:line="312" w:lineRule="auto"/>
        <w:ind w:left="567" w:leftChars="129" w:right="-103" w:rightChars="-47" w:hanging="283" w:hangingChars="129"/>
        <w:contextualSpacing/>
        <w:jc w:val="both"/>
        <w:rPr>
          <w:rFonts w:ascii="Times New Roman" w:hAnsi="Times New Roman" w:cs="Times New Roman"/>
        </w:rPr>
      </w:pPr>
      <w:r>
        <w:rPr>
          <w:rFonts w:ascii="Times New Roman" w:hAnsi="Times New Roman" w:cs="Times New Roman"/>
          <w:lang w:val="en-US"/>
        </w:rPr>
        <w:t>Sanksi</w:t>
      </w:r>
      <w:r>
        <w:rPr>
          <w:rFonts w:ascii="Times New Roman" w:hAnsi="Times New Roman" w:cs="Times New Roman"/>
        </w:rPr>
        <w:t xml:space="preserve"> Tindak Pidana Narkotika Hukum</w:t>
      </w:r>
      <w:r>
        <w:rPr>
          <w:rFonts w:ascii="Times New Roman" w:hAnsi="Times New Roman" w:cs="Times New Roman"/>
          <w:lang w:val="en-US"/>
        </w:rPr>
        <w:t xml:space="preserve"> Pidana</w:t>
      </w:r>
      <w:r>
        <w:rPr>
          <w:rFonts w:ascii="Times New Roman" w:hAnsi="Times New Roman" w:cs="Times New Roman"/>
        </w:rPr>
        <w:t xml:space="preserve"> Islam</w:t>
      </w:r>
    </w:p>
    <w:p>
      <w:pPr>
        <w:spacing w:before="240" w:after="0" w:line="312" w:lineRule="auto"/>
        <w:ind w:left="565" w:leftChars="257" w:right="-103" w:rightChars="-47" w:firstLine="567" w:firstLineChars="258"/>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Hukuman bagi penyalahgunaan narkotika ada beberapa pendapat, yaitu dengan diberikan sanksi hukuman </w:t>
      </w:r>
      <w:r>
        <w:rPr>
          <w:rFonts w:ascii="Times New Roman" w:hAnsi="Times New Roman" w:eastAsia="SimSun" w:cs="Times New Roman"/>
          <w:i/>
          <w:iCs/>
          <w:lang w:val="en-US"/>
        </w:rPr>
        <w:t>had</w:t>
      </w:r>
      <w:r>
        <w:rPr>
          <w:rFonts w:ascii="Times New Roman" w:hAnsi="Times New Roman" w:eastAsia="SimSun" w:cs="Times New Roman"/>
          <w:lang w:val="en-US"/>
        </w:rPr>
        <w:t xml:space="preserve"> dan </w:t>
      </w:r>
      <w:r>
        <w:rPr>
          <w:rFonts w:ascii="Times New Roman" w:hAnsi="Times New Roman" w:eastAsia="SimSun" w:cs="Times New Roman"/>
          <w:i/>
          <w:iCs/>
          <w:lang w:val="en-US"/>
        </w:rPr>
        <w:t>ta’zir.</w:t>
      </w:r>
      <w:r>
        <w:rPr>
          <w:rFonts w:ascii="Times New Roman" w:hAnsi="Times New Roman" w:eastAsia="SimSun" w:cs="Times New Roman"/>
          <w:lang w:val="en-US"/>
        </w:rPr>
        <w:t xml:space="preserve"> Penjelasan hukuman narkotika adalah sebgai berikut</w:t>
      </w:r>
      <w:r>
        <w:rPr>
          <w:rFonts w:ascii="Times New Roman" w:hAnsi="Times New Roman" w:eastAsia="SimSun" w:cs="Times New Roman"/>
        </w:rPr>
        <w:t>:</w:t>
      </w:r>
    </w:p>
    <w:p>
      <w:pPr>
        <w:numPr>
          <w:ilvl w:val="0"/>
          <w:numId w:val="22"/>
        </w:numPr>
        <w:tabs>
          <w:tab w:val="left" w:pos="851"/>
        </w:tabs>
        <w:spacing w:before="240" w:after="0" w:line="312" w:lineRule="auto"/>
        <w:ind w:left="851" w:right="-103" w:rightChars="-47" w:hanging="284"/>
        <w:contextualSpacing/>
        <w:jc w:val="both"/>
        <w:rPr>
          <w:rFonts w:ascii="Times New Roman" w:hAnsi="Times New Roman" w:eastAsia="SimSun" w:cs="Times New Roman"/>
        </w:rPr>
      </w:pPr>
      <w:r>
        <w:rPr>
          <w:rFonts w:ascii="Times New Roman" w:hAnsi="Times New Roman" w:eastAsia="SimSun" w:cs="Times New Roman"/>
          <w:lang w:val="en-US"/>
        </w:rPr>
        <w:t xml:space="preserve">Pertama pendapat dari Ibnu Taimiyah dan Azat Husnain bahwa hukuman yang diberikan pelaka pelaku tindak pidana narkotika adalah hukuman </w:t>
      </w:r>
      <w:r>
        <w:rPr>
          <w:rFonts w:ascii="Times New Roman" w:hAnsi="Times New Roman" w:eastAsia="SimSun" w:cs="Times New Roman"/>
          <w:i/>
          <w:iCs/>
          <w:lang w:val="en-US"/>
        </w:rPr>
        <w:t>had.</w:t>
      </w:r>
      <w:r>
        <w:rPr>
          <w:rFonts w:ascii="Times New Roman" w:hAnsi="Times New Roman" w:eastAsia="SimSun" w:cs="Times New Roman"/>
          <w:lang w:val="en-US"/>
        </w:rPr>
        <w:t xml:space="preserve"> Karena dalam hal ini narkotika disamakan dengan minuman khamr. Dengan </w:t>
      </w:r>
      <w:r>
        <w:rPr>
          <w:rFonts w:ascii="Times New Roman" w:hAnsi="Times New Roman" w:eastAsia="SimSun" w:cs="Times New Roman"/>
          <w:i/>
          <w:iCs/>
          <w:lang w:val="en-US"/>
        </w:rPr>
        <w:t xml:space="preserve">illat </w:t>
      </w:r>
      <w:r>
        <w:rPr>
          <w:rFonts w:ascii="Times New Roman" w:hAnsi="Times New Roman" w:eastAsia="SimSun" w:cs="Times New Roman"/>
          <w:lang w:val="en-US"/>
        </w:rPr>
        <w:t>bahwa narkoitka dan khamr sama-sama memiliki efek yang merusak akal dan memabukan. Sehinggu, sanksi yang melekat pada pengharaman khamar juga melekat pada pengharaman penyalahgunaan narkotika. sanksinya sama yaitu di dera atau dicambuk sebanyak 80 kali.</w:t>
      </w:r>
    </w:p>
    <w:p>
      <w:pPr>
        <w:numPr>
          <w:ilvl w:val="0"/>
          <w:numId w:val="22"/>
        </w:numPr>
        <w:tabs>
          <w:tab w:val="left" w:pos="851"/>
        </w:tabs>
        <w:spacing w:before="240" w:after="0" w:line="312" w:lineRule="auto"/>
        <w:ind w:left="851" w:right="-103" w:rightChars="-47" w:hanging="284"/>
        <w:contextualSpacing/>
        <w:jc w:val="both"/>
        <w:rPr>
          <w:rFonts w:ascii="Times New Roman" w:hAnsi="Times New Roman" w:eastAsia="SimSun" w:cs="Times New Roman"/>
        </w:rPr>
      </w:pPr>
      <w:r>
        <w:rPr>
          <w:rFonts w:ascii="Times New Roman" w:hAnsi="Times New Roman" w:eastAsia="SimSun" w:cs="Times New Roman"/>
        </w:rPr>
        <w:t xml:space="preserve">Ke-2 pendapat dari Wahbah Zuhaili dan Ahmad Al-Hasari bahwa hukuman terhadap pelaku tindak pidana penyalahgunaan narkotika adalah sanksi </w:t>
      </w:r>
      <w:r>
        <w:rPr>
          <w:rFonts w:ascii="Times New Roman" w:hAnsi="Times New Roman" w:eastAsia="SimSun" w:cs="Times New Roman"/>
          <w:i/>
          <w:iCs/>
        </w:rPr>
        <w:t>ta’zir</w:t>
      </w:r>
      <w:r>
        <w:rPr>
          <w:rFonts w:ascii="Times New Roman" w:hAnsi="Times New Roman" w:eastAsia="SimSun" w:cs="Times New Roman"/>
        </w:rPr>
        <w:t>, tetap kuat dengan alasan bahwa narkotika belum dikenal pada zaman Nabi. Bahaya</w:t>
      </w:r>
      <w:r>
        <w:rPr>
          <w:rFonts w:ascii="Times New Roman" w:hAnsi="Times New Roman" w:eastAsia="SimSun" w:cs="Times New Roman"/>
          <w:lang w:val="en-US"/>
        </w:rPr>
        <w:t xml:space="preserve"> narkotika lebih besar dan efek yang ditimbukan lebih besar dari pada Narkotika. Selain itu peerbedaan narkotika juga memiliki macam-macam jenis dan menimbulkan efek yang berbeda karena penggunaanya. Dan, semuanya memiliki efek yang lebih besar dari pada minuman khamr</w:t>
      </w:r>
      <w:r>
        <w:rPr>
          <w:rFonts w:ascii="Times New Roman" w:hAnsi="Times New Roman" w:eastAsia="SimSun" w:cs="Times New Roman"/>
        </w:rPr>
        <w:t>.</w:t>
      </w:r>
      <w:r>
        <w:rPr>
          <w:rStyle w:val="17"/>
          <w:rFonts w:ascii="Times New Roman" w:hAnsi="Times New Roman" w:eastAsia="SimSun" w:cs="Times New Roman"/>
        </w:rPr>
        <w:footnoteReference w:id="30"/>
      </w:r>
    </w:p>
    <w:p>
      <w:pPr>
        <w:numPr>
          <w:ilvl w:val="0"/>
          <w:numId w:val="22"/>
        </w:numPr>
        <w:tabs>
          <w:tab w:val="left" w:pos="851"/>
        </w:tabs>
        <w:spacing w:before="240" w:after="0" w:line="312" w:lineRule="auto"/>
        <w:ind w:left="851" w:right="-103" w:rightChars="-47" w:hanging="284"/>
        <w:contextualSpacing/>
        <w:jc w:val="both"/>
        <w:rPr>
          <w:rFonts w:ascii="Times New Roman" w:hAnsi="Times New Roman" w:eastAsia="SimSun" w:cs="Times New Roman"/>
        </w:rPr>
      </w:pPr>
      <w:r>
        <w:rPr>
          <w:rFonts w:ascii="Times New Roman" w:hAnsi="Times New Roman" w:eastAsia="SimSun" w:cs="Times New Roman"/>
        </w:rPr>
        <w:t xml:space="preserve">Fatwa MUI (Majelis Ulama’ Indonesia) juga menyatakan bahwa sanksi penyalahgunaan narkotika adalah </w:t>
      </w:r>
      <w:r>
        <w:rPr>
          <w:rFonts w:ascii="Times New Roman" w:hAnsi="Times New Roman" w:eastAsia="SimSun" w:cs="Times New Roman"/>
          <w:i/>
          <w:iCs/>
        </w:rPr>
        <w:t>ta’zir</w:t>
      </w:r>
      <w:r>
        <w:rPr>
          <w:rFonts w:ascii="Times New Roman" w:hAnsi="Times New Roman" w:eastAsia="SimSun" w:cs="Times New Roman"/>
        </w:rPr>
        <w:t>. Karena</w:t>
      </w:r>
      <w:r>
        <w:rPr>
          <w:rFonts w:ascii="Times New Roman" w:hAnsi="Times New Roman" w:eastAsia="SimSun" w:cs="Times New Roman"/>
          <w:lang w:val="en-US"/>
        </w:rPr>
        <w:t xml:space="preserve"> tidak ada penjelasan secara tegas yang berkaitan dengan hukuman narkotika di dalam Al Qur’an dan Sunah.</w:t>
      </w:r>
    </w:p>
    <w:p>
      <w:pPr>
        <w:pStyle w:val="4"/>
        <w:spacing w:after="0" w:line="312" w:lineRule="auto"/>
        <w:ind w:left="851" w:right="-103" w:rightChars="-47" w:firstLine="567"/>
        <w:jc w:val="both"/>
        <w:rPr>
          <w:rFonts w:ascii="Times New Roman" w:hAnsi="Times New Roman" w:eastAsia="SimSun" w:cs="Times New Roman"/>
        </w:rPr>
      </w:pPr>
      <w:r>
        <w:rPr>
          <w:rFonts w:ascii="Times New Roman" w:hAnsi="Times New Roman" w:eastAsia="SimSun" w:cs="Times New Roman"/>
        </w:rPr>
        <w:t>Dari ur</w:t>
      </w:r>
      <w:r>
        <w:rPr>
          <w:rFonts w:ascii="Times New Roman" w:hAnsi="Times New Roman" w:eastAsia="SimSun" w:cs="Times New Roman"/>
          <w:lang w:val="en-US"/>
        </w:rPr>
        <w:t xml:space="preserve">aian pendapat di atas hukuman penyalahgunaan narkotika dihukumi haram. Hanya saja dengan jenis pidana masih memiliki pendapat pemikiran yang berbeda-beda. Hukumannya bisa dikenai sanksi </w:t>
      </w:r>
      <w:r>
        <w:rPr>
          <w:rFonts w:ascii="Times New Roman" w:hAnsi="Times New Roman" w:eastAsia="SimSun" w:cs="Times New Roman"/>
          <w:i/>
          <w:iCs/>
          <w:lang w:val="en-US"/>
        </w:rPr>
        <w:t>had</w:t>
      </w:r>
      <w:r>
        <w:rPr>
          <w:rFonts w:ascii="Times New Roman" w:hAnsi="Times New Roman" w:eastAsia="SimSun" w:cs="Times New Roman"/>
          <w:lang w:val="en-US"/>
        </w:rPr>
        <w:t xml:space="preserve"> dan juga bisa dikenai sanksi </w:t>
      </w:r>
      <w:r>
        <w:rPr>
          <w:rFonts w:ascii="Times New Roman" w:hAnsi="Times New Roman" w:eastAsia="SimSun" w:cs="Times New Roman"/>
          <w:i/>
          <w:iCs/>
          <w:lang w:val="en-US"/>
        </w:rPr>
        <w:t>ta’zir</w:t>
      </w:r>
      <w:r>
        <w:rPr>
          <w:rFonts w:ascii="Times New Roman" w:hAnsi="Times New Roman" w:eastAsia="SimSun" w:cs="Times New Roman"/>
          <w:lang w:val="en-US"/>
        </w:rPr>
        <w:t xml:space="preserve">. </w:t>
      </w:r>
      <w:r>
        <w:rPr>
          <w:rFonts w:ascii="Times New Roman" w:hAnsi="Times New Roman" w:eastAsia="SimSun" w:cs="Times New Roman"/>
        </w:rPr>
        <w:t xml:space="preserve">Ada yang berpendapat jenis sanksinya </w:t>
      </w:r>
      <w:r>
        <w:rPr>
          <w:rFonts w:ascii="Times New Roman" w:hAnsi="Times New Roman" w:eastAsia="SimSun" w:cs="Times New Roman"/>
          <w:lang w:val="en-US"/>
        </w:rPr>
        <w:t>dikenai sanksi</w:t>
      </w:r>
      <w:r>
        <w:rPr>
          <w:rFonts w:ascii="Times New Roman" w:hAnsi="Times New Roman" w:eastAsia="SimSun" w:cs="Times New Roman"/>
        </w:rPr>
        <w:t xml:space="preserve"> </w:t>
      </w:r>
      <w:r>
        <w:rPr>
          <w:rFonts w:ascii="Times New Roman" w:hAnsi="Times New Roman" w:eastAsia="SimSun" w:cs="Times New Roman"/>
          <w:i/>
          <w:iCs/>
        </w:rPr>
        <w:t>had,</w:t>
      </w:r>
      <w:r>
        <w:rPr>
          <w:rFonts w:ascii="Times New Roman" w:hAnsi="Times New Roman" w:eastAsia="SimSun" w:cs="Times New Roman"/>
        </w:rPr>
        <w:t xml:space="preserve"> yaitu didera/dicabuk sebagaimana peminum khamr. Tetapi ada juga Ulama’ yang berpendapat hukuman pelaku penyalahgunaan narkotika adalah </w:t>
      </w:r>
      <w:r>
        <w:rPr>
          <w:rFonts w:ascii="Times New Roman" w:hAnsi="Times New Roman" w:eastAsia="SimSun" w:cs="Times New Roman"/>
          <w:i/>
          <w:iCs/>
        </w:rPr>
        <w:t>ta’zir,</w:t>
      </w:r>
      <w:r>
        <w:rPr>
          <w:rFonts w:ascii="Times New Roman" w:hAnsi="Times New Roman" w:eastAsia="SimSun" w:cs="Times New Roman"/>
        </w:rPr>
        <w:t xml:space="preserve"> yakni diserahkan kepada keputusan penguasa negara atau pemerintah.</w:t>
      </w:r>
    </w:p>
    <w:p>
      <w:pPr>
        <w:pStyle w:val="4"/>
        <w:spacing w:after="0" w:line="312" w:lineRule="auto"/>
        <w:ind w:left="851" w:right="-103" w:rightChars="-47" w:firstLine="567"/>
        <w:jc w:val="both"/>
        <w:rPr>
          <w:rFonts w:ascii="Times New Roman" w:hAnsi="Times New Roman" w:eastAsia="SimSun" w:cs="Times New Roman"/>
        </w:rPr>
      </w:pPr>
    </w:p>
    <w:p>
      <w:pPr>
        <w:pStyle w:val="3"/>
        <w:numPr>
          <w:ilvl w:val="0"/>
          <w:numId w:val="20"/>
        </w:numPr>
        <w:ind w:left="284" w:hanging="284"/>
      </w:pPr>
      <w:r>
        <w:t xml:space="preserve">Narkotika Hukum Pidana </w:t>
      </w:r>
    </w:p>
    <w:p>
      <w:pPr>
        <w:pStyle w:val="5"/>
        <w:numPr>
          <w:ilvl w:val="3"/>
          <w:numId w:val="1"/>
        </w:numPr>
        <w:ind w:left="567" w:hanging="283"/>
        <w:rPr>
          <w:rFonts w:ascii="Times New Roman" w:hAnsi="Times New Roman" w:eastAsia="SimSun" w:cs="Times New Roman"/>
          <w:b w:val="0"/>
          <w:bCs w:val="0"/>
        </w:rPr>
      </w:pPr>
      <w:bookmarkStart w:id="21" w:name="_Toc199801662"/>
      <w:r>
        <w:rPr>
          <w:b w:val="0"/>
          <w:bCs w:val="0"/>
        </w:rPr>
        <w:t>Pengertian Narkotika Hukum Pidana Positif</w:t>
      </w:r>
      <w:bookmarkEnd w:id="21"/>
    </w:p>
    <w:p>
      <w:pPr>
        <w:pStyle w:val="5"/>
        <w:numPr>
          <w:ilvl w:val="0"/>
          <w:numId w:val="0"/>
        </w:numPr>
        <w:ind w:left="660" w:firstLine="616"/>
        <w:rPr>
          <w:rFonts w:ascii="Times New Roman" w:hAnsi="Times New Roman" w:eastAsia="SimSun" w:cs="Times New Roman"/>
          <w:b w:val="0"/>
          <w:bCs w:val="0"/>
        </w:rPr>
      </w:pPr>
      <w:r>
        <w:rPr>
          <w:rFonts w:ascii="Times New Roman" w:hAnsi="Times New Roman" w:eastAsia="SimSun" w:cs="Times New Roman"/>
          <w:b w:val="0"/>
          <w:bCs w:val="0"/>
        </w:rPr>
        <w:t>Pasal 1 Ayat 1 UU No 35 Tahun 2009 dijelaskan bahwa: “Narkotika adalah zat atau obat yang berasal dari tanaman atau bukan tanaman, baik sintetis maupun semisintetis, yang dapat menyebabkan penurunan atau perubahan kesadaran, hilangnya rasa, mengurangi sampai menghilangkan rasa nyeri, dan dapat menimbulkan ketergantungan.”</w:t>
      </w:r>
      <w:r>
        <w:rPr>
          <w:rStyle w:val="17"/>
          <w:rFonts w:ascii="Times New Roman" w:hAnsi="Times New Roman" w:eastAsia="SimSun" w:cs="Times New Roman"/>
          <w:b w:val="0"/>
          <w:bCs w:val="0"/>
        </w:rPr>
        <w:footnoteReference w:id="31"/>
      </w:r>
    </w:p>
    <w:p>
      <w:pPr>
        <w:pStyle w:val="5"/>
        <w:numPr>
          <w:ilvl w:val="3"/>
          <w:numId w:val="1"/>
        </w:numPr>
        <w:ind w:left="567" w:hanging="283"/>
        <w:rPr>
          <w:rFonts w:ascii="Times New Roman" w:hAnsi="Times New Roman" w:eastAsia="SimSun" w:cs="Times New Roman"/>
          <w:b w:val="0"/>
          <w:bCs w:val="0"/>
        </w:rPr>
      </w:pPr>
      <w:r>
        <w:rPr>
          <w:rFonts w:ascii="Times New Roman" w:hAnsi="Times New Roman" w:eastAsia="SimSun" w:cs="Times New Roman"/>
          <w:b w:val="0"/>
          <w:bCs w:val="0"/>
        </w:rPr>
        <w:t>Sejarah Narkotika</w:t>
      </w:r>
    </w:p>
    <w:p>
      <w:pPr>
        <w:pStyle w:val="5"/>
        <w:numPr>
          <w:ilvl w:val="0"/>
          <w:numId w:val="0"/>
        </w:numPr>
        <w:ind w:left="656" w:leftChars="298" w:firstLine="442" w:firstLineChars="201"/>
        <w:rPr>
          <w:rFonts w:ascii="Times New Roman" w:hAnsi="Times New Roman" w:eastAsia="SimSun" w:cs="Times New Roman"/>
          <w:b w:val="0"/>
          <w:bCs w:val="0"/>
        </w:rPr>
      </w:pPr>
      <w:r>
        <w:rPr>
          <w:rFonts w:ascii="Times New Roman" w:hAnsi="Times New Roman" w:eastAsia="SimSun" w:cs="Times New Roman"/>
          <w:b w:val="0"/>
          <w:bCs w:val="0"/>
        </w:rPr>
        <w:t>Menurut Pakar Kesehtan narkoba adalah psikotrpika yang sudah biasa dipakai yang memberikan efek bius kepada pasien yang hendak melaksanakan operasi dan termasuk dalam obat-obat tertebtu. Obat-obatan jenis opium penggunaannya sudah dikenal lama di Indonesia. Jauh sebelum zaman penjajahan Belanda, yang pada umumnya penggunaan opium dikonsumsi oleh orang Cina.</w:t>
      </w:r>
    </w:p>
    <w:p>
      <w:pPr>
        <w:tabs>
          <w:tab w:val="left" w:pos="1600"/>
        </w:tabs>
        <w:spacing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Pemerintahan Belanda hanya memberikan izin kepada tempat-tempat tertentu untuk pengadaan tempat menghisap candu yang secara legal dibolehkan yang diatur Undang-Undang. Penggunaannya masih dengan cara penggunaan tradisional dengan menghisap melalui pipa panjang. Peraturan ini berlaku sampai diubah setelah tibanya pemerintahan Jepang di Indonesia. Dengan penghapusan Undang-Undang tersebut dan melarang keras dalam penggunaan candu.</w:t>
      </w:r>
    </w:p>
    <w:p>
      <w:pPr>
        <w:tabs>
          <w:tab w:val="left" w:pos="1600"/>
        </w:tabs>
        <w:spacing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Di daerah Aceh dan Sumatera banyak tumbuh tumbuhan sejenis ganja. Tanaman tersebut digunakan untuk bahan campuran makanan untuk sehari-hari. Tanamamn Coca juga banyak ditemukan di daerah Jawa Timur yang hanya diperlukan untuk ekspor bukan untuk dikonsumsi secara umum.</w:t>
      </w:r>
    </w:p>
    <w:p>
      <w:pPr>
        <w:tabs>
          <w:tab w:val="left" w:pos="1600"/>
        </w:tabs>
        <w:spacing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Seteleh kemerdekaan Indonesia, Pemerintah RI membentuk Undang-Undang terkait dengan memproduksi, menggunakan dan distribusi obat-obatan yang berbahaya </w:t>
      </w:r>
      <w:r>
        <w:rPr>
          <w:rFonts w:ascii="Times New Roman" w:hAnsi="Times New Roman" w:eastAsia="SimSun" w:cs="Times New Roman"/>
          <w:i/>
          <w:iCs/>
        </w:rPr>
        <w:t>Dangerous Drugs Ordinance</w:t>
      </w:r>
      <w:r>
        <w:rPr>
          <w:rFonts w:ascii="Times New Roman" w:hAnsi="Times New Roman" w:eastAsia="SimSun" w:cs="Times New Roman"/>
        </w:rPr>
        <w:t xml:space="preserve"> dimana wewenang </w:t>
      </w:r>
      <w:r>
        <w:rPr>
          <w:rFonts w:ascii="Times New Roman" w:hAnsi="Times New Roman" w:eastAsia="SimSun" w:cs="Times New Roman"/>
          <w:lang w:val="en-US"/>
        </w:rPr>
        <w:t xml:space="preserve">tersebut </w:t>
      </w:r>
      <w:r>
        <w:rPr>
          <w:rFonts w:ascii="Times New Roman" w:hAnsi="Times New Roman" w:eastAsia="SimSun" w:cs="Times New Roman"/>
        </w:rPr>
        <w:t>diberikan kepada Menteri Kesehatan untuk pengaturannya</w:t>
      </w:r>
      <w:r>
        <w:rPr>
          <w:rFonts w:ascii="Times New Roman" w:hAnsi="Times New Roman" w:eastAsia="SimSun" w:cs="Times New Roman"/>
          <w:lang w:val="en-US"/>
        </w:rPr>
        <w:t>.</w:t>
      </w:r>
    </w:p>
    <w:p>
      <w:pPr>
        <w:tabs>
          <w:tab w:val="left" w:pos="1600"/>
        </w:tabs>
        <w:spacing w:before="240"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Tahun 1970, </w:t>
      </w:r>
      <w:r>
        <w:rPr>
          <w:rFonts w:ascii="Times New Roman" w:hAnsi="Times New Roman" w:eastAsia="SimSun" w:cs="Times New Roman"/>
        </w:rPr>
        <w:t xml:space="preserve">obat-obatan berbahaya jenis narkotika menjadi masalah besar </w:t>
      </w:r>
      <w:r>
        <w:rPr>
          <w:rFonts w:ascii="Times New Roman" w:hAnsi="Times New Roman" w:eastAsia="SimSun" w:cs="Times New Roman"/>
          <w:lang w:val="en-US"/>
        </w:rPr>
        <w:t>yang bersifat nasional</w:t>
      </w:r>
      <w:r>
        <w:rPr>
          <w:rFonts w:ascii="Times New Roman" w:hAnsi="Times New Roman" w:eastAsia="SimSun" w:cs="Times New Roman"/>
        </w:rPr>
        <w:t>. Pada waktu perang Vietnam sedang mencapai puncaknya pada Tahun 1970-an, maka hampir di semua negeri, terutama di Amerika Serikat penyalahgunaan obat (narkotika) sangat meningkat dan sebagian besar korbannya adalah anak-anak muda. Nampaknya gejala itu berpengaruh pula di Indonesia dalam waktu yang hampir bersamaan.</w:t>
      </w:r>
      <w:r>
        <w:rPr>
          <w:rFonts w:ascii="Times New Roman" w:hAnsi="Times New Roman" w:eastAsia="SimSun" w:cs="Times New Roman"/>
          <w:lang w:val="en-US"/>
        </w:rPr>
        <w:t>.</w:t>
      </w:r>
    </w:p>
    <w:p>
      <w:pPr>
        <w:tabs>
          <w:tab w:val="left" w:pos="1600"/>
        </w:tabs>
        <w:spacing w:before="240"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Penggunaan narkotika yang masih merabak besar di Indonesia, maka terjadi perevidian UU Narkotika, sehigga pada saat itu terbentuklan UU Anti Narkotika No 22 Tahun 1997, menyusul juga UU Psikotropika No 5 Tahun 1997. Yang pada peraturan tersebut dibuat ketentuan hukum terhadap pelaku tindak pidana narkotika, dengan ketentuan hukuman terberat adalah sanksi hukuman mati.</w:t>
      </w:r>
    </w:p>
    <w:p>
      <w:pPr>
        <w:tabs>
          <w:tab w:val="left" w:pos="1600"/>
        </w:tabs>
        <w:spacing w:before="240"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Sekitar Tahun 2000 SM yang bertempat di Samaria, jauh sebelum narkotika dikenal di Indonesia. Telah muncul sari bunga opion yang kemudian disebut dengan opium</w:t>
      </w:r>
      <w:r>
        <w:rPr>
          <w:rFonts w:ascii="Times New Roman" w:hAnsi="Times New Roman" w:eastAsia="SimSun" w:cs="Times New Roman"/>
        </w:rPr>
        <w:t xml:space="preserve"> (candu = </w:t>
      </w:r>
      <w:r>
        <w:rPr>
          <w:rFonts w:ascii="Times New Roman" w:hAnsi="Times New Roman" w:eastAsia="SimSun" w:cs="Times New Roman"/>
          <w:i/>
          <w:iCs/>
        </w:rPr>
        <w:t>papavor somniferitum</w:t>
      </w:r>
      <w:r>
        <w:rPr>
          <w:rFonts w:ascii="Times New Roman" w:hAnsi="Times New Roman" w:eastAsia="SimSun" w:cs="Times New Roman"/>
        </w:rPr>
        <w:t xml:space="preserve">). </w:t>
      </w:r>
      <w:r>
        <w:rPr>
          <w:rFonts w:ascii="Times New Roman" w:hAnsi="Times New Roman" w:eastAsia="SimSun" w:cs="Times New Roman"/>
          <w:lang w:val="en-US"/>
        </w:rPr>
        <w:t>Sari Bungan opion tumbuh sangat subur di atas ketinggian 500 M di atas permukiman laut. Selanjutnya penyebaran terjadi di Cina, India dan daerah Asia lainnya. Karena keadaan iklim di Cina menjadi tempat yang sangat subur dalam penyebaran dan perkembangan candu.</w:t>
      </w:r>
    </w:p>
    <w:p>
      <w:pPr>
        <w:tabs>
          <w:tab w:val="left" w:pos="1600"/>
        </w:tabs>
        <w:spacing w:before="240"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rPr>
        <w:t>Selain morphin dan heroin adalagi jenis lain yaitu kokain (</w:t>
      </w:r>
      <w:r>
        <w:rPr>
          <w:rFonts w:ascii="Times New Roman" w:hAnsi="Times New Roman" w:eastAsia="SimSun" w:cs="Times New Roman"/>
          <w:i/>
          <w:iCs/>
        </w:rPr>
        <w:t>ery throxylor coca</w:t>
      </w:r>
      <w:r>
        <w:rPr>
          <w:rFonts w:ascii="Times New Roman" w:hAnsi="Times New Roman" w:eastAsia="SimSun" w:cs="Times New Roman"/>
        </w:rPr>
        <w:t xml:space="preserve">) berasal dari tumbuhan coca yang tumbuh di Peru dan Bolavia. </w:t>
      </w:r>
      <w:r>
        <w:rPr>
          <w:rFonts w:ascii="Times New Roman" w:hAnsi="Times New Roman" w:eastAsia="SimSun" w:cs="Times New Roman"/>
          <w:lang w:val="en-US"/>
        </w:rPr>
        <w:t>Penggunaan ini biasanya digunakan untuk penyembuhan penyakit TBC dan Asma. Tahun 70-an banyak terjadi tekanan terhadap kehidupan manusia dan teknologi yang semakin maju dan mendukung. Maka, diberilah campuran yang tebuat khusus agar candu tersebut dikembangkan menjadi bentuk pil obat-obatan</w:t>
      </w:r>
      <w:r>
        <w:rPr>
          <w:rFonts w:ascii="Times New Roman" w:hAnsi="Times New Roman" w:eastAsia="SimSun" w:cs="Times New Roman"/>
        </w:rPr>
        <w:t>.</w:t>
      </w:r>
      <w:r>
        <w:rPr>
          <w:rStyle w:val="17"/>
          <w:rFonts w:ascii="Times New Roman" w:hAnsi="Times New Roman" w:eastAsia="SimSun" w:cs="Times New Roman"/>
        </w:rPr>
        <w:footnoteReference w:id="32"/>
      </w:r>
    </w:p>
    <w:p>
      <w:pPr>
        <w:pStyle w:val="5"/>
        <w:numPr>
          <w:ilvl w:val="3"/>
          <w:numId w:val="1"/>
        </w:numPr>
        <w:ind w:left="567" w:hanging="283"/>
        <w:rPr>
          <w:b w:val="0"/>
          <w:bCs w:val="0"/>
        </w:rPr>
      </w:pPr>
      <w:r>
        <w:rPr>
          <w:b w:val="0"/>
          <w:bCs w:val="0"/>
        </w:rPr>
        <w:t>Macam-macam Narkotika</w:t>
      </w:r>
    </w:p>
    <w:p>
      <w:pPr>
        <w:numPr>
          <w:ilvl w:val="0"/>
          <w:numId w:val="23"/>
        </w:numPr>
        <w:tabs>
          <w:tab w:val="left" w:pos="660"/>
          <w:tab w:val="clear" w:pos="425"/>
        </w:tabs>
        <w:spacing w:after="0" w:line="312" w:lineRule="auto"/>
        <w:ind w:left="885" w:right="-103" w:rightChars="-47" w:hanging="225"/>
        <w:contextualSpacing/>
        <w:jc w:val="both"/>
        <w:rPr>
          <w:rFonts w:ascii="Times New Roman" w:hAnsi="Times New Roman" w:cs="Times New Roman"/>
        </w:rPr>
      </w:pPr>
      <w:r>
        <w:rPr>
          <w:rFonts w:ascii="Times New Roman" w:hAnsi="Times New Roman" w:cs="Times New Roman"/>
        </w:rPr>
        <w:t>Golongan Narkotika</w:t>
      </w:r>
    </w:p>
    <w:p>
      <w:pPr>
        <w:spacing w:before="240" w:after="0" w:line="312" w:lineRule="auto"/>
        <w:ind w:left="1096" w:leftChars="498" w:right="-103" w:rightChars="-47" w:firstLine="550" w:firstLineChars="250"/>
        <w:contextualSpacing/>
        <w:jc w:val="both"/>
        <w:rPr>
          <w:rFonts w:ascii="Times New Roman" w:hAnsi="Times New Roman" w:eastAsia="SimSun" w:cs="Times New Roman"/>
          <w:lang w:val="en-US"/>
        </w:rPr>
      </w:pPr>
      <w:r>
        <w:rPr>
          <w:rFonts w:ascii="Times New Roman" w:hAnsi="Times New Roman" w:eastAsia="SimSun" w:cs="Times New Roman"/>
          <w:lang w:val="en-US"/>
        </w:rPr>
        <w:t>Narkotika memiliki pengaturan dalam Undang-Undang meliputi semua bentuk perbuatan, kegiatan yang berhubungan narkotika. Dalam Pasal 5 diatur macam-macam golongan narkotika ke dalam:</w:t>
      </w:r>
    </w:p>
    <w:p>
      <w:pPr>
        <w:numPr>
          <w:ilvl w:val="0"/>
          <w:numId w:val="24"/>
        </w:numPr>
        <w:tabs>
          <w:tab w:val="left" w:pos="1400"/>
          <w:tab w:val="clear" w:pos="425"/>
        </w:tabs>
        <w:spacing w:before="240" w:after="0" w:line="312" w:lineRule="auto"/>
        <w:ind w:left="1525" w:right="-103" w:rightChars="-47"/>
        <w:contextualSpacing/>
        <w:jc w:val="both"/>
        <w:rPr>
          <w:rFonts w:ascii="Times New Roman" w:hAnsi="Times New Roman" w:eastAsia="SimSun" w:cs="Times New Roman"/>
        </w:rPr>
      </w:pPr>
      <w:r>
        <w:rPr>
          <w:rFonts w:ascii="Times New Roman" w:hAnsi="Times New Roman" w:eastAsia="SimSun" w:cs="Times New Roman"/>
        </w:rPr>
        <w:t>Narkotika Golongan I</w:t>
      </w:r>
    </w:p>
    <w:p>
      <w:pPr>
        <w:spacing w:before="240" w:after="0" w:line="312" w:lineRule="auto"/>
        <w:ind w:left="1540" w:leftChars="7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Narkotika Golongan ini di Indonesia tidak digunakan sebagai terapi, hanya saja seringnya digunakan untuk penelitian. Karena pengaruhnya baik dan buruknya lebih tinggi dibandingkan dengan jenis yang lain. Penggunaan narkotika golongan ini akan menimbulkan ketergantungan pemakaian yang sulit disembuhkan dan paling berbahaya adalah sampai bahaya kematian. Narkotika golongan I terdapat pada heroin, kokain dan ganja.</w:t>
      </w:r>
    </w:p>
    <w:p>
      <w:pPr>
        <w:numPr>
          <w:ilvl w:val="0"/>
          <w:numId w:val="24"/>
        </w:numPr>
        <w:tabs>
          <w:tab w:val="left" w:pos="1400"/>
          <w:tab w:val="clear" w:pos="425"/>
        </w:tabs>
        <w:spacing w:before="240" w:after="0" w:line="312" w:lineRule="auto"/>
        <w:ind w:left="1525" w:right="-103" w:rightChars="-47"/>
        <w:contextualSpacing/>
        <w:jc w:val="both"/>
        <w:rPr>
          <w:rFonts w:ascii="Times New Roman" w:hAnsi="Times New Roman" w:eastAsia="SimSun" w:cs="Times New Roman"/>
        </w:rPr>
      </w:pPr>
      <w:r>
        <w:rPr>
          <w:rFonts w:ascii="Times New Roman" w:hAnsi="Times New Roman" w:eastAsia="SimSun" w:cs="Times New Roman"/>
        </w:rPr>
        <w:t>Narkotika Golongan II</w:t>
      </w:r>
    </w:p>
    <w:p>
      <w:pPr>
        <w:spacing w:before="240" w:after="0" w:line="312" w:lineRule="auto"/>
        <w:ind w:left="1333" w:leftChars="606" w:right="-103" w:rightChars="-47" w:firstLine="424" w:firstLineChars="193"/>
        <w:contextualSpacing/>
        <w:jc w:val="both"/>
        <w:rPr>
          <w:rFonts w:ascii="Times New Roman" w:hAnsi="Times New Roman" w:eastAsia="SimSun" w:cs="Times New Roman"/>
          <w:lang w:val="en-US"/>
        </w:rPr>
      </w:pPr>
      <w:r>
        <w:rPr>
          <w:rFonts w:ascii="Times New Roman" w:hAnsi="Times New Roman" w:eastAsia="SimSun" w:cs="Times New Roman"/>
          <w:lang w:val="en-US"/>
        </w:rPr>
        <w:t>Penggunaan narkotika Golongan II hanya bisa digunakan ketika dalam pengawasan ketat itupun untuk terapi menghilangkan rasa sakit. Karen penggunaan yang terus menerus akan menimbulkan efek ketergantungan yang tinggi. Contoh narkotika Golongan II, yaitu: Petididin, Morfin dan turunan atau garam dalam golongan tersebut.</w:t>
      </w:r>
    </w:p>
    <w:p>
      <w:pPr>
        <w:numPr>
          <w:ilvl w:val="0"/>
          <w:numId w:val="24"/>
        </w:numPr>
        <w:tabs>
          <w:tab w:val="left" w:pos="1400"/>
          <w:tab w:val="clear" w:pos="425"/>
        </w:tabs>
        <w:spacing w:before="240" w:after="0" w:line="312" w:lineRule="auto"/>
        <w:ind w:left="1525" w:right="-103" w:rightChars="-47"/>
        <w:contextualSpacing/>
        <w:jc w:val="both"/>
        <w:rPr>
          <w:rFonts w:ascii="Times New Roman" w:hAnsi="Times New Roman" w:eastAsia="SimSun" w:cs="Times New Roman"/>
        </w:rPr>
      </w:pPr>
      <w:r>
        <w:rPr>
          <w:rFonts w:ascii="Times New Roman" w:hAnsi="Times New Roman" w:eastAsia="SimSun" w:cs="Times New Roman"/>
        </w:rPr>
        <w:t>Narkotika Golongan III</w:t>
      </w:r>
    </w:p>
    <w:p>
      <w:pPr>
        <w:spacing w:before="240" w:after="0" w:line="312" w:lineRule="auto"/>
        <w:ind w:left="1333" w:leftChars="606" w:right="-103" w:rightChars="-47" w:firstLine="424" w:firstLineChars="193"/>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Narkotika Golongan III, jenis ini memiliki banyak khasiat dan digunakan di dalam kesehatan medis. Efek ketergantungan dari penggunaan obat tersebut juga ringan, sehingga menimbulkan rasa kecanduan dengan tingkat kadar yang kecil. </w:t>
      </w:r>
    </w:p>
    <w:p>
      <w:pPr>
        <w:spacing w:before="240" w:after="0" w:line="312" w:lineRule="auto"/>
        <w:ind w:left="1333" w:leftChars="606" w:right="-103" w:rightChars="-47" w:firstLine="424" w:firstLineChars="193"/>
        <w:contextualSpacing/>
        <w:jc w:val="both"/>
        <w:rPr>
          <w:rFonts w:ascii="Times New Roman" w:hAnsi="Times New Roman" w:eastAsia="SimSun" w:cs="Times New Roman"/>
          <w:lang w:val="en-US"/>
        </w:rPr>
      </w:pPr>
      <w:r>
        <w:rPr>
          <w:rFonts w:ascii="Times New Roman" w:hAnsi="Times New Roman" w:eastAsia="SimSun" w:cs="Times New Roman"/>
        </w:rPr>
        <w:t>Pasal 37</w:t>
      </w:r>
      <w:r>
        <w:rPr>
          <w:rFonts w:ascii="Times New Roman" w:hAnsi="Times New Roman" w:eastAsia="SimSun" w:cs="Times New Roman"/>
          <w:lang w:val="en-US"/>
        </w:rPr>
        <w:t>: “</w:t>
      </w:r>
      <w:r>
        <w:rPr>
          <w:rFonts w:ascii="Times New Roman" w:hAnsi="Times New Roman" w:eastAsia="SimSun" w:cs="Times New Roman"/>
        </w:rPr>
        <w:t>Narkotika Golongan II dan Golongan III yang berupa bahan baku, baik alami maupun sintetis, yang digunakan untuk produksi obat diatur dengan Peraturan Menteri.</w:t>
      </w:r>
      <w:r>
        <w:rPr>
          <w:rFonts w:ascii="Times New Roman" w:hAnsi="Times New Roman" w:eastAsia="SimSun" w:cs="Times New Roman"/>
          <w:lang w:val="en-US"/>
        </w:rPr>
        <w:t>”</w:t>
      </w:r>
    </w:p>
    <w:p>
      <w:pPr>
        <w:spacing w:before="240" w:after="0" w:line="312" w:lineRule="auto"/>
        <w:ind w:left="1333" w:leftChars="606" w:right="-103" w:rightChars="-47" w:firstLine="424" w:firstLineChars="193"/>
        <w:contextualSpacing/>
        <w:jc w:val="both"/>
        <w:rPr>
          <w:rFonts w:ascii="Times New Roman" w:hAnsi="Times New Roman" w:eastAsia="SimSun" w:cs="Times New Roman"/>
        </w:rPr>
      </w:pPr>
      <w:r>
        <w:rPr>
          <w:rFonts w:ascii="Times New Roman" w:hAnsi="Times New Roman" w:eastAsia="SimSun" w:cs="Times New Roman"/>
        </w:rPr>
        <w:t>Pasal 53</w:t>
      </w:r>
      <w:r>
        <w:rPr>
          <w:rFonts w:ascii="Times New Roman" w:hAnsi="Times New Roman" w:eastAsia="SimSun" w:cs="Times New Roman"/>
          <w:lang w:val="en-US"/>
        </w:rPr>
        <w:t>:</w:t>
      </w:r>
      <w:r>
        <w:rPr>
          <w:rFonts w:ascii="Times New Roman" w:hAnsi="Times New Roman" w:eastAsia="SimSun" w:cs="Times New Roman"/>
        </w:rPr>
        <w:t xml:space="preserve"> (1) Untuk kepentingan pengobatan dan berdasarkan indikasi medis, dokter dapat memberikan Narkotika Golongan II atau Golongan III dalam jumlah terbatas dan sediaan tertentu kepada pasien sesuai dengan ketentuan peraturan per</w:t>
      </w:r>
      <w:r>
        <w:rPr>
          <w:rFonts w:ascii="Times New Roman" w:hAnsi="Times New Roman" w:eastAsia="SimSun" w:cs="Times New Roman"/>
          <w:lang w:val="en-US"/>
        </w:rPr>
        <w:t>Undang-Undang</w:t>
      </w:r>
      <w:r>
        <w:rPr>
          <w:rFonts w:ascii="Times New Roman" w:hAnsi="Times New Roman" w:eastAsia="SimSun" w:cs="Times New Roman"/>
        </w:rPr>
        <w:t>an.</w:t>
      </w:r>
    </w:p>
    <w:p>
      <w:pPr>
        <w:numPr>
          <w:ilvl w:val="0"/>
          <w:numId w:val="23"/>
        </w:numPr>
        <w:tabs>
          <w:tab w:val="left" w:pos="660"/>
          <w:tab w:val="clear" w:pos="425"/>
        </w:tabs>
        <w:spacing w:before="240" w:after="0" w:line="312" w:lineRule="auto"/>
        <w:ind w:left="885" w:right="-103" w:rightChars="-47" w:hanging="225"/>
        <w:contextualSpacing/>
        <w:jc w:val="both"/>
        <w:rPr>
          <w:rFonts w:ascii="Times New Roman" w:hAnsi="Times New Roman" w:cs="Times New Roman"/>
        </w:rPr>
      </w:pPr>
      <w:r>
        <w:rPr>
          <w:rFonts w:ascii="Times New Roman" w:hAnsi="Times New Roman" w:cs="Times New Roman"/>
        </w:rPr>
        <w:t>Narkotika Alami</w:t>
      </w:r>
    </w:p>
    <w:p>
      <w:pPr>
        <w:spacing w:before="240" w:after="0" w:line="312" w:lineRule="auto"/>
        <w:ind w:left="880" w:leftChars="4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 xml:space="preserve">Narkotika alami termasuk jenis narkotika yag zat adiktifnya berasal dari alam (tumbuh-tumbuhan) seperti: </w:t>
      </w: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Ganja</w:t>
      </w:r>
    </w:p>
    <w:p>
      <w:pPr>
        <w:spacing w:before="240" w:after="0" w:line="312" w:lineRule="auto"/>
        <w:ind w:left="1100" w:leftChars="5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Ganja adalah tanaman yang daunnya menyerupai daun singkong yang tepinya</w:t>
      </w:r>
      <w:r>
        <w:rPr>
          <w:rFonts w:ascii="Times New Roman" w:hAnsi="Times New Roman" w:eastAsia="SimSun" w:cs="Times New Roman"/>
          <w:lang w:val="en-US"/>
        </w:rPr>
        <w:t xml:space="preserve"> berbulu halus dan berigi. Di daerah Aceh, Jawa dan Sumeatera, tumbuhan ini paling sering ditemukan. Cara penggunaannya dijemur sampai kering lalu menjadi campuran rokok yang dibakar dan dihisap.</w:t>
      </w: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Hasis</w:t>
      </w:r>
    </w:p>
    <w:p>
      <w:pPr>
        <w:spacing w:before="240" w:after="0" w:line="312" w:lineRule="auto"/>
        <w:ind w:left="1100" w:leftChars="5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rPr>
        <w:t xml:space="preserve">Hasis adalah tanaman serupa ganja yang tumbuh di </w:t>
      </w:r>
      <w:r>
        <w:rPr>
          <w:rFonts w:ascii="Times New Roman" w:hAnsi="Times New Roman" w:eastAsia="SimSun" w:cs="Times New Roman"/>
          <w:lang w:val="en-US"/>
        </w:rPr>
        <w:t>Eropa dan Amerika Latin</w:t>
      </w:r>
      <w:r>
        <w:rPr>
          <w:rFonts w:ascii="Times New Roman" w:hAnsi="Times New Roman" w:eastAsia="SimSun" w:cs="Times New Roman"/>
        </w:rPr>
        <w:t>. Daun ganja Hasis dan mariyuana juga dapat disuling dan diambil sarinya. Gunanya adalah untuk disalahgunakan oleh pemadat-pemadat kelas tinggi</w:t>
      </w:r>
      <w:r>
        <w:rPr>
          <w:rFonts w:ascii="Times New Roman" w:hAnsi="Times New Roman" w:eastAsia="SimSun" w:cs="Times New Roman"/>
          <w:lang w:val="en-US"/>
        </w:rPr>
        <w:t xml:space="preserve"> dan d</w:t>
      </w:r>
      <w:r>
        <w:rPr>
          <w:rFonts w:ascii="Times New Roman" w:hAnsi="Times New Roman" w:eastAsia="SimSun" w:cs="Times New Roman"/>
        </w:rPr>
        <w:t>alam bentuk cair, harganya sangat ma</w:t>
      </w:r>
      <w:r>
        <w:rPr>
          <w:rFonts w:ascii="Times New Roman" w:hAnsi="Times New Roman" w:eastAsia="SimSun" w:cs="Times New Roman"/>
          <w:lang w:val="en-US"/>
        </w:rPr>
        <w:t>hal.</w:t>
      </w:r>
    </w:p>
    <w:p>
      <w:pPr>
        <w:spacing w:before="240" w:after="0" w:line="312" w:lineRule="auto"/>
        <w:ind w:left="1100" w:leftChars="500" w:right="-103" w:rightChars="-47" w:firstLine="440" w:firstLineChars="200"/>
        <w:contextualSpacing/>
        <w:jc w:val="both"/>
        <w:rPr>
          <w:rFonts w:ascii="Times New Roman" w:hAnsi="Times New Roman" w:eastAsia="SimSun" w:cs="Times New Roman"/>
          <w:lang w:val="en-US"/>
        </w:rPr>
      </w:pP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Koka</w:t>
      </w:r>
    </w:p>
    <w:p>
      <w:pPr>
        <w:spacing w:before="240" w:after="0" w:line="312" w:lineRule="auto"/>
        <w:ind w:left="1100" w:leftChars="5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Koka adalah tanaman perdu mirip pohon kopi. Buahnya yang matang berwarna merah seperti biji kopi. Pada Ko</w:t>
      </w:r>
      <w:r>
        <w:rPr>
          <w:rFonts w:ascii="Times New Roman" w:hAnsi="Times New Roman" w:eastAsia="SimSun" w:cs="Times New Roman"/>
          <w:lang w:val="en-US"/>
        </w:rPr>
        <w:t>mu</w:t>
      </w:r>
      <w:r>
        <w:rPr>
          <w:rFonts w:ascii="Times New Roman" w:hAnsi="Times New Roman" w:eastAsia="SimSun" w:cs="Times New Roman"/>
        </w:rPr>
        <w:t xml:space="preserve">nitas Masyarakat Indian kuno Koka digunakan untuk penambah kekuatan saat berperang dan berburu. Yang </w:t>
      </w:r>
      <w:r>
        <w:rPr>
          <w:rFonts w:ascii="Times New Roman" w:hAnsi="Times New Roman" w:eastAsia="SimSun" w:cs="Times New Roman"/>
          <w:lang w:val="en-US"/>
        </w:rPr>
        <w:t>kemudian</w:t>
      </w:r>
      <w:r>
        <w:rPr>
          <w:rFonts w:ascii="Times New Roman" w:hAnsi="Times New Roman" w:eastAsia="SimSun" w:cs="Times New Roman"/>
        </w:rPr>
        <w:t xml:space="preserve"> Koka diolah menjadi Kokoin.</w:t>
      </w: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Opium</w:t>
      </w:r>
    </w:p>
    <w:p>
      <w:pPr>
        <w:spacing w:before="240" w:after="0" w:line="312" w:lineRule="auto"/>
        <w:ind w:left="1100" w:leftChars="5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 xml:space="preserve">Opium adalah bunga dengan bentuk dan warna yang indah. Dari getah bunga opium di hasilkan candu (opiat). Di Cina dan Mesir, opium digunakan unruk mengobati tentatara yang sakit, memberi kekuatan, dan menghilangkan rasa sakit kepada tetntara yang terluka akibat perang. </w:t>
      </w: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Shabu</w:t>
      </w:r>
    </w:p>
    <w:p>
      <w:pPr>
        <w:spacing w:before="240" w:after="0" w:line="312" w:lineRule="auto"/>
        <w:ind w:left="1100" w:leftChars="5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Banyak orang yang menyebutnya dengan shabu-shabu, bubuk mengkilat</w:t>
      </w:r>
      <w:r>
        <w:rPr>
          <w:rFonts w:ascii="Times New Roman" w:hAnsi="Times New Roman" w:eastAsia="SimSun" w:cs="Times New Roman"/>
          <w:lang w:val="en-US"/>
        </w:rPr>
        <w:t xml:space="preserve"> mirip</w:t>
      </w:r>
      <w:r>
        <w:rPr>
          <w:rFonts w:ascii="Times New Roman" w:hAnsi="Times New Roman" w:eastAsia="SimSun" w:cs="Times New Roman"/>
        </w:rPr>
        <w:t xml:space="preserve"> seperti garam dapur. Shabu berisi metamfetamin</w:t>
      </w:r>
      <w:r>
        <w:rPr>
          <w:rFonts w:ascii="Times New Roman" w:hAnsi="Times New Roman" w:eastAsia="SimSun" w:cs="Times New Roman"/>
          <w:lang w:val="en-US"/>
        </w:rPr>
        <w:t>,</w:t>
      </w:r>
      <w:r>
        <w:rPr>
          <w:rFonts w:ascii="Times New Roman" w:hAnsi="Times New Roman" w:eastAsia="SimSun" w:cs="Times New Roman"/>
        </w:rPr>
        <w:t xml:space="preserve"> yang dicampur dengan berbagai psikotropika. Shabu tidak digunakan dalam dunia kedokteran karena tidak berguna dalam pengobatan. Efek sampingnya sangat banyak dan berbahaya. </w:t>
      </w:r>
    </w:p>
    <w:p>
      <w:pPr>
        <w:numPr>
          <w:ilvl w:val="0"/>
          <w:numId w:val="25"/>
        </w:numPr>
        <w:tabs>
          <w:tab w:val="clear" w:pos="425"/>
        </w:tabs>
        <w:spacing w:before="240" w:after="0" w:line="312" w:lineRule="auto"/>
        <w:ind w:left="1100" w:leftChars="400" w:right="-103" w:rightChars="-47" w:hanging="220" w:hangingChars="100"/>
        <w:contextualSpacing/>
        <w:jc w:val="both"/>
        <w:rPr>
          <w:rFonts w:ascii="Times New Roman" w:hAnsi="Times New Roman" w:eastAsia="SimSun" w:cs="Times New Roman"/>
        </w:rPr>
      </w:pPr>
      <w:r>
        <w:rPr>
          <w:rFonts w:ascii="Times New Roman" w:hAnsi="Times New Roman" w:eastAsia="SimSun" w:cs="Times New Roman"/>
        </w:rPr>
        <w:t>Putaw</w:t>
      </w:r>
    </w:p>
    <w:p>
      <w:pPr>
        <w:spacing w:before="240" w:after="0" w:line="312" w:lineRule="auto"/>
        <w:ind w:left="1100" w:leftChars="5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Heroin berbentuk bubuk atau puyer, bentuk heroin seperti ini sering diberi nama PT, pete, etep, putih atau bedak. Bubuk ini tampak lebih kotor seperti tepung terigu. Putaw tidak digunakan dalam dunia kedokteran karena keterg</w:t>
      </w:r>
      <w:r>
        <w:rPr>
          <w:rFonts w:ascii="Times New Roman" w:hAnsi="Times New Roman" w:eastAsia="SimSun" w:cs="Times New Roman"/>
          <w:lang w:val="en-US"/>
        </w:rPr>
        <w:t>a</w:t>
      </w:r>
      <w:r>
        <w:rPr>
          <w:rFonts w:ascii="Times New Roman" w:hAnsi="Times New Roman" w:eastAsia="SimSun" w:cs="Times New Roman"/>
        </w:rPr>
        <w:t>ntungannya sangat tinggi dan belum dapat diobati. Cara pemakaiannya seperti halnya morfin, cara pemakaiannya bermacam-macam</w:t>
      </w:r>
      <w:r>
        <w:rPr>
          <w:rFonts w:ascii="Times New Roman" w:hAnsi="Times New Roman" w:eastAsia="SimSun" w:cs="Times New Roman"/>
          <w:lang w:val="en-US"/>
        </w:rPr>
        <w:t>, p</w:t>
      </w:r>
      <w:r>
        <w:rPr>
          <w:rFonts w:ascii="Times New Roman" w:hAnsi="Times New Roman" w:eastAsia="SimSun" w:cs="Times New Roman"/>
        </w:rPr>
        <w:t xml:space="preserve">aling berbahaya adalah dengan dilarutkan kedalam air </w:t>
      </w:r>
      <w:r>
        <w:rPr>
          <w:rFonts w:ascii="Times New Roman" w:hAnsi="Times New Roman" w:eastAsia="SimSun" w:cs="Times New Roman"/>
          <w:lang w:val="en-US"/>
        </w:rPr>
        <w:t>kemudian</w:t>
      </w:r>
      <w:r>
        <w:rPr>
          <w:rFonts w:ascii="Times New Roman" w:hAnsi="Times New Roman" w:eastAsia="SimSun" w:cs="Times New Roman"/>
        </w:rPr>
        <w:t xml:space="preserve"> disuntikkan ke pembuluh darah. Dengan ini tubuh lebih cepat bereaksi dan cara ini juga hemat karena dengan dosis rendah saja sudah bereaksi.</w:t>
      </w:r>
      <w:r>
        <w:rPr>
          <w:rStyle w:val="17"/>
          <w:rFonts w:ascii="Times New Roman" w:hAnsi="Times New Roman" w:eastAsia="SimSun" w:cs="Times New Roman"/>
        </w:rPr>
        <w:footnoteReference w:id="33"/>
      </w:r>
    </w:p>
    <w:p>
      <w:pPr>
        <w:numPr>
          <w:ilvl w:val="0"/>
          <w:numId w:val="23"/>
        </w:numPr>
        <w:tabs>
          <w:tab w:val="left" w:pos="660"/>
          <w:tab w:val="clear" w:pos="425"/>
        </w:tabs>
        <w:spacing w:before="240" w:after="0" w:line="312" w:lineRule="auto"/>
        <w:ind w:left="885" w:right="-103" w:rightChars="-47" w:hanging="225"/>
        <w:contextualSpacing/>
        <w:jc w:val="both"/>
        <w:rPr>
          <w:rFonts w:ascii="Times New Roman" w:hAnsi="Times New Roman" w:cs="Times New Roman"/>
        </w:rPr>
      </w:pPr>
      <w:r>
        <w:rPr>
          <w:rFonts w:ascii="Times New Roman" w:hAnsi="Times New Roman" w:cs="Times New Roman"/>
        </w:rPr>
        <w:t>Narkotika Semisintetis</w:t>
      </w:r>
    </w:p>
    <w:p>
      <w:pPr>
        <w:spacing w:before="240" w:after="0" w:line="312" w:lineRule="auto"/>
        <w:ind w:left="893" w:leftChars="406" w:right="-103" w:rightChars="-47" w:firstLine="424" w:firstLineChars="193"/>
        <w:contextualSpacing/>
        <w:jc w:val="both"/>
        <w:rPr>
          <w:rFonts w:ascii="Times New Roman" w:hAnsi="Times New Roman" w:eastAsia="SimSun" w:cs="Times New Roman"/>
        </w:rPr>
      </w:pPr>
      <w:r>
        <w:rPr>
          <w:rFonts w:ascii="Times New Roman" w:hAnsi="Times New Roman" w:eastAsia="SimSun" w:cs="Times New Roman"/>
        </w:rPr>
        <w:t xml:space="preserve">Narkotika semisintetis adalah narkotika yang diolah menjadi zat instisari, yang memiliki khasiat kesehatan yang lebih kuat. </w:t>
      </w:r>
      <w:r>
        <w:rPr>
          <w:rFonts w:ascii="Times New Roman" w:hAnsi="Times New Roman" w:eastAsia="SimSun" w:cs="Times New Roman"/>
          <w:lang w:val="en-US"/>
        </w:rPr>
        <w:t>N</w:t>
      </w:r>
      <w:r>
        <w:rPr>
          <w:rFonts w:ascii="Times New Roman" w:hAnsi="Times New Roman" w:eastAsia="SimSun" w:cs="Times New Roman"/>
        </w:rPr>
        <w:t>arkotika jenis ini lebih dipergunakan untuk kepentingan medis yang dimanfaatkan untuk kedokteran, antara lain sebagai berikut:</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Morfin: d</w:t>
      </w:r>
      <w:r>
        <w:rPr>
          <w:rFonts w:ascii="Times New Roman" w:hAnsi="Times New Roman" w:eastAsia="SimSun" w:cs="Times New Roman"/>
          <w:lang w:val="en-US"/>
        </w:rPr>
        <w:t>igunakan</w:t>
      </w:r>
      <w:r>
        <w:rPr>
          <w:rFonts w:ascii="Times New Roman" w:hAnsi="Times New Roman" w:eastAsia="SimSun" w:cs="Times New Roman"/>
        </w:rPr>
        <w:t xml:space="preserve"> dalam dunia kedokteran untuk menghilangkan rasa </w:t>
      </w:r>
      <w:r>
        <w:rPr>
          <w:rFonts w:ascii="Times New Roman" w:hAnsi="Times New Roman" w:eastAsia="SimSun" w:cs="Times New Roman"/>
          <w:lang w:val="en-US"/>
        </w:rPr>
        <w:t xml:space="preserve">nyeri dan </w:t>
      </w:r>
      <w:r>
        <w:rPr>
          <w:rFonts w:ascii="Times New Roman" w:hAnsi="Times New Roman" w:eastAsia="SimSun" w:cs="Times New Roman"/>
        </w:rPr>
        <w:t>sakit atau</w:t>
      </w:r>
      <w:r>
        <w:rPr>
          <w:rFonts w:ascii="Times New Roman" w:hAnsi="Times New Roman" w:eastAsia="SimSun" w:cs="Times New Roman"/>
          <w:lang w:val="en-US"/>
        </w:rPr>
        <w:t xml:space="preserve"> penggunaan</w:t>
      </w:r>
      <w:r>
        <w:rPr>
          <w:rFonts w:ascii="Times New Roman" w:hAnsi="Times New Roman" w:eastAsia="SimSun" w:cs="Times New Roman"/>
        </w:rPr>
        <w:t xml:space="preserve"> pembiusan pada operasi (pembedahan). </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Kodein: adalah alkaloida yang terkandung dalam opium banyak dipergunakan untuk keperluan medis, dengan khasiat analgesic yang lemah, kodein dipakai untuk obat penghilang sakit atau peredam batuk.</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Heroin: yang dicampur obat-obatan putau yang beredar di indonesia, dihasilkan dari cairan getah opium yang diolah menjadi morfin. kemudian dengan proses tertentu menghasilkan putaw, di mana putaw mempunyai kekuatan 10x melebihi morfin.</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 xml:space="preserve">Opioidsintentik: yang mempunyai kekuatan 400 kali lebih kuat dari morfin, artinya merupakan turunan kualitas terendah dari opium atau dapat dianggap sebagai sisa opium. </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Petindin: ialah obat yang digunakan untuk pengobatan rasa sakit tingkat menengah hingga kuat, petidin obat yang aman untuk digunakan karena memiliki resiko ketergantungan yang rendah.</w:t>
      </w:r>
    </w:p>
    <w:p>
      <w:pPr>
        <w:numPr>
          <w:ilvl w:val="0"/>
          <w:numId w:val="26"/>
        </w:numPr>
        <w:tabs>
          <w:tab w:val="clear" w:pos="425"/>
        </w:tabs>
        <w:spacing w:before="240" w:after="0" w:line="312" w:lineRule="auto"/>
        <w:ind w:left="1305" w:right="-103" w:rightChars="-47"/>
        <w:contextualSpacing/>
        <w:jc w:val="both"/>
        <w:rPr>
          <w:rFonts w:ascii="Times New Roman" w:hAnsi="Times New Roman" w:eastAsia="SimSun" w:cs="Times New Roman"/>
        </w:rPr>
      </w:pPr>
      <w:r>
        <w:rPr>
          <w:rFonts w:ascii="Times New Roman" w:hAnsi="Times New Roman" w:eastAsia="SimSun" w:cs="Times New Roman"/>
        </w:rPr>
        <w:t>Methadon: adalah opioidasintetis yang digunakan secara medis sebagai analgesic, antitusive dan sebagai penekan keinginan menggunakan opioida. Methadon dapat juga digunakan untuk terapi rasa sakit yang kronis, dalam jangka panjang dengan biaya yang sangat rendah (</w:t>
      </w:r>
      <w:r>
        <w:rPr>
          <w:rFonts w:ascii="Times New Roman" w:hAnsi="Times New Roman" w:eastAsia="SimSun" w:cs="Times New Roman"/>
          <w:lang w:val="en-US"/>
        </w:rPr>
        <w:t>mu</w:t>
      </w:r>
      <w:r>
        <w:rPr>
          <w:rFonts w:ascii="Times New Roman" w:hAnsi="Times New Roman" w:eastAsia="SimSun" w:cs="Times New Roman"/>
        </w:rPr>
        <w:t>rah). Kegunakan methadon dalam pengobatan ketergantungan opioida, memberikan hasil yang dapat menstabilisasi para pasien dengan menghentikan gejela putus obat /sakau. Dan juga pada akhirnya menghentikan ketergantungan mereka terhadap opioida.</w:t>
      </w:r>
      <w:r>
        <w:rPr>
          <w:rStyle w:val="17"/>
          <w:rFonts w:ascii="Times New Roman" w:hAnsi="Times New Roman" w:eastAsia="SimSun" w:cs="Times New Roman"/>
        </w:rPr>
        <w:footnoteReference w:id="34"/>
      </w:r>
    </w:p>
    <w:p>
      <w:pPr>
        <w:pStyle w:val="5"/>
        <w:numPr>
          <w:ilvl w:val="3"/>
          <w:numId w:val="1"/>
        </w:numPr>
        <w:ind w:left="567" w:hanging="283"/>
        <w:rPr>
          <w:b w:val="0"/>
          <w:bCs w:val="0"/>
        </w:rPr>
      </w:pPr>
      <w:r>
        <w:rPr>
          <w:b w:val="0"/>
          <w:bCs w:val="0"/>
        </w:rPr>
        <w:t>Hukuman Tindak Pidana Narkotika</w:t>
      </w:r>
    </w:p>
    <w:p>
      <w:pPr>
        <w:spacing w:after="0" w:line="312" w:lineRule="auto"/>
        <w:ind w:left="660" w:leftChars="300" w:right="-103" w:rightChars="-47" w:firstLine="440" w:firstLineChars="200"/>
        <w:contextualSpacing/>
        <w:jc w:val="both"/>
        <w:rPr>
          <w:rFonts w:ascii="Times New Roman" w:hAnsi="Times New Roman" w:eastAsia="SimSun" w:cs="Times New Roman"/>
          <w:lang w:val="en-US"/>
        </w:rPr>
      </w:pPr>
      <w:r>
        <w:rPr>
          <w:rFonts w:ascii="Times New Roman" w:hAnsi="Times New Roman" w:eastAsia="SimSun" w:cs="Times New Roman"/>
          <w:lang w:val="en-US"/>
        </w:rPr>
        <w:t>sanksi pemidanaan terhadap tindak pidana narkotika sudah diatur dalam UU No 35 Tahun 2009 Tentang Narotika adalah sebagai berikut:</w:t>
      </w:r>
      <w:r>
        <w:rPr>
          <w:rStyle w:val="17"/>
          <w:rFonts w:ascii="Times New Roman" w:hAnsi="Times New Roman" w:eastAsia="SimSun" w:cs="Times New Roman"/>
        </w:rPr>
        <w:footnoteReference w:id="35"/>
      </w:r>
    </w:p>
    <w:p>
      <w:pPr>
        <w:spacing w:after="0" w:line="312" w:lineRule="auto"/>
        <w:ind w:left="660" w:leftChars="3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Jenis sanksi dapat berupa pidana pokok (denda, kurungan, penjara dalam waktu tertentu/</w:t>
      </w:r>
      <w:r>
        <w:rPr>
          <w:rFonts w:ascii="Times New Roman" w:hAnsi="Times New Roman" w:eastAsia="SimSun" w:cs="Times New Roman"/>
          <w:lang w:val="en-US"/>
        </w:rPr>
        <w:t>seumur</w:t>
      </w:r>
      <w:r>
        <w:rPr>
          <w:rFonts w:ascii="Times New Roman" w:hAnsi="Times New Roman" w:eastAsia="SimSun" w:cs="Times New Roman"/>
        </w:rPr>
        <w:t xml:space="preserve"> hidup, dan pidana mati), pidana tambahan (pencabutan izin usaha/pencabutan hak tertentu), dan tindakan pengusiran (bagi warga Negara asing).</w:t>
      </w:r>
    </w:p>
    <w:p>
      <w:pPr>
        <w:spacing w:after="0" w:line="312" w:lineRule="auto"/>
        <w:ind w:left="660" w:leftChars="300" w:right="-103" w:rightChars="-47" w:firstLine="440" w:firstLineChars="200"/>
        <w:contextualSpacing/>
        <w:jc w:val="both"/>
        <w:rPr>
          <w:rFonts w:ascii="Times New Roman" w:hAnsi="Times New Roman" w:eastAsia="SimSun" w:cs="Times New Roman"/>
        </w:rPr>
      </w:pPr>
      <w:r>
        <w:rPr>
          <w:rFonts w:ascii="Times New Roman" w:hAnsi="Times New Roman" w:eastAsia="SimSun" w:cs="Times New Roman"/>
        </w:rPr>
        <w:t xml:space="preserve">Jumlah/lamanya pidana bervariasi untuk denda berkisar antara Rp 800.000.000,00 (delapan ratus juta rupiah) sampai Rp 10.000.000.000,00 (sepuluh miliar rupiah) untuk tindak pidana Narkotika, untuk pidana penjara minimal 4 Tahun sampai 20 Tahun dan </w:t>
      </w:r>
      <w:r>
        <w:rPr>
          <w:rFonts w:ascii="Times New Roman" w:hAnsi="Times New Roman" w:eastAsia="SimSun" w:cs="Times New Roman"/>
          <w:lang w:val="en-US"/>
        </w:rPr>
        <w:t>seumur</w:t>
      </w:r>
      <w:r>
        <w:rPr>
          <w:rFonts w:ascii="Times New Roman" w:hAnsi="Times New Roman" w:eastAsia="SimSun" w:cs="Times New Roman"/>
        </w:rPr>
        <w:t xml:space="preserve"> hidup.</w:t>
      </w:r>
    </w:p>
    <w:p>
      <w:pPr>
        <w:tabs>
          <w:tab w:val="left" w:pos="1200"/>
        </w:tabs>
        <w:spacing w:before="240" w:after="0" w:line="312" w:lineRule="auto"/>
        <w:ind w:left="667" w:leftChars="303" w:right="-103" w:rightChars="-47" w:firstLine="431" w:firstLineChars="196"/>
        <w:contextualSpacing/>
        <w:jc w:val="both"/>
        <w:rPr>
          <w:rFonts w:ascii="Times New Roman" w:hAnsi="Times New Roman" w:eastAsia="SimSun" w:cs="Times New Roman"/>
        </w:rPr>
      </w:pPr>
      <w:r>
        <w:rPr>
          <w:rFonts w:ascii="Times New Roman" w:hAnsi="Times New Roman" w:eastAsia="SimSun" w:cs="Times New Roman"/>
        </w:rPr>
        <w:t xml:space="preserve">Dalam </w:t>
      </w:r>
      <w:r>
        <w:rPr>
          <w:rFonts w:ascii="Times New Roman" w:hAnsi="Times New Roman" w:eastAsia="SimSun" w:cs="Times New Roman"/>
          <w:lang w:val="en-US"/>
        </w:rPr>
        <w:t>Undang-Undang</w:t>
      </w:r>
      <w:r>
        <w:rPr>
          <w:rFonts w:ascii="Times New Roman" w:hAnsi="Times New Roman" w:eastAsia="SimSun" w:cs="Times New Roman"/>
        </w:rPr>
        <w:t xml:space="preserve"> </w:t>
      </w:r>
      <w:r>
        <w:rPr>
          <w:rFonts w:ascii="Times New Roman" w:hAnsi="Times New Roman" w:eastAsia="SimSun" w:cs="Times New Roman"/>
          <w:lang w:val="en-US"/>
        </w:rPr>
        <w:t>N</w:t>
      </w:r>
      <w:r>
        <w:rPr>
          <w:rFonts w:ascii="Times New Roman" w:hAnsi="Times New Roman" w:eastAsia="SimSun" w:cs="Times New Roman"/>
        </w:rPr>
        <w:t xml:space="preserve">o. 35 </w:t>
      </w:r>
      <w:r>
        <w:rPr>
          <w:rFonts w:ascii="Times New Roman" w:hAnsi="Times New Roman" w:eastAsia="SimSun" w:cs="Times New Roman"/>
          <w:lang w:val="en-US"/>
        </w:rPr>
        <w:t>Tahun</w:t>
      </w:r>
      <w:r>
        <w:rPr>
          <w:rFonts w:ascii="Times New Roman" w:hAnsi="Times New Roman" w:eastAsia="SimSun" w:cs="Times New Roman"/>
        </w:rPr>
        <w:t xml:space="preserve"> 2009 tentang Narkotika terdapat sanksi pidana mati pada </w:t>
      </w:r>
      <w:r>
        <w:rPr>
          <w:rFonts w:ascii="Times New Roman" w:hAnsi="Times New Roman" w:eastAsia="SimSun" w:cs="Times New Roman"/>
          <w:lang w:val="en-US"/>
        </w:rPr>
        <w:t>Pasal</w:t>
      </w:r>
      <w:r>
        <w:rPr>
          <w:rFonts w:ascii="Times New Roman" w:hAnsi="Times New Roman" w:eastAsia="SimSun" w:cs="Times New Roman"/>
        </w:rPr>
        <w:t xml:space="preserve"> 113, 114, 118, 119, 121, 144, dengan uraian sebagai berikut:</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 xml:space="preserve">Pasal 113 </w:t>
      </w:r>
      <w:r>
        <w:rPr>
          <w:rFonts w:ascii="Times New Roman" w:hAnsi="Times New Roman" w:eastAsia="SimSun" w:cs="Times New Roman"/>
          <w:lang w:val="en-US"/>
        </w:rPr>
        <w:t>Ayat</w:t>
      </w:r>
      <w:r>
        <w:rPr>
          <w:rFonts w:ascii="Times New Roman" w:hAnsi="Times New Roman" w:eastAsia="SimSun" w:cs="Times New Roman"/>
        </w:rPr>
        <w:t xml:space="preserve"> 2</w:t>
      </w:r>
      <w:r>
        <w:rPr>
          <w:rFonts w:ascii="Times New Roman" w:hAnsi="Times New Roman" w:eastAsia="SimSun" w:cs="Times New Roman"/>
          <w:lang w:val="en-US"/>
        </w:rPr>
        <w:t xml:space="preserve"> </w:t>
      </w:r>
      <w:r>
        <w:rPr>
          <w:rFonts w:ascii="Times New Roman" w:hAnsi="Times New Roman" w:eastAsia="SimSun" w:cs="Times New Roman"/>
        </w:rPr>
        <w:t xml:space="preserve">yang berbunyi: </w:t>
      </w:r>
      <w:r>
        <w:rPr>
          <w:rFonts w:ascii="Times New Roman" w:hAnsi="Times New Roman" w:eastAsia="SimSun" w:cs="Times New Roman"/>
          <w:lang w:val="en-US"/>
        </w:rPr>
        <w:t>“D</w:t>
      </w:r>
      <w:r>
        <w:rPr>
          <w:rFonts w:ascii="Times New Roman" w:hAnsi="Times New Roman" w:eastAsia="SimSun" w:cs="Times New Roman"/>
        </w:rPr>
        <w:t xml:space="preserve">alam hal perbuatan memproduksi, mengimpor, mengekspor, atau menyalurkan Narkotika Golongan I sebagaimana dimaksud pada Ayat (1) dalam bentuk tanaman beratnya melebihi 1 (satu) kilogram atau melebihi 5 (lima) batang pohon atau dalam bentuk bukan tanaman beratnya melebihi 5 (lima) gram, pelaku dipidana dengan pidana mati, pidana penjara </w:t>
      </w:r>
      <w:r>
        <w:rPr>
          <w:rFonts w:ascii="Times New Roman" w:hAnsi="Times New Roman" w:eastAsia="SimSun" w:cs="Times New Roman"/>
          <w:lang w:val="en-US"/>
        </w:rPr>
        <w:t>seumur</w:t>
      </w:r>
      <w:r>
        <w:rPr>
          <w:rFonts w:ascii="Times New Roman" w:hAnsi="Times New Roman" w:eastAsia="SimSun" w:cs="Times New Roman"/>
        </w:rPr>
        <w:t xml:space="preserve"> hidup, atau pidanapaling singkat 5 (lima) Tahun dan paling lama 20 (dua puluh) Tahun dan pidana denda maksi</w:t>
      </w:r>
      <w:r>
        <w:rPr>
          <w:rFonts w:ascii="Times New Roman" w:hAnsi="Times New Roman" w:eastAsia="SimSun" w:cs="Times New Roman"/>
          <w:lang w:val="en-US"/>
        </w:rPr>
        <w:t>mu</w:t>
      </w:r>
      <w:r>
        <w:rPr>
          <w:rFonts w:ascii="Times New Roman" w:hAnsi="Times New Roman" w:eastAsia="SimSun" w:cs="Times New Roman"/>
        </w:rPr>
        <w:t>m sebagaimana dimaksud pada Ayat (1) ditambah 1/3 (sepertiga).</w:t>
      </w:r>
      <w:r>
        <w:rPr>
          <w:rFonts w:ascii="Times New Roman" w:hAnsi="Times New Roman" w:eastAsia="SimSun" w:cs="Times New Roman"/>
          <w:lang w:val="en-US"/>
        </w:rPr>
        <w:t>”</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 xml:space="preserve">Pasal 114 </w:t>
      </w:r>
      <w:r>
        <w:rPr>
          <w:rFonts w:ascii="Times New Roman" w:hAnsi="Times New Roman" w:eastAsia="SimSun" w:cs="Times New Roman"/>
          <w:lang w:val="en-US"/>
        </w:rPr>
        <w:t>Ayat</w:t>
      </w:r>
      <w:r>
        <w:rPr>
          <w:rFonts w:ascii="Times New Roman" w:hAnsi="Times New Roman" w:eastAsia="SimSun" w:cs="Times New Roman"/>
        </w:rPr>
        <w:t xml:space="preserve"> 2 yang berbunyi:</w:t>
      </w:r>
      <w:r>
        <w:rPr>
          <w:rFonts w:ascii="Times New Roman" w:hAnsi="Times New Roman" w:eastAsia="SimSun" w:cs="Times New Roman"/>
          <w:lang w:val="en-US"/>
        </w:rPr>
        <w:t xml:space="preserve"> “D</w:t>
      </w:r>
      <w:r>
        <w:rPr>
          <w:rFonts w:ascii="Times New Roman" w:hAnsi="Times New Roman" w:eastAsia="SimSun" w:cs="Times New Roman"/>
        </w:rPr>
        <w:t xml:space="preserve">alam hal perbuatan menawarkan untuk di jual, menjual, membeli, menjadi perantara dalam jual beli, menukar, menyerahkan, atau menerima Narkotika Golongan I sebagaimana dimaksud pada Ayat (1) yang dalam bentuk tanaman beratnya melebihi 5 (lima) batang pohon atau dalam bentuk bukan tanaman beratnya 5 (lima) gram, pelaku dipidana dengan pidana mati, pidana penjara </w:t>
      </w:r>
      <w:r>
        <w:rPr>
          <w:rFonts w:ascii="Times New Roman" w:hAnsi="Times New Roman" w:eastAsia="SimSun" w:cs="Times New Roman"/>
          <w:lang w:val="en-US"/>
        </w:rPr>
        <w:t>seumur</w:t>
      </w:r>
      <w:r>
        <w:rPr>
          <w:rFonts w:ascii="Times New Roman" w:hAnsi="Times New Roman" w:eastAsia="SimSun" w:cs="Times New Roman"/>
        </w:rPr>
        <w:t xml:space="preserve"> hidup, atau pidana penjara paling singkat 6 (enam) Tahun dan paling lama 20 (dua puluh) Tahun dan pidana denda maksi</w:t>
      </w:r>
      <w:r>
        <w:rPr>
          <w:rFonts w:ascii="Times New Roman" w:hAnsi="Times New Roman" w:eastAsia="SimSun" w:cs="Times New Roman"/>
          <w:lang w:val="en-US"/>
        </w:rPr>
        <w:t>mu</w:t>
      </w:r>
      <w:r>
        <w:rPr>
          <w:rFonts w:ascii="Times New Roman" w:hAnsi="Times New Roman" w:eastAsia="SimSun" w:cs="Times New Roman"/>
        </w:rPr>
        <w:t>m sebagaimana dimaksud pada Ayat (1) ditambah 1/3 (sepertiga).</w:t>
      </w:r>
      <w:r>
        <w:rPr>
          <w:rFonts w:ascii="Times New Roman" w:hAnsi="Times New Roman" w:eastAsia="SimSun" w:cs="Times New Roman"/>
          <w:lang w:val="en-US"/>
        </w:rPr>
        <w:t>”</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Pasal 118 Ayat 2 yang berbunyi: “Dalam hal perbuatan memproduksi, mengimpor, mengekspor atau menyalurkan Narkotika Golongan II sebagaimana dimaksud pada Ayat (1) beratnya melebihi 5 (lima) gram, pelaku dipidana dengan pidana mati, pidana penjara seumur hidup, atau pidana penjara paling singkat 5 (lima) Tahun dan paling lama 20 (dua puluh) Tahun dan pidana denda maksimumm sebagaimana dimaksud pada Ayat (1) ditambah 1/3 (sepertiga).”</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 xml:space="preserve">Pasal 119 </w:t>
      </w:r>
      <w:r>
        <w:rPr>
          <w:rFonts w:ascii="Times New Roman" w:hAnsi="Times New Roman" w:eastAsia="SimSun" w:cs="Times New Roman"/>
          <w:lang w:val="en-US"/>
        </w:rPr>
        <w:t>Ayat</w:t>
      </w:r>
      <w:r>
        <w:rPr>
          <w:rFonts w:ascii="Times New Roman" w:hAnsi="Times New Roman" w:eastAsia="SimSun" w:cs="Times New Roman"/>
        </w:rPr>
        <w:t xml:space="preserve"> 2 yang berbunyi:</w:t>
      </w:r>
      <w:r>
        <w:rPr>
          <w:rFonts w:ascii="Times New Roman" w:hAnsi="Times New Roman" w:eastAsia="SimSun" w:cs="Times New Roman"/>
          <w:lang w:val="en-US"/>
        </w:rPr>
        <w:t xml:space="preserve"> “D</w:t>
      </w:r>
      <w:r>
        <w:rPr>
          <w:rFonts w:ascii="Times New Roman" w:hAnsi="Times New Roman" w:eastAsia="SimSun" w:cs="Times New Roman"/>
        </w:rPr>
        <w:t xml:space="preserve">alam hal perbuatan menawarkan untuk di jual, menjual, membeli, menjadi perantara dalam jual beli, menukar, menyerahkan, atau menerima Narkotika Golongan I sebagaimana dimaksud pada Ayat (1) yang dalam bentuk tanaman beratnya melebihi 5 (lima) batang pohon atau dalam bentuk bukan tanaman beratnya 5 (lima) gram, pelaku dipidana dengan pidana mati, pidana penjara </w:t>
      </w:r>
      <w:r>
        <w:rPr>
          <w:rFonts w:ascii="Times New Roman" w:hAnsi="Times New Roman" w:eastAsia="SimSun" w:cs="Times New Roman"/>
          <w:lang w:val="en-US"/>
        </w:rPr>
        <w:t>seumur</w:t>
      </w:r>
      <w:r>
        <w:rPr>
          <w:rFonts w:ascii="Times New Roman" w:hAnsi="Times New Roman" w:eastAsia="SimSun" w:cs="Times New Roman"/>
        </w:rPr>
        <w:t xml:space="preserve"> hidup, atau pidana penjara paling singkat 5 (lima) Tahun dan paling lama 20 (dua puluh) Tahun dan pidana denda maksi</w:t>
      </w:r>
      <w:r>
        <w:rPr>
          <w:rFonts w:ascii="Times New Roman" w:hAnsi="Times New Roman" w:eastAsia="SimSun" w:cs="Times New Roman"/>
          <w:lang w:val="en-US"/>
        </w:rPr>
        <w:t>mu</w:t>
      </w:r>
      <w:r>
        <w:rPr>
          <w:rFonts w:ascii="Times New Roman" w:hAnsi="Times New Roman" w:eastAsia="SimSun" w:cs="Times New Roman"/>
        </w:rPr>
        <w:t>m sebagaimana dimaksud pada Ayat (1) ditambah 1/3 (sepertiga).</w:t>
      </w:r>
      <w:r>
        <w:rPr>
          <w:rFonts w:ascii="Times New Roman" w:hAnsi="Times New Roman" w:eastAsia="SimSun" w:cs="Times New Roman"/>
          <w:lang w:val="en-US"/>
        </w:rPr>
        <w:t>”</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Pasal 121 Ayat 2 yang berbunyi: “Dalam hal penggunaan Narkotika terhadap orang lain atau pemberian Narkotika Golongan II untuk di gunakan orang lain sebagaimana dimaksud pada Ayat (1) mengakibatkan orang lain mati atau cacat permanen, pelaku di pidana dengan pidana mati, pidana penjara seumur hidup, atau pidana penjara paling singkat 5 (lima) Tahun dan paling lama 20 (dua puluh) Tahun dan pidana denda maksi</w:t>
      </w:r>
      <w:r>
        <w:rPr>
          <w:rFonts w:ascii="Times New Roman" w:hAnsi="Times New Roman" w:eastAsia="SimSun" w:cs="Times New Roman"/>
          <w:lang w:val="en-US"/>
        </w:rPr>
        <w:t>mu</w:t>
      </w:r>
      <w:r>
        <w:rPr>
          <w:rFonts w:ascii="Times New Roman" w:hAnsi="Times New Roman" w:eastAsia="SimSun" w:cs="Times New Roman"/>
        </w:rPr>
        <w:t>m pada Ayat (1) ditambah 1/3 (sepertiga).”</w:t>
      </w:r>
    </w:p>
    <w:p>
      <w:pPr>
        <w:numPr>
          <w:ilvl w:val="0"/>
          <w:numId w:val="27"/>
        </w:numPr>
        <w:spacing w:before="240" w:after="0" w:line="312" w:lineRule="auto"/>
        <w:ind w:left="1276" w:right="-103" w:rightChars="-47"/>
        <w:contextualSpacing/>
        <w:jc w:val="both"/>
        <w:rPr>
          <w:rFonts w:ascii="Times New Roman" w:hAnsi="Times New Roman" w:eastAsia="SimSun" w:cs="Times New Roman"/>
        </w:rPr>
      </w:pPr>
      <w:r>
        <w:rPr>
          <w:rFonts w:ascii="Times New Roman" w:hAnsi="Times New Roman" w:eastAsia="SimSun" w:cs="Times New Roman"/>
        </w:rPr>
        <w:t>Pasal 144 Ayat 2 yang berbunyi: “Ancaman dengan tambahan 1/3 (sepertiga) sebagaimana dimaksud pada Pasal Ayat (1) tidak berlaku bagi pelaku tindak pidana yang di jatuhi dengan pidana mati, pidana penjara seumur hidup, atau pidana penjara 20 (dua puluh) Tahun.”</w:t>
      </w:r>
    </w:p>
    <w:p>
      <w:pPr>
        <w:tabs>
          <w:tab w:val="left" w:pos="425"/>
          <w:tab w:val="left" w:pos="1200"/>
        </w:tabs>
        <w:spacing w:after="0" w:line="312" w:lineRule="auto"/>
        <w:ind w:right="-103" w:rightChars="-47"/>
        <w:contextualSpacing/>
        <w:jc w:val="both"/>
        <w:rPr>
          <w:rFonts w:ascii="Times New Roman" w:hAnsi="Times New Roman" w:eastAsia="SimSun" w:cs="Times New Roman"/>
        </w:rPr>
      </w:pPr>
    </w:p>
    <w:p>
      <w:pPr>
        <w:pStyle w:val="3"/>
        <w:numPr>
          <w:ilvl w:val="0"/>
          <w:numId w:val="20"/>
        </w:numPr>
        <w:ind w:left="426" w:hanging="284"/>
      </w:pPr>
      <w:bookmarkStart w:id="22" w:name="_Toc199801669"/>
      <w:r>
        <w:t>Grasi Perspektif Hukum Pidana Islam</w:t>
      </w:r>
      <w:bookmarkEnd w:id="22"/>
    </w:p>
    <w:p>
      <w:pPr>
        <w:pStyle w:val="5"/>
        <w:numPr>
          <w:ilvl w:val="6"/>
          <w:numId w:val="28"/>
        </w:numPr>
        <w:ind w:left="709" w:hanging="283"/>
      </w:pPr>
      <w:bookmarkStart w:id="23" w:name="_Toc199801670"/>
      <w:r>
        <w:t>Pengertian Grasi</w:t>
      </w:r>
      <w:bookmarkEnd w:id="23"/>
      <w:r>
        <w:t xml:space="preserve"> Hukum Pidana Islam</w:t>
      </w:r>
    </w:p>
    <w:p>
      <w:pPr>
        <w:pStyle w:val="6"/>
        <w:spacing w:after="0" w:line="312" w:lineRule="auto"/>
        <w:ind w:left="664" w:leftChars="302" w:right="-103" w:rightChars="-47" w:firstLine="543" w:firstLineChars="247"/>
        <w:contextualSpacing/>
        <w:jc w:val="both"/>
        <w:rPr>
          <w:sz w:val="22"/>
          <w:szCs w:val="22"/>
        </w:rPr>
      </w:pPr>
      <w:r>
        <w:rPr>
          <w:sz w:val="22"/>
          <w:szCs w:val="22"/>
        </w:rPr>
        <w:t xml:space="preserve">Dalam Islam jika ditarik arti kata grasi sebagaimana yang termaktub dalam konstitusi dan </w:t>
      </w:r>
      <w:r>
        <w:rPr>
          <w:sz w:val="22"/>
          <w:szCs w:val="22"/>
          <w:lang w:val="en-US"/>
        </w:rPr>
        <w:t>Undang-Undang</w:t>
      </w:r>
      <w:r>
        <w:rPr>
          <w:sz w:val="22"/>
          <w:szCs w:val="22"/>
        </w:rPr>
        <w:t xml:space="preserve">, bahwa Grasi merupakan suatu pengampunan yang diberikan oleh penguasa yang dalam hal ini </w:t>
      </w:r>
      <w:r>
        <w:rPr>
          <w:sz w:val="22"/>
          <w:szCs w:val="22"/>
          <w:lang w:val="en-US"/>
        </w:rPr>
        <w:t xml:space="preserve">dalam sebuah negara sistem presidensil disebut </w:t>
      </w:r>
      <w:r>
        <w:rPr>
          <w:sz w:val="22"/>
          <w:szCs w:val="22"/>
        </w:rPr>
        <w:t xml:space="preserve">Presiden. Maka, dalam dunia peradilan Islam juga dikenal suatu bentuk pengampunan baik dari penguasa atau ahli waris, dengan istilah </w:t>
      </w:r>
      <w:r>
        <w:rPr>
          <w:i/>
          <w:iCs/>
          <w:sz w:val="22"/>
          <w:szCs w:val="22"/>
        </w:rPr>
        <w:t>al-syafa’at,</w:t>
      </w:r>
      <w:r>
        <w:rPr>
          <w:sz w:val="22"/>
          <w:szCs w:val="22"/>
        </w:rPr>
        <w:t xml:space="preserve"> baik pengampunan tersebut diberikan oleh pihak korban atau yang diberikan oleh penguasa kepada pelaku dari tindak kejahatan.</w:t>
      </w:r>
    </w:p>
    <w:p>
      <w:pPr>
        <w:pStyle w:val="6"/>
        <w:spacing w:before="240" w:after="0" w:line="312" w:lineRule="auto"/>
        <w:ind w:left="664" w:leftChars="302" w:right="-103" w:rightChars="-47" w:firstLine="543" w:firstLineChars="247"/>
        <w:contextualSpacing/>
        <w:jc w:val="both"/>
        <w:rPr>
          <w:spacing w:val="-2"/>
          <w:sz w:val="22"/>
          <w:szCs w:val="22"/>
          <w:lang w:val="en-US"/>
        </w:rPr>
      </w:pPr>
      <w:r>
        <w:rPr>
          <w:sz w:val="22"/>
          <w:szCs w:val="22"/>
          <w:lang w:val="en-US"/>
        </w:rPr>
        <w:t>Allah</w:t>
      </w:r>
      <w:r>
        <w:rPr>
          <w:spacing w:val="-1"/>
          <w:sz w:val="22"/>
          <w:szCs w:val="22"/>
        </w:rPr>
        <w:t xml:space="preserve"> </w:t>
      </w:r>
      <w:r>
        <w:rPr>
          <w:sz w:val="22"/>
          <w:szCs w:val="22"/>
        </w:rPr>
        <w:t>berfirman</w:t>
      </w:r>
      <w:r>
        <w:rPr>
          <w:spacing w:val="-2"/>
          <w:sz w:val="22"/>
          <w:szCs w:val="22"/>
        </w:rPr>
        <w:t xml:space="preserve"> </w:t>
      </w:r>
      <w:r>
        <w:rPr>
          <w:sz w:val="22"/>
          <w:szCs w:val="22"/>
        </w:rPr>
        <w:t>dalam</w:t>
      </w:r>
      <w:r>
        <w:rPr>
          <w:spacing w:val="-1"/>
          <w:sz w:val="22"/>
          <w:szCs w:val="22"/>
        </w:rPr>
        <w:t xml:space="preserve"> </w:t>
      </w:r>
      <w:r>
        <w:rPr>
          <w:sz w:val="22"/>
          <w:szCs w:val="22"/>
        </w:rPr>
        <w:t xml:space="preserve">QS </w:t>
      </w:r>
      <w:r>
        <w:rPr>
          <w:sz w:val="22"/>
          <w:szCs w:val="22"/>
          <w:lang w:val="en-US"/>
        </w:rPr>
        <w:t>A</w:t>
      </w:r>
      <w:r>
        <w:rPr>
          <w:sz w:val="22"/>
          <w:szCs w:val="22"/>
        </w:rPr>
        <w:t>l-</w:t>
      </w:r>
      <w:r>
        <w:rPr>
          <w:spacing w:val="-2"/>
          <w:sz w:val="22"/>
          <w:szCs w:val="22"/>
        </w:rPr>
        <w:t>Baqarah/2:237</w:t>
      </w:r>
      <w:r>
        <w:rPr>
          <w:spacing w:val="-2"/>
          <w:sz w:val="22"/>
          <w:szCs w:val="22"/>
          <w:lang w:val="en-US"/>
        </w:rPr>
        <w:t xml:space="preserve"> yang berbunyi:</w:t>
      </w:r>
      <w:r>
        <w:rPr>
          <w:rStyle w:val="17"/>
          <w:spacing w:val="-2"/>
          <w:sz w:val="22"/>
          <w:szCs w:val="22"/>
          <w:lang w:val="en-US"/>
        </w:rPr>
        <w:footnoteReference w:id="36"/>
      </w:r>
    </w:p>
    <w:p>
      <w:pPr>
        <w:pStyle w:val="6"/>
        <w:spacing w:before="240" w:after="0" w:line="312" w:lineRule="auto"/>
        <w:ind w:left="664" w:leftChars="302" w:right="-103" w:rightChars="-47" w:firstLine="533" w:firstLineChars="247"/>
        <w:contextualSpacing/>
        <w:jc w:val="both"/>
        <w:rPr>
          <w:spacing w:val="-2"/>
          <w:sz w:val="22"/>
          <w:szCs w:val="22"/>
          <w:lang w:val="en-US"/>
        </w:rPr>
      </w:pPr>
    </w:p>
    <w:p>
      <w:pPr>
        <w:pStyle w:val="6"/>
        <w:bidi/>
        <w:spacing w:before="240" w:after="0" w:line="240" w:lineRule="auto"/>
        <w:ind w:left="-28" w:leftChars="-13" w:right="708" w:rightChars="322" w:hanging="1"/>
        <w:contextualSpacing/>
        <w:jc w:val="both"/>
        <w:rPr>
          <w:rFonts w:ascii="Traditional Arabic" w:hAnsi="Traditional Arabic" w:cs="Traditional Arabic"/>
          <w:sz w:val="32"/>
          <w:szCs w:val="32"/>
          <w:lang w:val="en-US"/>
        </w:rPr>
      </w:pPr>
      <w:r>
        <w:rPr>
          <w:rFonts w:ascii="Traditional Arabic" w:hAnsi="Traditional Arabic" w:cs="Traditional Arabic"/>
          <w:sz w:val="32"/>
          <w:szCs w:val="32"/>
          <w:rtl/>
          <w:lang w:val="en-US"/>
        </w:rPr>
        <w:t>وَأَن تَعۡفُوٓاْ أَقۡرَبُ لِلتَّقۡوَىٰۚ وَلَا تَنسَوُاْ ٱلۡفَضۡلَ بَيۡنَكُمۡۚ إِنَّ ٱللَّهَ بِمَا تَعۡمَلُونَ بَصِيرٌ</w:t>
      </w:r>
    </w:p>
    <w:p>
      <w:pPr>
        <w:pStyle w:val="6"/>
        <w:spacing w:before="240" w:after="0" w:line="312" w:lineRule="auto"/>
        <w:ind w:left="1133" w:leftChars="515" w:right="-103" w:rightChars="-47"/>
        <w:contextualSpacing/>
        <w:jc w:val="both"/>
        <w:rPr>
          <w:i/>
          <w:iCs/>
          <w:spacing w:val="-2"/>
          <w:sz w:val="22"/>
          <w:szCs w:val="22"/>
          <w:lang w:val="en-US"/>
        </w:rPr>
      </w:pPr>
      <w:r>
        <w:rPr>
          <w:i/>
          <w:iCs/>
          <w:sz w:val="22"/>
          <w:szCs w:val="22"/>
          <w:lang w:val="en-US"/>
        </w:rPr>
        <w:t>“</w:t>
      </w:r>
      <w:r>
        <w:rPr>
          <w:i/>
          <w:iCs/>
          <w:sz w:val="22"/>
          <w:szCs w:val="22"/>
        </w:rPr>
        <w:t xml:space="preserve">Dan pema'afan </w:t>
      </w:r>
      <w:r>
        <w:rPr>
          <w:i/>
          <w:iCs/>
          <w:sz w:val="22"/>
          <w:szCs w:val="22"/>
          <w:lang w:val="en-US"/>
        </w:rPr>
        <w:t>kau i</w:t>
      </w:r>
      <w:r>
        <w:rPr>
          <w:i/>
          <w:iCs/>
          <w:sz w:val="22"/>
          <w:szCs w:val="22"/>
        </w:rPr>
        <w:t xml:space="preserve">tu lebih dekat kepada takwa. dan janganlah </w:t>
      </w:r>
      <w:r>
        <w:rPr>
          <w:i/>
          <w:iCs/>
          <w:sz w:val="22"/>
          <w:szCs w:val="22"/>
          <w:lang w:val="en-US"/>
        </w:rPr>
        <w:t xml:space="preserve">kamu </w:t>
      </w:r>
      <w:r>
        <w:rPr>
          <w:i/>
          <w:iCs/>
          <w:sz w:val="22"/>
          <w:szCs w:val="22"/>
        </w:rPr>
        <w:t xml:space="preserve">melupakan keutamaan di antara </w:t>
      </w:r>
      <w:r>
        <w:rPr>
          <w:i/>
          <w:iCs/>
          <w:sz w:val="22"/>
          <w:szCs w:val="22"/>
          <w:lang w:val="en-US"/>
        </w:rPr>
        <w:t>kamu.</w:t>
      </w:r>
      <w:r>
        <w:rPr>
          <w:i/>
          <w:iCs/>
          <w:sz w:val="22"/>
          <w:szCs w:val="22"/>
        </w:rPr>
        <w:t xml:space="preserve"> Sesungguhnya </w:t>
      </w:r>
      <w:r>
        <w:rPr>
          <w:i/>
          <w:iCs/>
          <w:sz w:val="22"/>
          <w:szCs w:val="22"/>
          <w:lang w:val="en-US"/>
        </w:rPr>
        <w:t>Allah</w:t>
      </w:r>
      <w:r>
        <w:rPr>
          <w:i/>
          <w:iCs/>
          <w:sz w:val="22"/>
          <w:szCs w:val="22"/>
        </w:rPr>
        <w:t xml:space="preserve"> Maha melihat segala apa yang </w:t>
      </w:r>
      <w:r>
        <w:rPr>
          <w:i/>
          <w:iCs/>
          <w:sz w:val="22"/>
          <w:szCs w:val="22"/>
          <w:lang w:val="en-US"/>
        </w:rPr>
        <w:t xml:space="preserve">kamu </w:t>
      </w:r>
      <w:r>
        <w:rPr>
          <w:i/>
          <w:iCs/>
          <w:spacing w:val="-2"/>
          <w:sz w:val="22"/>
          <w:szCs w:val="22"/>
        </w:rPr>
        <w:t>kerjakan</w:t>
      </w:r>
      <w:r>
        <w:rPr>
          <w:i/>
          <w:iCs/>
          <w:spacing w:val="-2"/>
          <w:sz w:val="22"/>
          <w:szCs w:val="22"/>
          <w:lang w:val="en-US"/>
        </w:rPr>
        <w:t>”. (</w:t>
      </w:r>
      <w:r>
        <w:rPr>
          <w:spacing w:val="-2"/>
          <w:sz w:val="22"/>
          <w:szCs w:val="22"/>
          <w:lang w:val="en-US"/>
        </w:rPr>
        <w:t>QS</w:t>
      </w:r>
      <w:r>
        <w:rPr>
          <w:i/>
          <w:iCs/>
          <w:spacing w:val="-2"/>
          <w:sz w:val="22"/>
          <w:szCs w:val="22"/>
          <w:lang w:val="en-US"/>
        </w:rPr>
        <w:t xml:space="preserve"> </w:t>
      </w:r>
      <w:r>
        <w:rPr>
          <w:spacing w:val="-2"/>
          <w:sz w:val="22"/>
          <w:szCs w:val="22"/>
          <w:lang w:val="en-US"/>
        </w:rPr>
        <w:t>Al Baqarah:2:273)</w:t>
      </w:r>
    </w:p>
    <w:p>
      <w:pPr>
        <w:pStyle w:val="6"/>
        <w:spacing w:before="240" w:after="0" w:line="312" w:lineRule="auto"/>
        <w:ind w:left="664" w:leftChars="302" w:right="-103" w:rightChars="-47" w:firstLine="533" w:firstLineChars="247"/>
        <w:contextualSpacing/>
        <w:jc w:val="both"/>
        <w:rPr>
          <w:i/>
          <w:iCs/>
          <w:spacing w:val="-2"/>
          <w:sz w:val="22"/>
          <w:szCs w:val="22"/>
        </w:rPr>
      </w:pPr>
    </w:p>
    <w:p>
      <w:pPr>
        <w:pStyle w:val="6"/>
        <w:spacing w:before="240" w:after="0" w:line="312" w:lineRule="auto"/>
        <w:ind w:left="664" w:leftChars="302" w:right="-103" w:rightChars="-47" w:firstLine="592" w:firstLineChars="247"/>
        <w:contextualSpacing/>
        <w:jc w:val="both"/>
        <w:rPr>
          <w:sz w:val="22"/>
          <w:szCs w:val="22"/>
        </w:rPr>
      </w:pPr>
      <w:r>
        <w:t>Kata</w:t>
      </w:r>
      <w:r>
        <w:rPr>
          <w:i/>
          <w:iCs/>
        </w:rPr>
        <w:t xml:space="preserve"> al-afwu</w:t>
      </w:r>
      <w:r>
        <w:t xml:space="preserve"> (</w:t>
      </w:r>
      <w:r>
        <w:rPr>
          <w:sz w:val="22"/>
          <w:szCs w:val="22"/>
          <w:rtl/>
        </w:rPr>
        <w:t>الْعَفُوُّ</w:t>
      </w:r>
      <w:r>
        <w:t>) merupaka bentuk isim yang mendapa imbuhan</w:t>
      </w:r>
      <w:r>
        <w:rPr>
          <w:spacing w:val="27"/>
        </w:rPr>
        <w:t xml:space="preserve"> </w:t>
      </w:r>
      <w:r>
        <w:t>kata</w:t>
      </w:r>
      <w:r>
        <w:rPr>
          <w:spacing w:val="29"/>
        </w:rPr>
        <w:t xml:space="preserve"> </w:t>
      </w:r>
      <w:r>
        <w:t>al</w:t>
      </w:r>
      <w:r>
        <w:rPr>
          <w:spacing w:val="27"/>
        </w:rPr>
        <w:t xml:space="preserve"> </w:t>
      </w:r>
      <w:r>
        <w:t>(</w:t>
      </w:r>
      <w:r>
        <w:rPr>
          <w:rtl/>
        </w:rPr>
        <w:t>ال</w:t>
      </w:r>
      <w:r>
        <w:t>)</w:t>
      </w:r>
      <w:r>
        <w:rPr>
          <w:spacing w:val="27"/>
        </w:rPr>
        <w:t xml:space="preserve"> </w:t>
      </w:r>
      <w:r>
        <w:t>di</w:t>
      </w:r>
      <w:r>
        <w:rPr>
          <w:spacing w:val="30"/>
        </w:rPr>
        <w:t xml:space="preserve"> </w:t>
      </w:r>
      <w:r>
        <w:t>depannya,</w:t>
      </w:r>
      <w:r>
        <w:rPr>
          <w:spacing w:val="29"/>
        </w:rPr>
        <w:t xml:space="preserve"> </w:t>
      </w:r>
      <w:r>
        <w:t>atau</w:t>
      </w:r>
      <w:r>
        <w:rPr>
          <w:spacing w:val="29"/>
        </w:rPr>
        <w:t xml:space="preserve"> </w:t>
      </w:r>
      <w:r>
        <w:t>disamakan</w:t>
      </w:r>
      <w:r>
        <w:rPr>
          <w:spacing w:val="27"/>
        </w:rPr>
        <w:t xml:space="preserve"> </w:t>
      </w:r>
      <w:r>
        <w:t>dengan</w:t>
      </w:r>
      <w:r>
        <w:rPr>
          <w:spacing w:val="27"/>
        </w:rPr>
        <w:t xml:space="preserve"> </w:t>
      </w:r>
      <w:r>
        <w:t>kata</w:t>
      </w:r>
      <w:r>
        <w:rPr>
          <w:spacing w:val="29"/>
        </w:rPr>
        <w:t xml:space="preserve"> </w:t>
      </w:r>
      <w:r>
        <w:rPr>
          <w:i/>
          <w:iCs/>
        </w:rPr>
        <w:t>afwun</w:t>
      </w:r>
      <w:r>
        <w:t xml:space="preserve"> (</w:t>
      </w:r>
      <w:r>
        <w:rPr>
          <w:sz w:val="22"/>
          <w:szCs w:val="22"/>
          <w:rtl/>
        </w:rPr>
        <w:t>عَفُوُّ</w:t>
      </w:r>
      <w:r>
        <w:t xml:space="preserve">) </w:t>
      </w:r>
      <w:r>
        <w:rPr>
          <w:spacing w:val="-7"/>
        </w:rPr>
        <w:t xml:space="preserve"> </w:t>
      </w:r>
      <w:r>
        <w:rPr>
          <w:spacing w:val="-2"/>
        </w:rPr>
        <w:t>dalam</w:t>
      </w:r>
      <w:r>
        <w:rPr>
          <w:spacing w:val="-5"/>
        </w:rPr>
        <w:t xml:space="preserve"> </w:t>
      </w:r>
      <w:r>
        <w:rPr>
          <w:spacing w:val="-2"/>
        </w:rPr>
        <w:t>bentuk</w:t>
      </w:r>
      <w:r>
        <w:rPr>
          <w:spacing w:val="-5"/>
        </w:rPr>
        <w:t xml:space="preserve"> </w:t>
      </w:r>
      <w:r>
        <w:rPr>
          <w:spacing w:val="-2"/>
        </w:rPr>
        <w:t>masdarnya</w:t>
      </w:r>
      <w:r>
        <w:rPr>
          <w:spacing w:val="-4"/>
        </w:rPr>
        <w:t xml:space="preserve"> </w:t>
      </w:r>
      <w:r>
        <w:rPr>
          <w:spacing w:val="-2"/>
        </w:rPr>
        <w:t>yang</w:t>
      </w:r>
      <w:r>
        <w:rPr>
          <w:spacing w:val="-8"/>
        </w:rPr>
        <w:t xml:space="preserve"> </w:t>
      </w:r>
      <w:r>
        <w:rPr>
          <w:spacing w:val="-2"/>
        </w:rPr>
        <w:t>secara</w:t>
      </w:r>
      <w:r>
        <w:rPr>
          <w:spacing w:val="-8"/>
        </w:rPr>
        <w:t xml:space="preserve"> </w:t>
      </w:r>
      <w:r>
        <w:rPr>
          <w:spacing w:val="-2"/>
        </w:rPr>
        <w:t>bahasa</w:t>
      </w:r>
      <w:r>
        <w:rPr>
          <w:spacing w:val="-4"/>
        </w:rPr>
        <w:t xml:space="preserve"> </w:t>
      </w:r>
      <w:r>
        <w:rPr>
          <w:spacing w:val="-2"/>
        </w:rPr>
        <w:t>mengandung</w:t>
      </w:r>
      <w:r>
        <w:rPr>
          <w:spacing w:val="-8"/>
        </w:rPr>
        <w:t xml:space="preserve"> </w:t>
      </w:r>
      <w:r>
        <w:rPr>
          <w:spacing w:val="-2"/>
        </w:rPr>
        <w:t>arti</w:t>
      </w:r>
      <w:r>
        <w:rPr>
          <w:spacing w:val="-6"/>
        </w:rPr>
        <w:t xml:space="preserve"> </w:t>
      </w:r>
      <w:r>
        <w:rPr>
          <w:spacing w:val="-2"/>
        </w:rPr>
        <w:t>hilang, terhapus,</w:t>
      </w:r>
      <w:r>
        <w:rPr>
          <w:spacing w:val="-6"/>
        </w:rPr>
        <w:t xml:space="preserve"> </w:t>
      </w:r>
      <w:r>
        <w:rPr>
          <w:spacing w:val="-2"/>
        </w:rPr>
        <w:t>dan</w:t>
      </w:r>
      <w:r>
        <w:rPr>
          <w:spacing w:val="-7"/>
        </w:rPr>
        <w:t xml:space="preserve"> </w:t>
      </w:r>
      <w:r>
        <w:rPr>
          <w:spacing w:val="-2"/>
        </w:rPr>
        <w:t>pemaafan.</w:t>
      </w:r>
      <w:r>
        <w:rPr>
          <w:rStyle w:val="17"/>
          <w:spacing w:val="-2"/>
        </w:rPr>
        <w:footnoteReference w:id="37"/>
      </w:r>
      <w:r>
        <w:rPr>
          <w:spacing w:val="-6"/>
        </w:rPr>
        <w:t xml:space="preserve"> </w:t>
      </w:r>
      <w:r>
        <w:rPr>
          <w:spacing w:val="-2"/>
        </w:rPr>
        <w:t>Sementara</w:t>
      </w:r>
      <w:r>
        <w:rPr>
          <w:spacing w:val="-8"/>
        </w:rPr>
        <w:t xml:space="preserve"> </w:t>
      </w:r>
      <w:r>
        <w:rPr>
          <w:spacing w:val="-2"/>
        </w:rPr>
        <w:t>kata</w:t>
      </w:r>
      <w:r>
        <w:rPr>
          <w:i/>
          <w:iCs/>
          <w:spacing w:val="-7"/>
        </w:rPr>
        <w:t xml:space="preserve"> </w:t>
      </w:r>
      <w:r>
        <w:rPr>
          <w:i/>
          <w:iCs/>
          <w:spacing w:val="-2"/>
        </w:rPr>
        <w:t>al-afwu</w:t>
      </w:r>
      <w:r>
        <w:rPr>
          <w:i/>
          <w:iCs/>
          <w:spacing w:val="-6"/>
        </w:rPr>
        <w:t xml:space="preserve"> </w:t>
      </w:r>
      <w:r>
        <w:t>(</w:t>
      </w:r>
      <w:r>
        <w:rPr>
          <w:sz w:val="22"/>
          <w:szCs w:val="22"/>
          <w:rtl/>
        </w:rPr>
        <w:t>الْعَفُوُّ</w:t>
      </w:r>
      <w:r>
        <w:t>)</w:t>
      </w:r>
      <w:r>
        <w:rPr>
          <w:spacing w:val="-7"/>
        </w:rPr>
        <w:t xml:space="preserve"> </w:t>
      </w:r>
      <w:r>
        <w:rPr>
          <w:spacing w:val="-2"/>
        </w:rPr>
        <w:t>menurut</w:t>
      </w:r>
      <w:r>
        <w:rPr>
          <w:spacing w:val="-6"/>
        </w:rPr>
        <w:t xml:space="preserve"> </w:t>
      </w:r>
      <w:r>
        <w:rPr>
          <w:spacing w:val="-2"/>
        </w:rPr>
        <w:t xml:space="preserve">istilah </w:t>
      </w:r>
      <w:r>
        <w:t>sebagaimana yang didefinisikan oleh ulama ahli usul Abi al-Husain</w:t>
      </w:r>
      <w:r>
        <w:rPr>
          <w:spacing w:val="40"/>
        </w:rPr>
        <w:t xml:space="preserve"> </w:t>
      </w:r>
      <w:r>
        <w:t xml:space="preserve">Ahmad bin Faris bin Zakariyya </w:t>
      </w:r>
      <w:r>
        <w:rPr>
          <w:lang w:val="en-US"/>
        </w:rPr>
        <w:t>A</w:t>
      </w:r>
      <w:r>
        <w:t>l-Razy adalah setiap pembuat dosa (pelaku kejahatan) yang seharusnya menjalani hukuman menjadi terhapuskan sebab telah mendapatkan pengampunan</w:t>
      </w:r>
      <w:r>
        <w:rPr>
          <w:sz w:val="22"/>
          <w:szCs w:val="22"/>
        </w:rPr>
        <w:t>.</w:t>
      </w:r>
      <w:r>
        <w:rPr>
          <w:rStyle w:val="17"/>
          <w:sz w:val="22"/>
          <w:szCs w:val="22"/>
        </w:rPr>
        <w:footnoteReference w:id="38"/>
      </w:r>
    </w:p>
    <w:p>
      <w:pPr>
        <w:pStyle w:val="6"/>
        <w:spacing w:before="240" w:after="0" w:line="312" w:lineRule="auto"/>
        <w:ind w:left="664" w:leftChars="302" w:right="-103" w:rightChars="-47" w:firstLine="592" w:firstLineChars="247"/>
        <w:contextualSpacing/>
        <w:jc w:val="both"/>
        <w:rPr>
          <w:sz w:val="22"/>
          <w:szCs w:val="22"/>
        </w:rPr>
      </w:pPr>
      <w:r>
        <w:t xml:space="preserve">Selanjutnya, kata </w:t>
      </w:r>
      <w:r>
        <w:rPr>
          <w:i/>
          <w:iCs/>
        </w:rPr>
        <w:t xml:space="preserve">syafa’at </w:t>
      </w:r>
      <w:r>
        <w:rPr>
          <w:sz w:val="22"/>
          <w:szCs w:val="22"/>
        </w:rPr>
        <w:t>(</w:t>
      </w:r>
      <w:r>
        <w:rPr>
          <w:sz w:val="22"/>
          <w:szCs w:val="22"/>
          <w:rtl/>
        </w:rPr>
        <w:t>شَفَاعَة</w:t>
      </w:r>
      <w:r>
        <w:rPr>
          <w:sz w:val="22"/>
          <w:szCs w:val="22"/>
        </w:rPr>
        <w:t>),</w:t>
      </w:r>
      <w:r>
        <w:t xml:space="preserve"> dalam kamus bahasa arab merupakan</w:t>
      </w:r>
      <w:r>
        <w:rPr>
          <w:spacing w:val="-5"/>
        </w:rPr>
        <w:t xml:space="preserve"> </w:t>
      </w:r>
      <w:r>
        <w:t>lawan</w:t>
      </w:r>
      <w:r>
        <w:rPr>
          <w:spacing w:val="-5"/>
        </w:rPr>
        <w:t xml:space="preserve"> </w:t>
      </w:r>
      <w:r>
        <w:t>kata</w:t>
      </w:r>
      <w:r>
        <w:rPr>
          <w:spacing w:val="-5"/>
        </w:rPr>
        <w:t xml:space="preserve"> </w:t>
      </w:r>
      <w:r>
        <w:t>dari</w:t>
      </w:r>
      <w:r>
        <w:rPr>
          <w:spacing w:val="-5"/>
        </w:rPr>
        <w:t xml:space="preserve"> </w:t>
      </w:r>
      <w:r>
        <w:t>al-witru</w:t>
      </w:r>
      <w:r>
        <w:rPr>
          <w:spacing w:val="-5"/>
        </w:rPr>
        <w:t xml:space="preserve"> </w:t>
      </w:r>
      <w:r>
        <w:t>(</w:t>
      </w:r>
      <w:r>
        <w:rPr>
          <w:rFonts w:ascii="Arial" w:hAnsi="Arial" w:eastAsia="SimSun" w:cs="Arial"/>
          <w:color w:val="474747"/>
          <w:sz w:val="21"/>
          <w:szCs w:val="21"/>
          <w:shd w:val="clear" w:color="auto" w:fill="FFFFFF"/>
        </w:rPr>
        <w:t>الوِتْرُ</w:t>
      </w:r>
      <w:r>
        <w:t>)</w:t>
      </w:r>
      <w:r>
        <w:rPr>
          <w:spacing w:val="-5"/>
        </w:rPr>
        <w:t xml:space="preserve"> </w:t>
      </w:r>
      <w:r>
        <w:t>atau</w:t>
      </w:r>
      <w:r>
        <w:rPr>
          <w:spacing w:val="-5"/>
        </w:rPr>
        <w:t xml:space="preserve"> </w:t>
      </w:r>
      <w:r>
        <w:t>ganjil yang</w:t>
      </w:r>
      <w:r>
        <w:rPr>
          <w:spacing w:val="-6"/>
        </w:rPr>
        <w:t xml:space="preserve"> </w:t>
      </w:r>
      <w:r>
        <w:t>mengandung arti genap, sepasang, sejodoh, perantaraan, pertolongan dan bantuan.</w:t>
      </w:r>
      <w:r>
        <w:rPr>
          <w:rStyle w:val="17"/>
          <w:sz w:val="22"/>
          <w:szCs w:val="22"/>
        </w:rPr>
        <w:footnoteReference w:id="39"/>
      </w:r>
      <w:r>
        <w:rPr>
          <w:sz w:val="22"/>
          <w:szCs w:val="22"/>
        </w:rPr>
        <w:t xml:space="preserve"> </w:t>
      </w:r>
    </w:p>
    <w:p>
      <w:pPr>
        <w:pStyle w:val="6"/>
        <w:spacing w:before="240" w:after="0" w:line="312" w:lineRule="auto"/>
        <w:ind w:left="664" w:leftChars="302" w:right="-103" w:rightChars="-47" w:firstLine="592" w:firstLineChars="247"/>
        <w:contextualSpacing/>
        <w:jc w:val="both"/>
        <w:rPr>
          <w:sz w:val="22"/>
          <w:szCs w:val="22"/>
        </w:rPr>
      </w:pPr>
      <w:r>
        <w:t>Sehingga dari pengertian di</w:t>
      </w:r>
      <w:r>
        <w:rPr>
          <w:lang w:val="en-US"/>
        </w:rPr>
        <w:t xml:space="preserve"> </w:t>
      </w:r>
      <w:r>
        <w:t xml:space="preserve">atas dalam penelusuran kepustakaan hukum Islam kata </w:t>
      </w:r>
      <w:r>
        <w:rPr>
          <w:i/>
          <w:iCs/>
        </w:rPr>
        <w:t xml:space="preserve">al-afwu </w:t>
      </w:r>
      <w:r>
        <w:t>(</w:t>
      </w:r>
      <w:r>
        <w:rPr>
          <w:sz w:val="22"/>
          <w:szCs w:val="22"/>
          <w:rtl/>
        </w:rPr>
        <w:t>الْعَفُوُّ</w:t>
      </w:r>
      <w:r>
        <w:t xml:space="preserve">) dan kata </w:t>
      </w:r>
      <w:r>
        <w:rPr>
          <w:i/>
          <w:iCs/>
        </w:rPr>
        <w:t xml:space="preserve">syafa’at </w:t>
      </w:r>
      <w:r>
        <w:rPr>
          <w:sz w:val="22"/>
          <w:szCs w:val="22"/>
        </w:rPr>
        <w:t>(</w:t>
      </w:r>
      <w:r>
        <w:rPr>
          <w:sz w:val="22"/>
          <w:szCs w:val="22"/>
          <w:rtl/>
        </w:rPr>
        <w:t>شَفَاعَة</w:t>
      </w:r>
      <w:r>
        <w:rPr>
          <w:sz w:val="22"/>
          <w:szCs w:val="22"/>
        </w:rPr>
        <w:t>),</w:t>
      </w:r>
      <w:r>
        <w:t xml:space="preserve"> mempunyai kesamaan makna dengan Grasi sebagimana mana yang </w:t>
      </w:r>
      <w:r>
        <w:rPr>
          <w:spacing w:val="-2"/>
          <w:w w:val="90"/>
        </w:rPr>
        <w:t>didefinisikan</w:t>
      </w:r>
      <w:r>
        <w:rPr>
          <w:spacing w:val="-4"/>
          <w:w w:val="90"/>
        </w:rPr>
        <w:t xml:space="preserve"> </w:t>
      </w:r>
      <w:r>
        <w:rPr>
          <w:spacing w:val="-2"/>
          <w:w w:val="90"/>
        </w:rPr>
        <w:t xml:space="preserve">Fakhrud </w:t>
      </w:r>
      <w:r>
        <w:t>(</w:t>
      </w:r>
      <w:r>
        <w:rPr>
          <w:sz w:val="22"/>
          <w:szCs w:val="22"/>
          <w:rtl/>
        </w:rPr>
        <w:t>الْعَفُوُّ</w:t>
      </w:r>
      <w:r>
        <w:t>)</w:t>
      </w:r>
      <w:r>
        <w:rPr>
          <w:spacing w:val="-2"/>
          <w:w w:val="90"/>
        </w:rPr>
        <w:t xml:space="preserve"> dan</w:t>
      </w:r>
      <w:r>
        <w:rPr>
          <w:spacing w:val="-3"/>
          <w:w w:val="90"/>
        </w:rPr>
        <w:t xml:space="preserve"> </w:t>
      </w:r>
      <w:r>
        <w:rPr>
          <w:spacing w:val="-2"/>
          <w:w w:val="90"/>
        </w:rPr>
        <w:t xml:space="preserve">kata </w:t>
      </w:r>
      <w:r>
        <w:rPr>
          <w:i/>
          <w:iCs/>
          <w:spacing w:val="-2"/>
          <w:w w:val="90"/>
        </w:rPr>
        <w:t xml:space="preserve">syafa’at </w:t>
      </w:r>
      <w:r>
        <w:rPr>
          <w:sz w:val="22"/>
          <w:szCs w:val="22"/>
        </w:rPr>
        <w:t>(</w:t>
      </w:r>
      <w:r>
        <w:rPr>
          <w:sz w:val="22"/>
          <w:szCs w:val="22"/>
          <w:rtl/>
        </w:rPr>
        <w:t>شَفَاعَة</w:t>
      </w:r>
      <w:r>
        <w:rPr>
          <w:sz w:val="22"/>
          <w:szCs w:val="22"/>
        </w:rPr>
        <w:t>),</w:t>
      </w:r>
      <w:r>
        <w:rPr>
          <w:spacing w:val="-4"/>
          <w:w w:val="90"/>
        </w:rPr>
        <w:t xml:space="preserve"> </w:t>
      </w:r>
      <w:r>
        <w:rPr>
          <w:spacing w:val="-2"/>
        </w:rPr>
        <w:t>Fakhrudin</w:t>
      </w:r>
      <w:r>
        <w:rPr>
          <w:spacing w:val="-7"/>
        </w:rPr>
        <w:t xml:space="preserve"> A</w:t>
      </w:r>
      <w:r>
        <w:rPr>
          <w:spacing w:val="-2"/>
        </w:rPr>
        <w:t>l-Razi</w:t>
      </w:r>
      <w:r>
        <w:rPr>
          <w:spacing w:val="47"/>
        </w:rPr>
        <w:t xml:space="preserve"> </w:t>
      </w:r>
      <w:r>
        <w:rPr>
          <w:spacing w:val="-2"/>
        </w:rPr>
        <w:t>(ahli</w:t>
      </w:r>
      <w:r>
        <w:rPr>
          <w:spacing w:val="-6"/>
        </w:rPr>
        <w:t xml:space="preserve"> </w:t>
      </w:r>
      <w:r>
        <w:rPr>
          <w:spacing w:val="-2"/>
        </w:rPr>
        <w:t>fiqih</w:t>
      </w:r>
      <w:r>
        <w:rPr>
          <w:spacing w:val="-7"/>
        </w:rPr>
        <w:t xml:space="preserve"> </w:t>
      </w:r>
      <w:r>
        <w:rPr>
          <w:spacing w:val="-2"/>
        </w:rPr>
        <w:t>mazdhab</w:t>
      </w:r>
      <w:r>
        <w:rPr>
          <w:spacing w:val="-7"/>
        </w:rPr>
        <w:t xml:space="preserve"> </w:t>
      </w:r>
      <w:r>
        <w:rPr>
          <w:spacing w:val="-2"/>
        </w:rPr>
        <w:t xml:space="preserve">Maliki) </w:t>
      </w:r>
      <w:r>
        <w:t>dengan makna, suatu pertolongan dari seseorang terhadap orang lain agar keinginannya dipenuhi</w:t>
      </w:r>
      <w:r>
        <w:rPr>
          <w:sz w:val="22"/>
          <w:szCs w:val="22"/>
        </w:rPr>
        <w:t>.</w:t>
      </w:r>
      <w:r>
        <w:rPr>
          <w:rStyle w:val="17"/>
          <w:sz w:val="22"/>
          <w:szCs w:val="22"/>
        </w:rPr>
        <w:footnoteReference w:id="40"/>
      </w:r>
    </w:p>
    <w:p>
      <w:pPr>
        <w:pStyle w:val="6"/>
        <w:spacing w:before="240" w:after="0" w:line="312" w:lineRule="auto"/>
        <w:ind w:left="664" w:leftChars="302" w:right="-103" w:rightChars="-47" w:firstLine="543" w:firstLineChars="247"/>
        <w:contextualSpacing/>
        <w:jc w:val="both"/>
        <w:rPr>
          <w:sz w:val="22"/>
          <w:szCs w:val="22"/>
        </w:rPr>
      </w:pPr>
      <w:r>
        <w:rPr>
          <w:sz w:val="22"/>
          <w:szCs w:val="22"/>
        </w:rPr>
        <w:t xml:space="preserve">Dalam kajian fiqh jinayah, </w:t>
      </w:r>
      <w:r>
        <w:rPr>
          <w:sz w:val="22"/>
          <w:szCs w:val="22"/>
          <w:lang w:val="en-US"/>
        </w:rPr>
        <w:t>tidak ada penyebutan</w:t>
      </w:r>
      <w:r>
        <w:rPr>
          <w:sz w:val="22"/>
          <w:szCs w:val="22"/>
        </w:rPr>
        <w:t xml:space="preserve"> istilah grasi</w:t>
      </w:r>
      <w:r>
        <w:rPr>
          <w:sz w:val="22"/>
          <w:szCs w:val="22"/>
          <w:lang w:val="en-US"/>
        </w:rPr>
        <w:t>,</w:t>
      </w:r>
      <w:r>
        <w:rPr>
          <w:sz w:val="22"/>
          <w:szCs w:val="22"/>
        </w:rPr>
        <w:t xml:space="preserve"> tetapi dapat </w:t>
      </w:r>
      <w:r>
        <w:rPr>
          <w:sz w:val="22"/>
          <w:szCs w:val="22"/>
          <w:lang w:val="en-US"/>
        </w:rPr>
        <w:t>ditemukan</w:t>
      </w:r>
      <w:r>
        <w:rPr>
          <w:sz w:val="22"/>
          <w:szCs w:val="22"/>
        </w:rPr>
        <w:t xml:space="preserve"> istilah </w:t>
      </w:r>
      <w:r>
        <w:rPr>
          <w:i/>
          <w:iCs/>
          <w:sz w:val="22"/>
          <w:szCs w:val="22"/>
        </w:rPr>
        <w:t>Syafa'ah</w:t>
      </w:r>
      <w:r>
        <w:rPr>
          <w:sz w:val="22"/>
          <w:szCs w:val="22"/>
        </w:rPr>
        <w:t xml:space="preserve"> dan </w:t>
      </w:r>
      <w:r>
        <w:rPr>
          <w:i/>
          <w:iCs/>
          <w:sz w:val="22"/>
          <w:szCs w:val="22"/>
        </w:rPr>
        <w:t>al-afwu.</w:t>
      </w:r>
      <w:r>
        <w:rPr>
          <w:sz w:val="22"/>
          <w:szCs w:val="22"/>
        </w:rPr>
        <w:t xml:space="preserve"> Lafadz </w:t>
      </w:r>
      <w:r>
        <w:rPr>
          <w:i/>
          <w:iCs/>
          <w:sz w:val="22"/>
          <w:szCs w:val="22"/>
        </w:rPr>
        <w:t>Syafa</w:t>
      </w:r>
      <w:r>
        <w:rPr>
          <w:sz w:val="22"/>
          <w:szCs w:val="22"/>
        </w:rPr>
        <w:t xml:space="preserve"> menurut arti se</w:t>
      </w:r>
      <w:r>
        <w:rPr>
          <w:sz w:val="22"/>
          <w:szCs w:val="22"/>
          <w:lang w:val="en-US"/>
        </w:rPr>
        <w:t>mu</w:t>
      </w:r>
      <w:r>
        <w:rPr>
          <w:sz w:val="22"/>
          <w:szCs w:val="22"/>
        </w:rPr>
        <w:t xml:space="preserve">la adalah tiap-tiap satuan yang genap. Akan tetapi </w:t>
      </w:r>
      <w:r>
        <w:rPr>
          <w:sz w:val="22"/>
          <w:szCs w:val="22"/>
          <w:lang w:val="en-US"/>
        </w:rPr>
        <w:t>kemudian</w:t>
      </w:r>
      <w:r>
        <w:rPr>
          <w:sz w:val="22"/>
          <w:szCs w:val="22"/>
        </w:rPr>
        <w:t xml:space="preserve"> arti itu berkembang menjadi "Suatu permohonan dari seseorang terhadap orang lain agar dipenuhi keinginannya.</w:t>
      </w:r>
      <w:r>
        <w:rPr>
          <w:sz w:val="22"/>
          <w:szCs w:val="22"/>
          <w:lang w:val="en-US"/>
        </w:rPr>
        <w:t xml:space="preserve">” </w:t>
      </w:r>
      <w:r>
        <w:rPr>
          <w:sz w:val="22"/>
          <w:szCs w:val="22"/>
        </w:rPr>
        <w:t xml:space="preserve">Diartikan demikian karena orang yang meminta pertolongan itu bagaikan orang yang menyendiri yang memerlukan pertolongan kepada orang lain. Dia baru dikatakan tidak sendiri apabila telah berhubungan dengan orang yang dimintai </w:t>
      </w:r>
      <w:r>
        <w:rPr>
          <w:i/>
          <w:iCs/>
          <w:sz w:val="22"/>
          <w:szCs w:val="22"/>
        </w:rPr>
        <w:t>Shafa'ah.</w:t>
      </w:r>
      <w:r>
        <w:rPr>
          <w:sz w:val="22"/>
          <w:szCs w:val="22"/>
        </w:rPr>
        <w:t xml:space="preserve"> Ali Ibn </w:t>
      </w:r>
      <w:r>
        <w:rPr>
          <w:sz w:val="22"/>
          <w:szCs w:val="22"/>
          <w:lang w:val="en-US"/>
        </w:rPr>
        <w:t>Muhammad</w:t>
      </w:r>
      <w:r>
        <w:rPr>
          <w:sz w:val="22"/>
          <w:szCs w:val="22"/>
        </w:rPr>
        <w:t xml:space="preserve"> Ibn 'Ali Al-Jurjani, seorang ahli </w:t>
      </w:r>
      <w:r>
        <w:rPr>
          <w:sz w:val="22"/>
          <w:szCs w:val="22"/>
          <w:lang w:val="en-US"/>
        </w:rPr>
        <w:t xml:space="preserve">ilmu </w:t>
      </w:r>
      <w:r>
        <w:rPr>
          <w:sz w:val="22"/>
          <w:szCs w:val="22"/>
        </w:rPr>
        <w:t xml:space="preserve">kalam dan ahli hukum, memberikan definisi </w:t>
      </w:r>
      <w:r>
        <w:rPr>
          <w:i/>
          <w:iCs/>
          <w:sz w:val="22"/>
          <w:szCs w:val="22"/>
        </w:rPr>
        <w:t xml:space="preserve">al- Shafa'ah </w:t>
      </w:r>
      <w:r>
        <w:rPr>
          <w:sz w:val="22"/>
          <w:szCs w:val="22"/>
        </w:rPr>
        <w:t>sebagai:</w:t>
      </w:r>
      <w:r>
        <w:rPr>
          <w:rStyle w:val="17"/>
          <w:sz w:val="22"/>
          <w:szCs w:val="22"/>
        </w:rPr>
        <w:footnoteReference w:id="41"/>
      </w:r>
    </w:p>
    <w:p>
      <w:pPr>
        <w:pStyle w:val="6"/>
        <w:spacing w:before="240" w:after="0" w:line="312" w:lineRule="auto"/>
        <w:ind w:left="664" w:leftChars="302" w:right="-103" w:rightChars="-47" w:firstLine="543" w:firstLineChars="247"/>
        <w:contextualSpacing/>
        <w:jc w:val="both"/>
        <w:rPr>
          <w:sz w:val="22"/>
          <w:szCs w:val="22"/>
        </w:rPr>
      </w:pPr>
    </w:p>
    <w:p>
      <w:pPr>
        <w:pStyle w:val="6"/>
        <w:spacing w:before="240" w:after="0" w:line="240" w:lineRule="auto"/>
        <w:ind w:left="665" w:leftChars="258" w:right="-103" w:rightChars="-47" w:hanging="97"/>
        <w:contextualSpacing/>
        <w:jc w:val="right"/>
        <w:rPr>
          <w:rFonts w:ascii="Traditional Arabic" w:hAnsi="Traditional Arabic" w:cs="Traditional Arabic"/>
          <w:sz w:val="32"/>
          <w:szCs w:val="32"/>
          <w:rtl/>
        </w:rPr>
      </w:pPr>
      <w:r>
        <w:rPr>
          <w:sz w:val="22"/>
          <w:szCs w:val="22"/>
          <w:rtl/>
        </w:rPr>
        <w:t>ا</w:t>
      </w:r>
      <w:r>
        <w:rPr>
          <w:rFonts w:ascii="Traditional Arabic" w:hAnsi="Traditional Arabic" w:cs="Traditional Arabic"/>
          <w:sz w:val="32"/>
          <w:szCs w:val="32"/>
          <w:rtl/>
        </w:rPr>
        <w:t xml:space="preserve">لشفاعة هي السؤال في التجاوز عن الذنوب من الذي وقع الجناية في حقه </w:t>
      </w:r>
    </w:p>
    <w:p>
      <w:pPr>
        <w:pStyle w:val="6"/>
        <w:spacing w:before="240" w:after="0" w:line="240" w:lineRule="auto"/>
        <w:ind w:left="1133" w:leftChars="515" w:right="-103" w:rightChars="-47" w:firstLine="1"/>
        <w:contextualSpacing/>
        <w:jc w:val="both"/>
        <w:rPr>
          <w:sz w:val="22"/>
          <w:szCs w:val="22"/>
        </w:rPr>
      </w:pPr>
      <w:r>
        <w:rPr>
          <w:i/>
          <w:iCs/>
          <w:sz w:val="22"/>
          <w:szCs w:val="22"/>
        </w:rPr>
        <w:t>"</w:t>
      </w:r>
      <w:r>
        <w:rPr>
          <w:i/>
          <w:iCs/>
          <w:sz w:val="22"/>
          <w:szCs w:val="22"/>
          <w:lang w:val="en-US"/>
        </w:rPr>
        <w:t>Syafa’at berarti meminta pengampunan dari orang yang menjadi sasaran kejahatan.”</w:t>
      </w:r>
    </w:p>
    <w:p>
      <w:pPr>
        <w:pStyle w:val="6"/>
        <w:spacing w:before="240" w:after="0" w:line="312" w:lineRule="auto"/>
        <w:ind w:left="664" w:leftChars="302" w:right="-103" w:rightChars="-47" w:firstLine="543" w:firstLineChars="247"/>
        <w:contextualSpacing/>
        <w:jc w:val="both"/>
        <w:rPr>
          <w:sz w:val="22"/>
          <w:szCs w:val="22"/>
        </w:rPr>
      </w:pPr>
    </w:p>
    <w:p>
      <w:pPr>
        <w:pStyle w:val="6"/>
        <w:spacing w:before="240" w:after="0" w:line="312" w:lineRule="auto"/>
        <w:ind w:left="664" w:leftChars="302" w:right="-103" w:rightChars="-47" w:firstLine="543" w:firstLineChars="247"/>
        <w:contextualSpacing/>
        <w:jc w:val="both"/>
        <w:rPr>
          <w:i/>
          <w:iCs/>
          <w:sz w:val="22"/>
          <w:szCs w:val="22"/>
        </w:rPr>
      </w:pPr>
      <w:r>
        <w:rPr>
          <w:sz w:val="22"/>
          <w:szCs w:val="22"/>
        </w:rPr>
        <w:t xml:space="preserve">Sedangkan istilah </w:t>
      </w:r>
      <w:r>
        <w:rPr>
          <w:i/>
          <w:iCs/>
          <w:sz w:val="22"/>
          <w:szCs w:val="22"/>
        </w:rPr>
        <w:t>al-'afiwu</w:t>
      </w:r>
      <w:r>
        <w:rPr>
          <w:sz w:val="22"/>
          <w:szCs w:val="22"/>
        </w:rPr>
        <w:t xml:space="preserve"> menurut 'Abd al-Qadir 'Audah dalam </w:t>
      </w:r>
      <w:r>
        <w:rPr>
          <w:sz w:val="22"/>
          <w:szCs w:val="22"/>
          <w:lang w:val="en-US"/>
        </w:rPr>
        <w:t>Kitab</w:t>
      </w:r>
      <w:r>
        <w:rPr>
          <w:sz w:val="22"/>
          <w:szCs w:val="22"/>
        </w:rPr>
        <w:t xml:space="preserve">nya </w:t>
      </w:r>
      <w:r>
        <w:rPr>
          <w:i/>
          <w:iCs/>
          <w:sz w:val="22"/>
          <w:szCs w:val="22"/>
        </w:rPr>
        <w:t>al-Tashri al-Jina'i al-Islami.</w:t>
      </w:r>
      <w:r>
        <w:rPr>
          <w:rStyle w:val="17"/>
          <w:sz w:val="22"/>
          <w:szCs w:val="22"/>
        </w:rPr>
        <w:footnoteReference w:id="42"/>
      </w:r>
    </w:p>
    <w:p>
      <w:pPr>
        <w:pStyle w:val="6"/>
        <w:spacing w:before="240" w:after="0" w:line="312" w:lineRule="auto"/>
        <w:ind w:left="664" w:leftChars="302" w:right="-103" w:rightChars="-47" w:firstLine="543" w:firstLineChars="247"/>
        <w:contextualSpacing/>
        <w:jc w:val="both"/>
        <w:rPr>
          <w:sz w:val="22"/>
          <w:szCs w:val="22"/>
        </w:rPr>
      </w:pPr>
    </w:p>
    <w:p>
      <w:pPr>
        <w:pStyle w:val="6"/>
        <w:tabs>
          <w:tab w:val="left" w:pos="400"/>
        </w:tabs>
        <w:spacing w:before="240" w:after="0" w:line="240" w:lineRule="auto"/>
        <w:ind w:left="442" w:leftChars="200" w:right="-103" w:rightChars="-47" w:hanging="2"/>
        <w:contextualSpacing/>
        <w:jc w:val="right"/>
        <w:rPr>
          <w:rFonts w:ascii="Traditional Arabic" w:hAnsi="Traditional Arabic" w:cs="Traditional Arabic"/>
          <w:sz w:val="32"/>
          <w:szCs w:val="32"/>
          <w:lang w:val="en-US"/>
        </w:rPr>
      </w:pPr>
      <w:r>
        <w:rPr>
          <w:rFonts w:ascii="Traditional Arabic" w:hAnsi="Traditional Arabic" w:cs="Traditional Arabic"/>
          <w:sz w:val="32"/>
          <w:szCs w:val="32"/>
          <w:rtl/>
        </w:rPr>
        <w:t>العفو سبب من أسباب سقوط العقوبة وهو إما أن يكون من المجنى عليه أو وليه ، وإما أن يكون من ولي الأمر</w:t>
      </w:r>
      <w:r>
        <w:rPr>
          <w:rFonts w:ascii="Traditional Arabic" w:hAnsi="Traditional Arabic" w:cs="Traditional Arabic"/>
          <w:sz w:val="32"/>
          <w:szCs w:val="32"/>
          <w:lang w:val="en-US"/>
        </w:rPr>
        <w:t xml:space="preserve"> </w:t>
      </w:r>
    </w:p>
    <w:p>
      <w:pPr>
        <w:pStyle w:val="6"/>
        <w:spacing w:after="0" w:line="240" w:lineRule="auto"/>
        <w:ind w:left="1100" w:leftChars="500" w:right="-103" w:rightChars="-47"/>
        <w:contextualSpacing/>
        <w:jc w:val="both"/>
        <w:rPr>
          <w:i/>
          <w:iCs/>
          <w:sz w:val="22"/>
          <w:szCs w:val="22"/>
        </w:rPr>
      </w:pPr>
      <w:r>
        <w:rPr>
          <w:i/>
          <w:iCs/>
          <w:sz w:val="22"/>
          <w:szCs w:val="22"/>
        </w:rPr>
        <w:t>“Pengampunan dalam Fiqh Jinayah memiliki pertimbangan yang tergantung pada jenis pelanggaran pidana yang dilakukan”.</w:t>
      </w:r>
    </w:p>
    <w:p>
      <w:pPr>
        <w:pStyle w:val="6"/>
        <w:spacing w:after="0" w:line="240" w:lineRule="auto"/>
        <w:ind w:right="-103" w:rightChars="-47"/>
        <w:contextualSpacing/>
        <w:jc w:val="both"/>
        <w:rPr>
          <w:i/>
          <w:iCs/>
          <w:sz w:val="22"/>
          <w:szCs w:val="22"/>
        </w:rPr>
      </w:pPr>
    </w:p>
    <w:p>
      <w:pPr>
        <w:pStyle w:val="5"/>
        <w:numPr>
          <w:ilvl w:val="6"/>
          <w:numId w:val="28"/>
        </w:numPr>
        <w:ind w:left="709" w:hanging="283"/>
      </w:pPr>
      <w:bookmarkStart w:id="24" w:name="_Toc199801672"/>
      <w:r>
        <w:t>Dasar Hukum Maaf</w:t>
      </w:r>
      <w:bookmarkEnd w:id="24"/>
    </w:p>
    <w:p>
      <w:pPr>
        <w:numPr>
          <w:ilvl w:val="0"/>
          <w:numId w:val="29"/>
        </w:numPr>
        <w:spacing w:after="0" w:line="312" w:lineRule="auto"/>
        <w:ind w:left="1245" w:leftChars="400" w:right="-103" w:rightChars="-47" w:hanging="365" w:hangingChars="166"/>
        <w:contextualSpacing/>
        <w:jc w:val="both"/>
        <w:rPr>
          <w:rFonts w:ascii="Times New Roman" w:hAnsi="Times New Roman" w:cs="Times New Roman"/>
        </w:rPr>
      </w:pPr>
      <w:r>
        <w:rPr>
          <w:rFonts w:ascii="Times New Roman" w:hAnsi="Times New Roman" w:cs="Times New Roman"/>
        </w:rPr>
        <w:t>Al Qur’an</w:t>
      </w:r>
    </w:p>
    <w:p>
      <w:pPr>
        <w:tabs>
          <w:tab w:val="left" w:pos="3994"/>
        </w:tabs>
        <w:spacing w:before="240" w:after="0" w:line="312" w:lineRule="auto"/>
        <w:ind w:left="1082" w:leftChars="492" w:right="-103" w:rightChars="-47" w:firstLine="563" w:firstLineChars="256"/>
        <w:contextualSpacing/>
        <w:jc w:val="both"/>
        <w:rPr>
          <w:rFonts w:ascii="Times New Roman" w:hAnsi="Times New Roman" w:cs="Times New Roman"/>
        </w:rPr>
      </w:pPr>
      <w:r>
        <w:rPr>
          <w:rFonts w:ascii="Times New Roman" w:hAnsi="Times New Roman" w:cs="Times New Roman"/>
        </w:rPr>
        <w:t>Al Baqarah Ayat 178</w:t>
      </w:r>
      <w:r>
        <w:rPr>
          <w:rFonts w:ascii="Times New Roman" w:hAnsi="Times New Roman" w:cs="Times New Roman"/>
        </w:rPr>
        <w:tab/>
      </w:r>
    </w:p>
    <w:p>
      <w:pPr>
        <w:tabs>
          <w:tab w:val="left" w:pos="3994"/>
        </w:tabs>
        <w:bidi/>
        <w:spacing w:before="240" w:after="0" w:line="240" w:lineRule="auto"/>
        <w:ind w:left="-169" w:leftChars="-77" w:right="1133" w:rightChars="515" w:firstLine="1"/>
        <w:contextualSpacing/>
        <w:jc w:val="both"/>
        <w:rPr>
          <w:rFonts w:ascii="Traditional Arabic" w:hAnsi="Traditional Arabic" w:cs="Traditional Arabic"/>
          <w:i/>
          <w:sz w:val="32"/>
          <w:szCs w:val="32"/>
          <w:lang w:val="en-US"/>
        </w:rPr>
      </w:pPr>
      <w:r>
        <w:rPr>
          <w:rFonts w:ascii="Traditional Arabic" w:hAnsi="Traditional Arabic" w:cs="Traditional Arabic"/>
          <w:sz w:val="32"/>
          <w:szCs w:val="32"/>
        </w:rPr>
        <w:t>أَيُّهَا ٱلَّذِينَ ءَامَنُوا۟ كُتِبَ عَلَيْكُمُ ٱلْقِصَاصُ فِى ٱلْقَتْلَىۖ ٱلْحُرُّ بِٱلْحُرِّ وَٱلْعَبْدُ بِٱلْعَبْدِ وَٱلْأُنثَىٰ بِٱلْأُنثَىٰۚ فَمَنْ عُفِىَ لَهُۥ مِنْ أَخِيهِ شَىْءٌ فَٱتِّبَاعٌۢ بِٱلْمَعْرُوفِ وَأَدَآءٌ إِلَيْهِ بِإِحْسَٰنٍۗ ذَٰلِكَ تَخْفِيفٌ مِّن رَّبِّكُمْ وَرَحْمَةٌۗ فَمَنِ ٱعْتَدَىٰ بَعْدَ ذَٰلِكَ فَلَهُۥ عَذَابٌ أَلِيمٌ</w:t>
      </w:r>
    </w:p>
    <w:p>
      <w:pPr>
        <w:spacing w:before="240" w:after="0" w:line="240" w:lineRule="auto"/>
        <w:ind w:left="1082" w:leftChars="492" w:right="-103" w:rightChars="-47" w:firstLine="563" w:firstLineChars="256"/>
        <w:contextualSpacing/>
        <w:jc w:val="both"/>
        <w:rPr>
          <w:rFonts w:ascii="Times New Roman" w:hAnsi="Times New Roman" w:cs="Times New Roman"/>
        </w:rPr>
      </w:pPr>
      <w:r>
        <w:rPr>
          <w:rFonts w:ascii="Times New Roman" w:hAnsi="Times New Roman" w:cs="Times New Roman"/>
          <w:i/>
        </w:rPr>
        <w:t xml:space="preserve">“Hai orang-orang yang beriman, diwajibkan atas </w:t>
      </w:r>
      <w:r>
        <w:rPr>
          <w:rFonts w:ascii="Times New Roman" w:hAnsi="Times New Roman" w:cs="Times New Roman"/>
          <w:i/>
          <w:lang w:val="en-US"/>
        </w:rPr>
        <w:t xml:space="preserve">kamu </w:t>
      </w:r>
      <w:r>
        <w:rPr>
          <w:rFonts w:ascii="Times New Roman" w:hAnsi="Times New Roman" w:cs="Times New Roman"/>
          <w:i/>
        </w:rPr>
        <w:t>qishaash</w:t>
      </w:r>
      <w:r>
        <w:rPr>
          <w:rFonts w:ascii="Times New Roman" w:hAnsi="Times New Roman" w:cs="Times New Roman"/>
          <w:i/>
          <w:spacing w:val="-57"/>
        </w:rPr>
        <w:t xml:space="preserve"> </w:t>
      </w:r>
      <w:r>
        <w:rPr>
          <w:rFonts w:ascii="Times New Roman" w:hAnsi="Times New Roman" w:cs="Times New Roman"/>
          <w:i/>
        </w:rPr>
        <w:t>berkenaan dengan orang-orang yang dibunuh; orang merdeka dengan orang</w:t>
      </w:r>
      <w:r>
        <w:rPr>
          <w:rFonts w:ascii="Times New Roman" w:hAnsi="Times New Roman" w:cs="Times New Roman"/>
          <w:i/>
          <w:spacing w:val="1"/>
        </w:rPr>
        <w:t xml:space="preserve"> </w:t>
      </w:r>
      <w:r>
        <w:rPr>
          <w:rFonts w:ascii="Times New Roman" w:hAnsi="Times New Roman" w:cs="Times New Roman"/>
          <w:i/>
        </w:rPr>
        <w:t>merdeka,</w:t>
      </w:r>
      <w:r>
        <w:rPr>
          <w:rFonts w:ascii="Times New Roman" w:hAnsi="Times New Roman" w:cs="Times New Roman"/>
          <w:i/>
          <w:spacing w:val="1"/>
        </w:rPr>
        <w:t xml:space="preserve"> </w:t>
      </w:r>
      <w:r>
        <w:rPr>
          <w:rFonts w:ascii="Times New Roman" w:hAnsi="Times New Roman" w:cs="Times New Roman"/>
          <w:i/>
        </w:rPr>
        <w:t>hamba</w:t>
      </w:r>
      <w:r>
        <w:rPr>
          <w:rFonts w:ascii="Times New Roman" w:hAnsi="Times New Roman" w:cs="Times New Roman"/>
          <w:i/>
          <w:spacing w:val="1"/>
        </w:rPr>
        <w:t xml:space="preserve"> </w:t>
      </w:r>
      <w:r>
        <w:rPr>
          <w:rFonts w:ascii="Times New Roman" w:hAnsi="Times New Roman" w:cs="Times New Roman"/>
          <w:i/>
        </w:rPr>
        <w:t>dengan</w:t>
      </w:r>
      <w:r>
        <w:rPr>
          <w:rFonts w:ascii="Times New Roman" w:hAnsi="Times New Roman" w:cs="Times New Roman"/>
          <w:i/>
          <w:spacing w:val="1"/>
        </w:rPr>
        <w:t xml:space="preserve"> </w:t>
      </w:r>
      <w:r>
        <w:rPr>
          <w:rFonts w:ascii="Times New Roman" w:hAnsi="Times New Roman" w:cs="Times New Roman"/>
          <w:i/>
        </w:rPr>
        <w:t>hamba,</w:t>
      </w:r>
      <w:r>
        <w:rPr>
          <w:rFonts w:ascii="Times New Roman" w:hAnsi="Times New Roman" w:cs="Times New Roman"/>
          <w:i/>
          <w:spacing w:val="1"/>
        </w:rPr>
        <w:t xml:space="preserve"> </w:t>
      </w:r>
      <w:r>
        <w:rPr>
          <w:rFonts w:ascii="Times New Roman" w:hAnsi="Times New Roman" w:cs="Times New Roman"/>
          <w:i/>
        </w:rPr>
        <w:t>dan</w:t>
      </w:r>
      <w:r>
        <w:rPr>
          <w:rFonts w:ascii="Times New Roman" w:hAnsi="Times New Roman" w:cs="Times New Roman"/>
          <w:i/>
          <w:spacing w:val="1"/>
        </w:rPr>
        <w:t xml:space="preserve"> </w:t>
      </w:r>
      <w:r>
        <w:rPr>
          <w:rFonts w:ascii="Times New Roman" w:hAnsi="Times New Roman" w:cs="Times New Roman"/>
          <w:i/>
        </w:rPr>
        <w:t>wanita</w:t>
      </w:r>
      <w:r>
        <w:rPr>
          <w:rFonts w:ascii="Times New Roman" w:hAnsi="Times New Roman" w:cs="Times New Roman"/>
          <w:i/>
          <w:spacing w:val="1"/>
        </w:rPr>
        <w:t xml:space="preserve"> </w:t>
      </w:r>
      <w:r>
        <w:rPr>
          <w:rFonts w:ascii="Times New Roman" w:hAnsi="Times New Roman" w:cs="Times New Roman"/>
          <w:i/>
        </w:rPr>
        <w:t>dengan</w:t>
      </w:r>
      <w:r>
        <w:rPr>
          <w:rFonts w:ascii="Times New Roman" w:hAnsi="Times New Roman" w:cs="Times New Roman"/>
          <w:i/>
          <w:spacing w:val="1"/>
        </w:rPr>
        <w:t xml:space="preserve"> </w:t>
      </w:r>
      <w:r>
        <w:rPr>
          <w:rFonts w:ascii="Times New Roman" w:hAnsi="Times New Roman" w:cs="Times New Roman"/>
          <w:i/>
        </w:rPr>
        <w:t>wanita.</w:t>
      </w:r>
      <w:r>
        <w:rPr>
          <w:rFonts w:ascii="Times New Roman" w:hAnsi="Times New Roman" w:cs="Times New Roman"/>
          <w:i/>
          <w:spacing w:val="1"/>
        </w:rPr>
        <w:t xml:space="preserve"> </w:t>
      </w:r>
      <w:r>
        <w:rPr>
          <w:rFonts w:ascii="Times New Roman" w:hAnsi="Times New Roman" w:cs="Times New Roman"/>
          <w:i/>
        </w:rPr>
        <w:t>Maka</w:t>
      </w:r>
      <w:r>
        <w:rPr>
          <w:rFonts w:ascii="Times New Roman" w:hAnsi="Times New Roman" w:cs="Times New Roman"/>
          <w:i/>
          <w:spacing w:val="1"/>
        </w:rPr>
        <w:t xml:space="preserve"> </w:t>
      </w:r>
      <w:r>
        <w:rPr>
          <w:rFonts w:ascii="Times New Roman" w:hAnsi="Times New Roman" w:cs="Times New Roman"/>
          <w:i/>
        </w:rPr>
        <w:t>barangsiapa</w:t>
      </w:r>
      <w:r>
        <w:rPr>
          <w:rFonts w:ascii="Times New Roman" w:hAnsi="Times New Roman" w:cs="Times New Roman"/>
          <w:i/>
          <w:spacing w:val="1"/>
        </w:rPr>
        <w:t xml:space="preserve"> </w:t>
      </w:r>
      <w:r>
        <w:rPr>
          <w:rFonts w:ascii="Times New Roman" w:hAnsi="Times New Roman" w:cs="Times New Roman"/>
          <w:i/>
        </w:rPr>
        <w:t>yang</w:t>
      </w:r>
      <w:r>
        <w:rPr>
          <w:rFonts w:ascii="Times New Roman" w:hAnsi="Times New Roman" w:cs="Times New Roman"/>
          <w:i/>
          <w:spacing w:val="1"/>
        </w:rPr>
        <w:t xml:space="preserve"> </w:t>
      </w:r>
      <w:r>
        <w:rPr>
          <w:rFonts w:ascii="Times New Roman" w:hAnsi="Times New Roman" w:cs="Times New Roman"/>
          <w:i/>
        </w:rPr>
        <w:t>mendapat</w:t>
      </w:r>
      <w:r>
        <w:rPr>
          <w:rFonts w:ascii="Times New Roman" w:hAnsi="Times New Roman" w:cs="Times New Roman"/>
          <w:i/>
          <w:spacing w:val="1"/>
        </w:rPr>
        <w:t xml:space="preserve"> </w:t>
      </w:r>
      <w:r>
        <w:rPr>
          <w:rFonts w:ascii="Times New Roman" w:hAnsi="Times New Roman" w:cs="Times New Roman"/>
          <w:i/>
        </w:rPr>
        <w:t>suatu</w:t>
      </w:r>
      <w:r>
        <w:rPr>
          <w:rFonts w:ascii="Times New Roman" w:hAnsi="Times New Roman" w:cs="Times New Roman"/>
          <w:i/>
          <w:spacing w:val="1"/>
        </w:rPr>
        <w:t xml:space="preserve"> </w:t>
      </w:r>
      <w:r>
        <w:rPr>
          <w:rFonts w:ascii="Times New Roman" w:hAnsi="Times New Roman" w:cs="Times New Roman"/>
          <w:i/>
        </w:rPr>
        <w:t>pemaafan</w:t>
      </w:r>
      <w:r>
        <w:rPr>
          <w:rFonts w:ascii="Times New Roman" w:hAnsi="Times New Roman" w:cs="Times New Roman"/>
          <w:i/>
          <w:spacing w:val="1"/>
        </w:rPr>
        <w:t xml:space="preserve"> </w:t>
      </w:r>
      <w:r>
        <w:rPr>
          <w:rFonts w:ascii="Times New Roman" w:hAnsi="Times New Roman" w:cs="Times New Roman"/>
          <w:i/>
        </w:rPr>
        <w:t>dari</w:t>
      </w:r>
      <w:r>
        <w:rPr>
          <w:rFonts w:ascii="Times New Roman" w:hAnsi="Times New Roman" w:cs="Times New Roman"/>
          <w:i/>
          <w:spacing w:val="1"/>
        </w:rPr>
        <w:t xml:space="preserve"> </w:t>
      </w:r>
      <w:r>
        <w:rPr>
          <w:rFonts w:ascii="Times New Roman" w:hAnsi="Times New Roman" w:cs="Times New Roman"/>
          <w:i/>
        </w:rPr>
        <w:t>saudaranya,</w:t>
      </w:r>
      <w:r>
        <w:rPr>
          <w:rFonts w:ascii="Times New Roman" w:hAnsi="Times New Roman" w:cs="Times New Roman"/>
          <w:i/>
          <w:spacing w:val="1"/>
        </w:rPr>
        <w:t xml:space="preserve"> </w:t>
      </w:r>
      <w:r>
        <w:rPr>
          <w:rFonts w:ascii="Times New Roman" w:hAnsi="Times New Roman" w:cs="Times New Roman"/>
          <w:i/>
        </w:rPr>
        <w:t>hendaklah</w:t>
      </w:r>
      <w:r>
        <w:rPr>
          <w:rFonts w:ascii="Times New Roman" w:hAnsi="Times New Roman" w:cs="Times New Roman"/>
          <w:i/>
          <w:spacing w:val="1"/>
        </w:rPr>
        <w:t xml:space="preserve"> </w:t>
      </w:r>
      <w:r>
        <w:rPr>
          <w:rFonts w:ascii="Times New Roman" w:hAnsi="Times New Roman" w:cs="Times New Roman"/>
          <w:i/>
        </w:rPr>
        <w:t>(yang memaafkan) mengikuti dengan cara yang baik, dan hendaklah (yang</w:t>
      </w:r>
      <w:r>
        <w:rPr>
          <w:rFonts w:ascii="Times New Roman" w:hAnsi="Times New Roman" w:cs="Times New Roman"/>
          <w:i/>
          <w:spacing w:val="1"/>
        </w:rPr>
        <w:t xml:space="preserve"> </w:t>
      </w:r>
      <w:r>
        <w:rPr>
          <w:rFonts w:ascii="Times New Roman" w:hAnsi="Times New Roman" w:cs="Times New Roman"/>
          <w:i/>
        </w:rPr>
        <w:t>diberi maaf) membayar (diat) kepada yang memberi maaf dengan cara yang</w:t>
      </w:r>
      <w:r>
        <w:rPr>
          <w:rFonts w:ascii="Times New Roman" w:hAnsi="Times New Roman" w:cs="Times New Roman"/>
          <w:i/>
          <w:spacing w:val="1"/>
        </w:rPr>
        <w:t xml:space="preserve"> </w:t>
      </w:r>
      <w:r>
        <w:rPr>
          <w:rFonts w:ascii="Times New Roman" w:hAnsi="Times New Roman" w:cs="Times New Roman"/>
          <w:i/>
        </w:rPr>
        <w:t xml:space="preserve">baik (pula). Yang demikian itu adalah suatu keringanan dari Tuhan </w:t>
      </w:r>
      <w:r>
        <w:rPr>
          <w:rFonts w:ascii="Times New Roman" w:hAnsi="Times New Roman" w:cs="Times New Roman"/>
          <w:i/>
          <w:lang w:val="en-US"/>
        </w:rPr>
        <w:t>kamuda</w:t>
      </w:r>
      <w:r>
        <w:rPr>
          <w:rFonts w:ascii="Times New Roman" w:hAnsi="Times New Roman" w:cs="Times New Roman"/>
          <w:i/>
        </w:rPr>
        <w:t>n</w:t>
      </w:r>
      <w:r>
        <w:rPr>
          <w:rFonts w:ascii="Times New Roman" w:hAnsi="Times New Roman" w:cs="Times New Roman"/>
          <w:i/>
          <w:spacing w:val="1"/>
        </w:rPr>
        <w:t xml:space="preserve"> </w:t>
      </w:r>
      <w:r>
        <w:rPr>
          <w:rFonts w:ascii="Times New Roman" w:hAnsi="Times New Roman" w:cs="Times New Roman"/>
          <w:i/>
        </w:rPr>
        <w:t>suatu rahmat. Barangsiapa yang melampaui batas sesudah itu, maka baginya</w:t>
      </w:r>
      <w:r>
        <w:rPr>
          <w:rFonts w:ascii="Times New Roman" w:hAnsi="Times New Roman" w:cs="Times New Roman"/>
          <w:i/>
          <w:spacing w:val="1"/>
        </w:rPr>
        <w:t xml:space="preserve"> </w:t>
      </w:r>
      <w:r>
        <w:rPr>
          <w:rFonts w:ascii="Times New Roman" w:hAnsi="Times New Roman" w:cs="Times New Roman"/>
          <w:i/>
        </w:rPr>
        <w:t>siksa</w:t>
      </w:r>
      <w:r>
        <w:rPr>
          <w:rFonts w:ascii="Times New Roman" w:hAnsi="Times New Roman" w:cs="Times New Roman"/>
          <w:i/>
          <w:spacing w:val="1"/>
        </w:rPr>
        <w:t xml:space="preserve"> </w:t>
      </w:r>
      <w:r>
        <w:rPr>
          <w:rFonts w:ascii="Times New Roman" w:hAnsi="Times New Roman" w:cs="Times New Roman"/>
          <w:i/>
        </w:rPr>
        <w:t>yang</w:t>
      </w:r>
      <w:r>
        <w:rPr>
          <w:rFonts w:ascii="Times New Roman" w:hAnsi="Times New Roman" w:cs="Times New Roman"/>
          <w:i/>
          <w:spacing w:val="2"/>
        </w:rPr>
        <w:t xml:space="preserve"> </w:t>
      </w:r>
      <w:r>
        <w:rPr>
          <w:rFonts w:ascii="Times New Roman" w:hAnsi="Times New Roman" w:cs="Times New Roman"/>
          <w:i/>
        </w:rPr>
        <w:t>sangat</w:t>
      </w:r>
      <w:r>
        <w:rPr>
          <w:rFonts w:ascii="Times New Roman" w:hAnsi="Times New Roman" w:cs="Times New Roman"/>
          <w:i/>
          <w:spacing w:val="1"/>
        </w:rPr>
        <w:t xml:space="preserve"> </w:t>
      </w:r>
      <w:r>
        <w:rPr>
          <w:rFonts w:ascii="Times New Roman" w:hAnsi="Times New Roman" w:cs="Times New Roman"/>
          <w:i/>
        </w:rPr>
        <w:t>pedih”</w:t>
      </w:r>
      <w:r>
        <w:rPr>
          <w:rFonts w:ascii="Times New Roman" w:hAnsi="Times New Roman" w:cs="Times New Roman"/>
        </w:rPr>
        <w:t>.</w:t>
      </w:r>
      <w:r>
        <w:rPr>
          <w:rFonts w:ascii="Times New Roman" w:hAnsi="Times New Roman" w:cs="Times New Roman"/>
          <w:spacing w:val="4"/>
        </w:rPr>
        <w:t xml:space="preserve"> </w:t>
      </w:r>
      <w:r>
        <w:rPr>
          <w:rFonts w:ascii="Times New Roman" w:hAnsi="Times New Roman" w:cs="Times New Roman"/>
        </w:rPr>
        <w:t>(QS</w:t>
      </w:r>
      <w:r>
        <w:rPr>
          <w:rFonts w:ascii="Times New Roman" w:hAnsi="Times New Roman" w:cs="Times New Roman"/>
          <w:spacing w:val="1"/>
        </w:rPr>
        <w:t xml:space="preserve"> </w:t>
      </w:r>
      <w:r>
        <w:rPr>
          <w:rFonts w:ascii="Times New Roman" w:hAnsi="Times New Roman" w:cs="Times New Roman"/>
        </w:rPr>
        <w:t>Al-Baqarah:</w:t>
      </w:r>
      <w:r>
        <w:rPr>
          <w:rFonts w:ascii="Times New Roman" w:hAnsi="Times New Roman" w:cs="Times New Roman"/>
          <w:spacing w:val="2"/>
        </w:rPr>
        <w:t xml:space="preserve"> </w:t>
      </w:r>
      <w:r>
        <w:rPr>
          <w:rFonts w:ascii="Times New Roman" w:hAnsi="Times New Roman" w:cs="Times New Roman"/>
        </w:rPr>
        <w:t>178)</w:t>
      </w:r>
      <w:r>
        <w:rPr>
          <w:rStyle w:val="17"/>
          <w:rFonts w:ascii="Times New Roman" w:hAnsi="Times New Roman" w:cs="Times New Roman"/>
        </w:rPr>
        <w:footnoteReference w:id="43"/>
      </w:r>
    </w:p>
    <w:p>
      <w:pPr>
        <w:pStyle w:val="6"/>
        <w:spacing w:before="240" w:after="0" w:line="312" w:lineRule="auto"/>
        <w:ind w:left="1082" w:leftChars="492" w:right="-103" w:rightChars="-47" w:firstLine="563" w:firstLineChars="256"/>
        <w:contextualSpacing/>
        <w:jc w:val="both"/>
        <w:rPr>
          <w:sz w:val="22"/>
          <w:szCs w:val="22"/>
        </w:rPr>
      </w:pPr>
      <w:r>
        <w:rPr>
          <w:sz w:val="22"/>
          <w:szCs w:val="22"/>
        </w:rPr>
        <w:t xml:space="preserve">Ayat di atas menjelaskan bahwa </w:t>
      </w:r>
      <w:r>
        <w:rPr>
          <w:sz w:val="22"/>
          <w:szCs w:val="22"/>
          <w:lang w:val="id-ID"/>
        </w:rPr>
        <w:t>Allah</w:t>
      </w:r>
      <w:r>
        <w:rPr>
          <w:sz w:val="22"/>
          <w:szCs w:val="22"/>
        </w:rPr>
        <w:t xml:space="preserve"> telah memberikan wewenang kepada keluarga atau ahli waris korban, perlu digaris bawahi tetapi tidak b</w:t>
      </w:r>
      <w:r>
        <w:rPr>
          <w:sz w:val="22"/>
          <w:szCs w:val="22"/>
          <w:lang w:val="id-ID"/>
        </w:rPr>
        <w:t>o</w:t>
      </w:r>
      <w:r>
        <w:rPr>
          <w:sz w:val="22"/>
          <w:szCs w:val="22"/>
        </w:rPr>
        <w:t xml:space="preserve">leh melampaui batas dalam pelaksanaan </w:t>
      </w:r>
      <w:r>
        <w:rPr>
          <w:i/>
          <w:iCs/>
          <w:sz w:val="22"/>
          <w:szCs w:val="22"/>
        </w:rPr>
        <w:t xml:space="preserve">qishas. </w:t>
      </w:r>
      <w:r>
        <w:rPr>
          <w:sz w:val="22"/>
          <w:szCs w:val="22"/>
        </w:rPr>
        <w:t>Hal ini menjadi justifikasi ahli waris</w:t>
      </w:r>
      <w:r>
        <w:rPr>
          <w:sz w:val="22"/>
          <w:szCs w:val="22"/>
          <w:lang w:val="en-US"/>
        </w:rPr>
        <w:t xml:space="preserve"> </w:t>
      </w:r>
      <w:r>
        <w:rPr>
          <w:sz w:val="22"/>
          <w:szCs w:val="22"/>
        </w:rPr>
        <w:t xml:space="preserve">untuk bisa menunutut bisa berupa dengan diyat atau </w:t>
      </w:r>
      <w:r>
        <w:rPr>
          <w:i/>
          <w:iCs/>
          <w:sz w:val="22"/>
          <w:szCs w:val="22"/>
        </w:rPr>
        <w:t>qishas</w:t>
      </w:r>
      <w:r>
        <w:rPr>
          <w:sz w:val="22"/>
          <w:szCs w:val="22"/>
        </w:rPr>
        <w:t>. Dari sini timbul prinsip wewenang terhadap tindak pidana pembunuhan ahli waris jarimah pembunuhan</w:t>
      </w:r>
      <w:r>
        <w:rPr>
          <w:sz w:val="22"/>
          <w:szCs w:val="22"/>
          <w:lang w:val="en-US"/>
        </w:rPr>
        <w:t>.</w:t>
      </w:r>
      <w:r>
        <w:rPr>
          <w:sz w:val="22"/>
          <w:szCs w:val="22"/>
        </w:rPr>
        <w:t xml:space="preserve"> </w:t>
      </w:r>
      <w:r>
        <w:rPr>
          <w:sz w:val="22"/>
          <w:szCs w:val="22"/>
          <w:lang w:val="en-US"/>
        </w:rPr>
        <w:t>D</w:t>
      </w:r>
      <w:r>
        <w:rPr>
          <w:sz w:val="22"/>
          <w:szCs w:val="22"/>
        </w:rPr>
        <w:t xml:space="preserve">i mana yang membalas tuntutan tersebut bukan hanya dari penguasa, bisa dari ahli waris. Tergantung pada pengajuan bisa dengan </w:t>
      </w:r>
      <w:r>
        <w:rPr>
          <w:i/>
          <w:iCs/>
          <w:sz w:val="22"/>
          <w:szCs w:val="22"/>
        </w:rPr>
        <w:t xml:space="preserve">diyat </w:t>
      </w:r>
      <w:r>
        <w:rPr>
          <w:sz w:val="22"/>
          <w:szCs w:val="22"/>
        </w:rPr>
        <w:t xml:space="preserve">atau </w:t>
      </w:r>
      <w:r>
        <w:rPr>
          <w:i/>
          <w:iCs/>
          <w:sz w:val="22"/>
          <w:szCs w:val="22"/>
        </w:rPr>
        <w:t xml:space="preserve">qishas. </w:t>
      </w:r>
      <w:r>
        <w:rPr>
          <w:sz w:val="22"/>
          <w:szCs w:val="22"/>
        </w:rPr>
        <w:t xml:space="preserve">Dalam hal </w:t>
      </w:r>
      <w:r>
        <w:rPr>
          <w:i/>
          <w:iCs/>
          <w:sz w:val="22"/>
          <w:szCs w:val="22"/>
        </w:rPr>
        <w:t xml:space="preserve"> </w:t>
      </w:r>
      <w:r>
        <w:rPr>
          <w:sz w:val="22"/>
          <w:szCs w:val="22"/>
        </w:rPr>
        <w:t>ini negara tidak berhak untuk memberikan ampunan. Kecuali dari ahli  waris memberikan wewenang tersebut kepada negara atau penguasa.</w:t>
      </w:r>
    </w:p>
    <w:p>
      <w:pPr>
        <w:pStyle w:val="6"/>
        <w:keepNext w:val="0"/>
        <w:keepLines w:val="0"/>
        <w:pageBreakBefore w:val="0"/>
        <w:widowControl/>
        <w:kinsoku/>
        <w:wordWrap/>
        <w:overflowPunct/>
        <w:topLinePunct w:val="0"/>
        <w:autoSpaceDE/>
        <w:autoSpaceDN/>
        <w:bidi w:val="0"/>
        <w:adjustRightInd/>
        <w:snapToGrid/>
        <w:spacing w:after="0" w:line="312" w:lineRule="auto"/>
        <w:ind w:left="1082" w:leftChars="492" w:right="-103" w:rightChars="-47" w:firstLine="563" w:firstLineChars="256"/>
        <w:contextualSpacing/>
        <w:jc w:val="both"/>
        <w:textAlignment w:val="auto"/>
        <w:outlineLvl w:val="9"/>
        <w:rPr>
          <w:sz w:val="22"/>
          <w:szCs w:val="22"/>
        </w:rPr>
      </w:pPr>
      <w:r>
        <w:rPr>
          <w:sz w:val="22"/>
          <w:szCs w:val="22"/>
        </w:rPr>
        <w:t xml:space="preserve">Dalam Qur’an </w:t>
      </w:r>
      <w:r>
        <w:rPr>
          <w:sz w:val="22"/>
          <w:szCs w:val="22"/>
          <w:lang w:val="en-US"/>
        </w:rPr>
        <w:t>Surat</w:t>
      </w:r>
      <w:r>
        <w:rPr>
          <w:spacing w:val="2"/>
          <w:sz w:val="22"/>
          <w:szCs w:val="22"/>
        </w:rPr>
        <w:t xml:space="preserve"> </w:t>
      </w:r>
      <w:r>
        <w:rPr>
          <w:sz w:val="22"/>
          <w:szCs w:val="22"/>
        </w:rPr>
        <w:t>Al-A’raf</w:t>
      </w:r>
      <w:r>
        <w:rPr>
          <w:spacing w:val="-7"/>
          <w:sz w:val="22"/>
          <w:szCs w:val="22"/>
        </w:rPr>
        <w:t xml:space="preserve"> </w:t>
      </w:r>
      <w:r>
        <w:rPr>
          <w:sz w:val="22"/>
          <w:szCs w:val="22"/>
        </w:rPr>
        <w:t>Ayat</w:t>
      </w:r>
      <w:r>
        <w:rPr>
          <w:spacing w:val="7"/>
          <w:sz w:val="22"/>
          <w:szCs w:val="22"/>
        </w:rPr>
        <w:t xml:space="preserve"> </w:t>
      </w:r>
      <w:r>
        <w:rPr>
          <w:sz w:val="22"/>
          <w:szCs w:val="22"/>
        </w:rPr>
        <w:t>199</w:t>
      </w:r>
      <w:r>
        <w:rPr>
          <w:spacing w:val="2"/>
          <w:sz w:val="22"/>
          <w:szCs w:val="22"/>
        </w:rPr>
        <w:t xml:space="preserve">  </w:t>
      </w:r>
      <w:r>
        <w:rPr>
          <w:spacing w:val="2"/>
          <w:sz w:val="22"/>
          <w:szCs w:val="22"/>
          <w:lang w:val="en-US"/>
        </w:rPr>
        <w:t>Allah</w:t>
      </w:r>
      <w:r>
        <w:rPr>
          <w:spacing w:val="2"/>
          <w:sz w:val="22"/>
          <w:szCs w:val="22"/>
        </w:rPr>
        <w:t xml:space="preserve"> juga menganjurkan untuk lebih baik memberi maaf dari pada membalas perbuatan tersebut dengan kejahatan.</w:t>
      </w:r>
      <w:r>
        <w:rPr>
          <w:i/>
        </w:rPr>
        <w:t xml:space="preserve"> “Jadilah engkau pemaaf dan suruhlah orang mengerjakan yang</w:t>
      </w:r>
      <w:r>
        <w:rPr>
          <w:i/>
          <w:spacing w:val="1"/>
        </w:rPr>
        <w:t xml:space="preserve"> </w:t>
      </w:r>
      <w:r>
        <w:rPr>
          <w:i/>
        </w:rPr>
        <w:t xml:space="preserve">ma'ruf, serta berpalinglah dari pada orang-orang yang bodoh”. </w:t>
      </w:r>
    </w:p>
    <w:p>
      <w:pPr>
        <w:pStyle w:val="6"/>
        <w:keepNext w:val="0"/>
        <w:keepLines w:val="0"/>
        <w:pageBreakBefore w:val="0"/>
        <w:widowControl/>
        <w:kinsoku/>
        <w:wordWrap/>
        <w:overflowPunct/>
        <w:topLinePunct w:val="0"/>
        <w:autoSpaceDE/>
        <w:autoSpaceDN/>
        <w:bidi w:val="0"/>
        <w:adjustRightInd/>
        <w:snapToGrid/>
        <w:spacing w:before="240" w:after="0" w:line="312" w:lineRule="auto"/>
        <w:ind w:left="1082" w:leftChars="492" w:right="-103" w:rightChars="-47" w:firstLine="563" w:firstLineChars="256"/>
        <w:contextualSpacing/>
        <w:jc w:val="both"/>
        <w:textAlignment w:val="auto"/>
        <w:outlineLvl w:val="9"/>
        <w:rPr>
          <w:sz w:val="22"/>
          <w:szCs w:val="22"/>
        </w:rPr>
      </w:pPr>
      <w:r>
        <w:rPr>
          <w:sz w:val="22"/>
          <w:szCs w:val="22"/>
          <w:lang w:val="en-US"/>
        </w:rPr>
        <w:t>Allah</w:t>
      </w:r>
      <w:r>
        <w:rPr>
          <w:spacing w:val="-1"/>
          <w:sz w:val="22"/>
          <w:szCs w:val="22"/>
        </w:rPr>
        <w:t xml:space="preserve"> </w:t>
      </w:r>
      <w:r>
        <w:rPr>
          <w:sz w:val="22"/>
          <w:szCs w:val="22"/>
        </w:rPr>
        <w:t>berfirman</w:t>
      </w:r>
      <w:r>
        <w:rPr>
          <w:spacing w:val="-5"/>
          <w:sz w:val="22"/>
          <w:szCs w:val="22"/>
        </w:rPr>
        <w:t xml:space="preserve"> </w:t>
      </w:r>
      <w:r>
        <w:rPr>
          <w:sz w:val="22"/>
          <w:szCs w:val="22"/>
        </w:rPr>
        <w:t>dalam</w:t>
      </w:r>
      <w:r>
        <w:rPr>
          <w:spacing w:val="-6"/>
          <w:sz w:val="22"/>
          <w:szCs w:val="22"/>
        </w:rPr>
        <w:t xml:space="preserve"> </w:t>
      </w:r>
      <w:r>
        <w:rPr>
          <w:sz w:val="22"/>
          <w:szCs w:val="22"/>
        </w:rPr>
        <w:t>Q.S An-Nisa</w:t>
      </w:r>
      <w:r>
        <w:rPr>
          <w:spacing w:val="-2"/>
          <w:sz w:val="22"/>
          <w:szCs w:val="22"/>
        </w:rPr>
        <w:t xml:space="preserve"> </w:t>
      </w:r>
      <w:r>
        <w:rPr>
          <w:sz w:val="22"/>
          <w:szCs w:val="22"/>
        </w:rPr>
        <w:t>Ayat</w:t>
      </w:r>
      <w:r>
        <w:rPr>
          <w:spacing w:val="5"/>
          <w:sz w:val="22"/>
          <w:szCs w:val="22"/>
        </w:rPr>
        <w:t xml:space="preserve"> </w:t>
      </w:r>
      <w:r>
        <w:rPr>
          <w:sz w:val="22"/>
          <w:szCs w:val="22"/>
        </w:rPr>
        <w:t>85:</w:t>
      </w:r>
    </w:p>
    <w:p>
      <w:pPr>
        <w:pStyle w:val="6"/>
        <w:spacing w:before="240" w:after="0" w:line="312" w:lineRule="auto"/>
        <w:ind w:left="1082" w:leftChars="492" w:right="-103" w:rightChars="-47" w:firstLine="563" w:firstLineChars="256"/>
        <w:contextualSpacing/>
        <w:jc w:val="both"/>
        <w:rPr>
          <w:sz w:val="22"/>
          <w:szCs w:val="22"/>
        </w:rPr>
      </w:pPr>
    </w:p>
    <w:p>
      <w:pPr>
        <w:pStyle w:val="6"/>
        <w:bidi/>
        <w:spacing w:after="0" w:line="240" w:lineRule="auto"/>
        <w:ind w:left="-30" w:leftChars="-14" w:right="1133" w:rightChars="515" w:hanging="1"/>
        <w:contextualSpacing/>
        <w:jc w:val="both"/>
        <w:rPr>
          <w:rFonts w:ascii="Traditional Arabic" w:hAnsi="Traditional Arabic" w:cs="Traditional Arabic"/>
          <w:sz w:val="32"/>
          <w:szCs w:val="32"/>
        </w:rPr>
      </w:pPr>
      <w:r>
        <w:rPr>
          <w:rFonts w:ascii="Traditional Arabic" w:hAnsi="Traditional Arabic" w:cs="Traditional Arabic"/>
          <w:sz w:val="32"/>
          <w:szCs w:val="32"/>
          <w:rtl/>
          <w:lang w:val="en-US"/>
        </w:rPr>
        <w:t>مَّن يَشْفَعْ شَفَٰعَةً حَسَنَةً يَكُن لَّهُۥ نَصِيبٌ مِّنْهَاۖ وَمَن يَشْفَعْ شَفَٰعَةً سَيِّئَةً يَكُن لَّهُۥ كِفْلٌ مِّنْهَاۗ وَكَانَ ٱللَّهُ عَلَىٰ كُلِّ شَىْءٍ مُّقِيتًا</w:t>
      </w:r>
    </w:p>
    <w:p>
      <w:pPr>
        <w:spacing w:after="0" w:line="240" w:lineRule="auto"/>
        <w:ind w:left="1560" w:leftChars="709" w:right="-103" w:rightChars="-47"/>
        <w:contextualSpacing/>
        <w:jc w:val="both"/>
        <w:rPr>
          <w:rFonts w:ascii="Times New Roman" w:hAnsi="Times New Roman" w:cs="Times New Roman"/>
          <w:i/>
          <w:iCs/>
          <w:lang w:val="id"/>
        </w:rPr>
      </w:pPr>
      <w:r>
        <w:rPr>
          <w:rFonts w:ascii="Times New Roman" w:hAnsi="Times New Roman" w:cs="Times New Roman"/>
          <w:i/>
          <w:iCs/>
          <w:lang w:val="id"/>
        </w:rPr>
        <w:t xml:space="preserve">“Barangsiapa memberi pertolongan dengan pertolongan yang baik, niscaya dia akan memperoleh bagian dari (pahala)nya. Dan barangsiapa memberi pertolongan dengan pertolongan yang buruk, niscaya dia akan memikul bagian dari (dosa)nya. Allah Mahakuasa atas segala sesuatu.” </w:t>
      </w:r>
      <w:r>
        <w:rPr>
          <w:rFonts w:ascii="Times New Roman" w:hAnsi="Times New Roman" w:cs="Times New Roman"/>
          <w:lang w:val="id"/>
        </w:rPr>
        <w:t>(Q.S An Nisa: 85)</w:t>
      </w:r>
    </w:p>
    <w:p>
      <w:pPr>
        <w:spacing w:before="240" w:after="0" w:line="240" w:lineRule="auto"/>
        <w:ind w:left="1082" w:leftChars="492" w:right="-103" w:rightChars="-47" w:firstLine="563" w:firstLineChars="256"/>
        <w:contextualSpacing/>
        <w:jc w:val="right"/>
        <w:rPr>
          <w:rFonts w:ascii="Times New Roman" w:hAnsi="Times New Roman" w:cs="Times New Roman"/>
          <w:i/>
          <w:iCs/>
          <w:lang w:val="id"/>
        </w:rPr>
      </w:pPr>
    </w:p>
    <w:p>
      <w:pPr>
        <w:spacing w:before="240" w:after="0" w:line="312" w:lineRule="auto"/>
        <w:ind w:left="1082" w:leftChars="492" w:right="-103" w:rightChars="-47" w:firstLine="563" w:firstLineChars="256"/>
        <w:contextualSpacing/>
        <w:jc w:val="both"/>
        <w:rPr>
          <w:rFonts w:ascii="Times New Roman" w:hAnsi="Times New Roman" w:cs="Times New Roman"/>
          <w:lang w:val="id"/>
        </w:rPr>
      </w:pPr>
      <w:r>
        <w:rPr>
          <w:rFonts w:ascii="Times New Roman" w:hAnsi="Times New Roman" w:cs="Times New Roman"/>
          <w:i/>
          <w:iCs/>
          <w:lang w:val="id"/>
        </w:rPr>
        <w:t>Syafa’at</w:t>
      </w:r>
      <w:r>
        <w:rPr>
          <w:rFonts w:ascii="Times New Roman" w:hAnsi="Times New Roman" w:cs="Times New Roman"/>
          <w:spacing w:val="1"/>
          <w:lang w:val="id"/>
        </w:rPr>
        <w:t xml:space="preserve"> </w:t>
      </w:r>
      <w:r>
        <w:rPr>
          <w:rFonts w:ascii="Times New Roman" w:hAnsi="Times New Roman" w:cs="Times New Roman"/>
          <w:lang w:val="id"/>
        </w:rPr>
        <w:t>dalam</w:t>
      </w:r>
      <w:r>
        <w:rPr>
          <w:rFonts w:ascii="Times New Roman" w:hAnsi="Times New Roman" w:cs="Times New Roman"/>
          <w:spacing w:val="1"/>
          <w:lang w:val="id"/>
        </w:rPr>
        <w:t xml:space="preserve"> Surat An</w:t>
      </w:r>
      <w:r>
        <w:rPr>
          <w:rFonts w:ascii="Times New Roman" w:hAnsi="Times New Roman" w:cs="Times New Roman"/>
          <w:lang w:val="id"/>
        </w:rPr>
        <w:t>-Nisa’</w:t>
      </w:r>
      <w:r>
        <w:rPr>
          <w:rFonts w:ascii="Times New Roman" w:hAnsi="Times New Roman" w:cs="Times New Roman"/>
          <w:spacing w:val="1"/>
          <w:lang w:val="id"/>
        </w:rPr>
        <w:t xml:space="preserve"> </w:t>
      </w:r>
      <w:r>
        <w:rPr>
          <w:rFonts w:ascii="Times New Roman" w:hAnsi="Times New Roman" w:cs="Times New Roman"/>
          <w:lang w:val="id"/>
        </w:rPr>
        <w:t>Ayat</w:t>
      </w:r>
      <w:r>
        <w:rPr>
          <w:rFonts w:ascii="Times New Roman" w:hAnsi="Times New Roman" w:cs="Times New Roman"/>
          <w:spacing w:val="1"/>
          <w:lang w:val="id"/>
        </w:rPr>
        <w:t xml:space="preserve"> </w:t>
      </w:r>
      <w:r>
        <w:rPr>
          <w:rFonts w:ascii="Times New Roman" w:hAnsi="Times New Roman" w:cs="Times New Roman"/>
          <w:lang w:val="id"/>
        </w:rPr>
        <w:t xml:space="preserve">85, memberikan penjelasan bahwa supaya seorang yang telah melanggar tindak pidana, bisa mengajukan haknya sebagai umat Islam, karena tujuan atau prinsip syafa’at itu sendiri diberikan agar seseorang yang salah bisa mengakui kesalahannya, bertaubat dan dapat berbuat kebaikan lebih banyak lagi. </w:t>
      </w:r>
    </w:p>
    <w:p>
      <w:pPr>
        <w:spacing w:before="240" w:after="0" w:line="312" w:lineRule="auto"/>
        <w:ind w:left="1082" w:leftChars="492" w:right="-103" w:rightChars="-47" w:firstLine="563" w:firstLineChars="256"/>
        <w:contextualSpacing/>
        <w:jc w:val="both"/>
        <w:rPr>
          <w:rFonts w:ascii="Times New Roman" w:hAnsi="Times New Roman" w:cs="Times New Roman"/>
          <w:lang w:val="id"/>
        </w:rPr>
      </w:pPr>
      <w:r>
        <w:rPr>
          <w:rFonts w:ascii="Times New Roman" w:hAnsi="Times New Roman" w:cs="Times New Roman"/>
          <w:lang w:val="id"/>
        </w:rPr>
        <w:t>Dapatlah</w:t>
      </w:r>
      <w:r>
        <w:rPr>
          <w:rFonts w:ascii="Times New Roman" w:hAnsi="Times New Roman" w:cs="Times New Roman"/>
          <w:spacing w:val="48"/>
          <w:lang w:val="id"/>
        </w:rPr>
        <w:t xml:space="preserve"> </w:t>
      </w:r>
      <w:r>
        <w:rPr>
          <w:rFonts w:ascii="Times New Roman" w:hAnsi="Times New Roman" w:cs="Times New Roman"/>
          <w:lang w:val="id"/>
        </w:rPr>
        <w:t>dijabarkan</w:t>
      </w:r>
      <w:r>
        <w:rPr>
          <w:rFonts w:ascii="Times New Roman" w:hAnsi="Times New Roman" w:cs="Times New Roman"/>
          <w:spacing w:val="52"/>
          <w:lang w:val="id"/>
        </w:rPr>
        <w:t xml:space="preserve"> </w:t>
      </w:r>
      <w:r>
        <w:rPr>
          <w:rFonts w:ascii="Times New Roman" w:hAnsi="Times New Roman" w:cs="Times New Roman"/>
          <w:lang w:val="id"/>
        </w:rPr>
        <w:t>makna</w:t>
      </w:r>
      <w:r>
        <w:rPr>
          <w:rFonts w:ascii="Times New Roman" w:hAnsi="Times New Roman" w:cs="Times New Roman"/>
          <w:spacing w:val="52"/>
          <w:lang w:val="id"/>
        </w:rPr>
        <w:t xml:space="preserve"> </w:t>
      </w:r>
      <w:r>
        <w:rPr>
          <w:rFonts w:ascii="Times New Roman" w:hAnsi="Times New Roman" w:cs="Times New Roman"/>
          <w:lang w:val="id"/>
        </w:rPr>
        <w:t>dari</w:t>
      </w:r>
      <w:r>
        <w:rPr>
          <w:rFonts w:ascii="Times New Roman" w:hAnsi="Times New Roman" w:cs="Times New Roman"/>
          <w:spacing w:val="43"/>
          <w:lang w:val="id"/>
        </w:rPr>
        <w:t xml:space="preserve"> </w:t>
      </w:r>
      <w:r>
        <w:rPr>
          <w:rFonts w:ascii="Times New Roman" w:hAnsi="Times New Roman" w:cs="Times New Roman"/>
          <w:lang w:val="id"/>
        </w:rPr>
        <w:t>Ayat</w:t>
      </w:r>
      <w:r>
        <w:rPr>
          <w:rFonts w:ascii="Times New Roman" w:hAnsi="Times New Roman" w:cs="Times New Roman"/>
          <w:spacing w:val="58"/>
          <w:lang w:val="id"/>
        </w:rPr>
        <w:t xml:space="preserve"> </w:t>
      </w:r>
      <w:r>
        <w:rPr>
          <w:rFonts w:ascii="Times New Roman" w:hAnsi="Times New Roman" w:cs="Times New Roman"/>
          <w:lang w:val="id"/>
        </w:rPr>
        <w:t>tersebut adalah</w:t>
      </w:r>
      <w:r>
        <w:rPr>
          <w:rFonts w:ascii="Times New Roman" w:hAnsi="Times New Roman" w:cs="Times New Roman"/>
          <w:spacing w:val="48"/>
          <w:lang w:val="id"/>
        </w:rPr>
        <w:t xml:space="preserve"> </w:t>
      </w:r>
      <w:r>
        <w:rPr>
          <w:rFonts w:ascii="Times New Roman" w:hAnsi="Times New Roman" w:cs="Times New Roman"/>
          <w:lang w:val="id"/>
        </w:rPr>
        <w:t xml:space="preserve">barangsiapa yang memberikan dari saat ke saat, untuk siapa dan kapan saja </w:t>
      </w:r>
      <w:r>
        <w:rPr>
          <w:rFonts w:ascii="Times New Roman" w:hAnsi="Times New Roman" w:cs="Times New Roman"/>
          <w:i/>
          <w:iCs/>
          <w:lang w:val="id"/>
        </w:rPr>
        <w:t>syafa’at</w:t>
      </w:r>
      <w:r>
        <w:rPr>
          <w:rFonts w:ascii="Times New Roman" w:hAnsi="Times New Roman" w:cs="Times New Roman"/>
          <w:lang w:val="id"/>
        </w:rPr>
        <w:t xml:space="preserve"> yang baik,</w:t>
      </w:r>
      <w:r>
        <w:rPr>
          <w:rFonts w:ascii="Times New Roman" w:hAnsi="Times New Roman" w:cs="Times New Roman"/>
          <w:spacing w:val="1"/>
          <w:lang w:val="id"/>
        </w:rPr>
        <w:t xml:space="preserve"> </w:t>
      </w:r>
      <w:r>
        <w:rPr>
          <w:rFonts w:ascii="Times New Roman" w:hAnsi="Times New Roman" w:cs="Times New Roman"/>
          <w:lang w:val="id"/>
        </w:rPr>
        <w:t>yakni menjadi perantara sehingga orang lain dapat melaksanakan tuntunan</w:t>
      </w:r>
      <w:r>
        <w:rPr>
          <w:rFonts w:ascii="Times New Roman" w:hAnsi="Times New Roman" w:cs="Times New Roman"/>
          <w:spacing w:val="1"/>
          <w:lang w:val="id"/>
        </w:rPr>
        <w:t xml:space="preserve"> </w:t>
      </w:r>
      <w:r>
        <w:rPr>
          <w:rFonts w:ascii="Times New Roman" w:hAnsi="Times New Roman" w:cs="Times New Roman"/>
          <w:lang w:val="id"/>
        </w:rPr>
        <w:t>agama, baik dengan mengajak maupun memberikan sesuatu yang</w:t>
      </w:r>
      <w:r>
        <w:rPr>
          <w:rFonts w:ascii="Times New Roman" w:hAnsi="Times New Roman" w:cs="Times New Roman"/>
          <w:spacing w:val="1"/>
          <w:lang w:val="id"/>
        </w:rPr>
        <w:t xml:space="preserve"> </w:t>
      </w:r>
      <w:r>
        <w:rPr>
          <w:rFonts w:ascii="Times New Roman" w:hAnsi="Times New Roman" w:cs="Times New Roman"/>
          <w:lang w:val="id"/>
        </w:rPr>
        <w:t>memungkinkan orang lain dapat mengerjakan kebajikan.</w:t>
      </w:r>
      <w:r>
        <w:rPr>
          <w:rStyle w:val="17"/>
          <w:rFonts w:ascii="Times New Roman" w:hAnsi="Times New Roman" w:cs="Times New Roman"/>
        </w:rPr>
        <w:footnoteReference w:id="44"/>
      </w:r>
    </w:p>
    <w:p>
      <w:pPr>
        <w:spacing w:before="240" w:after="0" w:line="312" w:lineRule="auto"/>
        <w:ind w:left="1082" w:leftChars="492" w:right="-103" w:rightChars="-47" w:firstLine="563" w:firstLineChars="256"/>
        <w:contextualSpacing/>
        <w:jc w:val="both"/>
        <w:rPr>
          <w:rFonts w:ascii="Times New Roman" w:hAnsi="Times New Roman" w:cs="Times New Roman"/>
          <w:lang w:val="id"/>
        </w:rPr>
      </w:pPr>
    </w:p>
    <w:p>
      <w:pPr>
        <w:numPr>
          <w:ilvl w:val="0"/>
          <w:numId w:val="29"/>
        </w:numPr>
        <w:spacing w:after="0" w:line="312" w:lineRule="auto"/>
        <w:ind w:left="1229" w:leftChars="400" w:right="-103" w:rightChars="-47" w:hanging="349" w:hangingChars="159"/>
        <w:contextualSpacing/>
        <w:jc w:val="both"/>
        <w:rPr>
          <w:rFonts w:ascii="Times New Roman" w:hAnsi="Times New Roman" w:cs="Times New Roman"/>
        </w:rPr>
      </w:pPr>
      <w:r>
        <w:rPr>
          <w:rFonts w:ascii="Times New Roman" w:hAnsi="Times New Roman" w:cs="Times New Roman"/>
        </w:rPr>
        <w:t>Hadis</w:t>
      </w:r>
    </w:p>
    <w:p>
      <w:pPr>
        <w:spacing w:after="0" w:line="312" w:lineRule="auto"/>
        <w:ind w:left="1082" w:leftChars="492" w:right="-103" w:rightChars="-47" w:firstLine="563" w:firstLineChars="256"/>
        <w:contextualSpacing/>
        <w:jc w:val="both"/>
        <w:rPr>
          <w:rFonts w:ascii="Times New Roman" w:hAnsi="Times New Roman" w:cs="Times New Roman"/>
        </w:rPr>
      </w:pPr>
      <w:r>
        <w:rPr>
          <w:rFonts w:ascii="Times New Roman" w:hAnsi="Times New Roman" w:cs="Times New Roman"/>
        </w:rPr>
        <w:t>Ada sejumlah keterangan dalam beberapa Hadis terkait pengampunan,</w:t>
      </w:r>
      <w:r>
        <w:rPr>
          <w:rFonts w:ascii="Times New Roman" w:hAnsi="Times New Roman" w:cs="Times New Roman"/>
          <w:spacing w:val="1"/>
        </w:rPr>
        <w:t xml:space="preserve"> </w:t>
      </w:r>
      <w:r>
        <w:rPr>
          <w:rFonts w:ascii="Times New Roman" w:hAnsi="Times New Roman" w:cs="Times New Roman"/>
        </w:rPr>
        <w:t>yaitu</w:t>
      </w:r>
      <w:r>
        <w:rPr>
          <w:rFonts w:ascii="Times New Roman" w:hAnsi="Times New Roman" w:cs="Times New Roman"/>
          <w:spacing w:val="12"/>
        </w:rPr>
        <w:t xml:space="preserve"> </w:t>
      </w:r>
      <w:r>
        <w:rPr>
          <w:rFonts w:ascii="Times New Roman" w:hAnsi="Times New Roman" w:cs="Times New Roman"/>
        </w:rPr>
        <w:t>bahwa</w:t>
      </w:r>
      <w:r>
        <w:rPr>
          <w:rFonts w:ascii="Times New Roman" w:hAnsi="Times New Roman" w:cs="Times New Roman"/>
          <w:spacing w:val="7"/>
        </w:rPr>
        <w:t xml:space="preserve"> </w:t>
      </w:r>
      <w:r>
        <w:rPr>
          <w:rFonts w:ascii="Times New Roman" w:hAnsi="Times New Roman" w:cs="Times New Roman"/>
        </w:rPr>
        <w:t>pengampunan</w:t>
      </w:r>
      <w:r>
        <w:rPr>
          <w:rFonts w:ascii="Times New Roman" w:hAnsi="Times New Roman" w:cs="Times New Roman"/>
          <w:spacing w:val="8"/>
        </w:rPr>
        <w:t xml:space="preserve"> </w:t>
      </w:r>
      <w:r>
        <w:rPr>
          <w:rFonts w:ascii="Times New Roman" w:hAnsi="Times New Roman" w:cs="Times New Roman"/>
        </w:rPr>
        <w:t>juga</w:t>
      </w:r>
      <w:r>
        <w:rPr>
          <w:rFonts w:ascii="Times New Roman" w:hAnsi="Times New Roman" w:cs="Times New Roman"/>
          <w:spacing w:val="7"/>
        </w:rPr>
        <w:t xml:space="preserve"> </w:t>
      </w:r>
      <w:r>
        <w:rPr>
          <w:rFonts w:ascii="Times New Roman" w:hAnsi="Times New Roman" w:cs="Times New Roman"/>
        </w:rPr>
        <w:t>dianjurkan</w:t>
      </w:r>
      <w:r>
        <w:rPr>
          <w:rFonts w:ascii="Times New Roman" w:hAnsi="Times New Roman" w:cs="Times New Roman"/>
          <w:spacing w:val="3"/>
        </w:rPr>
        <w:t xml:space="preserve"> </w:t>
      </w:r>
      <w:r>
        <w:rPr>
          <w:rFonts w:ascii="Times New Roman" w:hAnsi="Times New Roman" w:cs="Times New Roman"/>
        </w:rPr>
        <w:t>dalam</w:t>
      </w:r>
      <w:r>
        <w:rPr>
          <w:rFonts w:ascii="Times New Roman" w:hAnsi="Times New Roman" w:cs="Times New Roman"/>
          <w:spacing w:val="9"/>
        </w:rPr>
        <w:t xml:space="preserve"> </w:t>
      </w:r>
      <w:r>
        <w:rPr>
          <w:rFonts w:ascii="Times New Roman" w:hAnsi="Times New Roman" w:cs="Times New Roman"/>
        </w:rPr>
        <w:t>suatu</w:t>
      </w:r>
      <w:r>
        <w:rPr>
          <w:rFonts w:ascii="Times New Roman" w:hAnsi="Times New Roman" w:cs="Times New Roman"/>
          <w:spacing w:val="8"/>
        </w:rPr>
        <w:t xml:space="preserve"> </w:t>
      </w:r>
      <w:r>
        <w:rPr>
          <w:rFonts w:ascii="Times New Roman" w:hAnsi="Times New Roman" w:cs="Times New Roman"/>
        </w:rPr>
        <w:t>perkara</w:t>
      </w:r>
      <w:r>
        <w:rPr>
          <w:rFonts w:ascii="Times New Roman" w:hAnsi="Times New Roman" w:cs="Times New Roman"/>
          <w:spacing w:val="3"/>
        </w:rPr>
        <w:t xml:space="preserve"> </w:t>
      </w:r>
      <w:r>
        <w:rPr>
          <w:rFonts w:ascii="Times New Roman" w:hAnsi="Times New Roman" w:cs="Times New Roman"/>
        </w:rPr>
        <w:t>tindak</w:t>
      </w:r>
      <w:r>
        <w:rPr>
          <w:rFonts w:ascii="Times New Roman" w:hAnsi="Times New Roman" w:cs="Times New Roman"/>
          <w:spacing w:val="8"/>
        </w:rPr>
        <w:t xml:space="preserve"> </w:t>
      </w:r>
      <w:r>
        <w:rPr>
          <w:rFonts w:ascii="Times New Roman" w:hAnsi="Times New Roman" w:cs="Times New Roman"/>
        </w:rPr>
        <w:t>pidana selama itu memang masih biasa dimungkinkan sebagaimana dalam Hadis yang</w:t>
      </w:r>
      <w:r>
        <w:rPr>
          <w:rFonts w:ascii="Times New Roman" w:hAnsi="Times New Roman" w:cs="Times New Roman"/>
          <w:spacing w:val="1"/>
        </w:rPr>
        <w:t xml:space="preserve"> </w:t>
      </w:r>
      <w:r>
        <w:rPr>
          <w:rFonts w:ascii="Times New Roman" w:hAnsi="Times New Roman" w:cs="Times New Roman"/>
        </w:rPr>
        <w:t>diriwayatkan Aisyah R.A sebagai berikut:</w:t>
      </w:r>
    </w:p>
    <w:p>
      <w:pPr>
        <w:spacing w:after="0" w:line="240" w:lineRule="auto"/>
        <w:ind w:left="1082" w:leftChars="492" w:right="-103" w:rightChars="-47" w:firstLine="563" w:firstLineChars="256"/>
        <w:contextualSpacing/>
        <w:jc w:val="both"/>
        <w:rPr>
          <w:rFonts w:ascii="Times New Roman" w:hAnsi="Times New Roman" w:cs="Times New Roman"/>
        </w:rPr>
      </w:pPr>
    </w:p>
    <w:p>
      <w:pPr>
        <w:spacing w:after="0" w:line="240" w:lineRule="auto"/>
        <w:ind w:left="1540" w:leftChars="700" w:right="-103" w:rightChars="-47"/>
        <w:contextualSpacing/>
        <w:jc w:val="both"/>
        <w:rPr>
          <w:rFonts w:ascii="Times New Roman" w:hAnsi="Times New Roman" w:cs="Times New Roman"/>
        </w:rPr>
      </w:pPr>
      <w:r>
        <w:rPr>
          <w:rFonts w:ascii="Times New Roman" w:hAnsi="Times New Roman" w:cs="Times New Roman"/>
          <w:i/>
          <w:lang w:val="en-US"/>
        </w:rPr>
        <w:t>“</w:t>
      </w:r>
      <w:r>
        <w:rPr>
          <w:rFonts w:ascii="Times New Roman" w:hAnsi="Times New Roman" w:cs="Times New Roman"/>
          <w:i/>
        </w:rPr>
        <w:t>Hindarilah hudud sebisa</w:t>
      </w:r>
      <w:r>
        <w:rPr>
          <w:rFonts w:ascii="Times New Roman" w:hAnsi="Times New Roman" w:cs="Times New Roman"/>
          <w:i/>
          <w:spacing w:val="1"/>
        </w:rPr>
        <w:t xml:space="preserve"> </w:t>
      </w:r>
      <w:r>
        <w:rPr>
          <w:rFonts w:ascii="Times New Roman" w:hAnsi="Times New Roman" w:cs="Times New Roman"/>
          <w:i/>
          <w:lang w:val="en-US"/>
        </w:rPr>
        <w:t>mungkin</w:t>
      </w:r>
      <w:r>
        <w:rPr>
          <w:rFonts w:ascii="Times New Roman" w:hAnsi="Times New Roman" w:cs="Times New Roman"/>
          <w:i/>
        </w:rPr>
        <w:t xml:space="preserve"> atas orang-orang </w:t>
      </w:r>
      <w:r>
        <w:rPr>
          <w:rFonts w:ascii="Times New Roman" w:hAnsi="Times New Roman" w:cs="Times New Roman"/>
          <w:i/>
          <w:lang w:val="en-US"/>
        </w:rPr>
        <w:t>Muslim</w:t>
      </w:r>
      <w:r>
        <w:rPr>
          <w:rFonts w:ascii="Times New Roman" w:hAnsi="Times New Roman" w:cs="Times New Roman"/>
          <w:i/>
        </w:rPr>
        <w:t xml:space="preserve">, jika kalian </w:t>
      </w:r>
      <w:r>
        <w:rPr>
          <w:rFonts w:ascii="Times New Roman" w:hAnsi="Times New Roman" w:cs="Times New Roman"/>
          <w:i/>
          <w:lang w:val="en-US"/>
        </w:rPr>
        <w:t>menemukan</w:t>
      </w:r>
      <w:r>
        <w:rPr>
          <w:rFonts w:ascii="Times New Roman" w:hAnsi="Times New Roman" w:cs="Times New Roman"/>
          <w:i/>
        </w:rPr>
        <w:t xml:space="preserve"> alibi, lepaskan.</w:t>
      </w:r>
      <w:r>
        <w:rPr>
          <w:rFonts w:ascii="Times New Roman" w:hAnsi="Times New Roman" w:cs="Times New Roman"/>
          <w:i/>
          <w:spacing w:val="1"/>
        </w:rPr>
        <w:t xml:space="preserve"> </w:t>
      </w:r>
      <w:r>
        <w:rPr>
          <w:rFonts w:ascii="Times New Roman" w:hAnsi="Times New Roman" w:cs="Times New Roman"/>
          <w:i/>
        </w:rPr>
        <w:t>Sesungguhnya seorang penguasa yang salah dalam memaafkan lebih baik</w:t>
      </w:r>
      <w:r>
        <w:rPr>
          <w:rFonts w:ascii="Times New Roman" w:hAnsi="Times New Roman" w:cs="Times New Roman"/>
          <w:i/>
          <w:spacing w:val="1"/>
        </w:rPr>
        <w:t xml:space="preserve"> </w:t>
      </w:r>
      <w:r>
        <w:rPr>
          <w:rFonts w:ascii="Times New Roman" w:hAnsi="Times New Roman" w:cs="Times New Roman"/>
          <w:i/>
        </w:rPr>
        <w:t>dari</w:t>
      </w:r>
      <w:r>
        <w:rPr>
          <w:rFonts w:ascii="Times New Roman" w:hAnsi="Times New Roman" w:cs="Times New Roman"/>
          <w:i/>
          <w:lang w:val="en-US"/>
        </w:rPr>
        <w:t xml:space="preserve"> </w:t>
      </w:r>
      <w:r>
        <w:rPr>
          <w:rFonts w:ascii="Times New Roman" w:hAnsi="Times New Roman" w:cs="Times New Roman"/>
          <w:i/>
        </w:rPr>
        <w:t>pada</w:t>
      </w:r>
      <w:r>
        <w:rPr>
          <w:rFonts w:ascii="Times New Roman" w:hAnsi="Times New Roman" w:cs="Times New Roman"/>
          <w:i/>
          <w:spacing w:val="1"/>
        </w:rPr>
        <w:t xml:space="preserve"> </w:t>
      </w:r>
      <w:r>
        <w:rPr>
          <w:rFonts w:ascii="Times New Roman" w:hAnsi="Times New Roman" w:cs="Times New Roman"/>
          <w:i/>
        </w:rPr>
        <w:t>salah</w:t>
      </w:r>
      <w:r>
        <w:rPr>
          <w:rFonts w:ascii="Times New Roman" w:hAnsi="Times New Roman" w:cs="Times New Roman"/>
          <w:i/>
          <w:spacing w:val="2"/>
        </w:rPr>
        <w:t xml:space="preserve"> </w:t>
      </w:r>
      <w:r>
        <w:rPr>
          <w:rFonts w:ascii="Times New Roman" w:hAnsi="Times New Roman" w:cs="Times New Roman"/>
          <w:i/>
        </w:rPr>
        <w:t>menghukum</w:t>
      </w:r>
      <w:r>
        <w:rPr>
          <w:rFonts w:ascii="Times New Roman" w:hAnsi="Times New Roman" w:cs="Times New Roman"/>
        </w:rPr>
        <w:t>.</w:t>
      </w:r>
      <w:r>
        <w:rPr>
          <w:rFonts w:ascii="Times New Roman" w:hAnsi="Times New Roman" w:cs="Times New Roman"/>
          <w:lang w:val="en-US"/>
        </w:rPr>
        <w:t>” (HR Tirmidzi)</w:t>
      </w:r>
      <w:r>
        <w:rPr>
          <w:rStyle w:val="17"/>
          <w:rFonts w:ascii="Times New Roman" w:hAnsi="Times New Roman" w:cs="Times New Roman"/>
        </w:rPr>
        <w:footnoteReference w:id="45"/>
      </w:r>
    </w:p>
    <w:p>
      <w:pPr>
        <w:spacing w:after="0" w:line="240" w:lineRule="auto"/>
        <w:ind w:left="1082" w:leftChars="492" w:right="-103" w:rightChars="-47" w:firstLine="563" w:firstLineChars="256"/>
        <w:contextualSpacing/>
        <w:jc w:val="both"/>
        <w:rPr>
          <w:rFonts w:ascii="Times New Roman" w:hAnsi="Times New Roman" w:cs="Times New Roman"/>
        </w:rPr>
      </w:pPr>
    </w:p>
    <w:p>
      <w:pPr>
        <w:pStyle w:val="6"/>
        <w:spacing w:after="0" w:line="312" w:lineRule="auto"/>
        <w:ind w:left="1082" w:leftChars="492" w:right="-103" w:rightChars="-47" w:firstLine="563" w:firstLineChars="256"/>
        <w:contextualSpacing/>
        <w:jc w:val="both"/>
        <w:rPr>
          <w:sz w:val="22"/>
          <w:szCs w:val="22"/>
        </w:rPr>
      </w:pPr>
      <w:r>
        <w:rPr>
          <w:sz w:val="22"/>
          <w:szCs w:val="22"/>
        </w:rPr>
        <w:t xml:space="preserve">Hadis di atas merupakan bentuk suatu sandaran hukum, bagi seseorang yang memiliki otoritas, dalam </w:t>
      </w:r>
      <w:r>
        <w:rPr>
          <w:sz w:val="22"/>
          <w:szCs w:val="22"/>
          <w:lang w:val="en-US"/>
        </w:rPr>
        <w:t>memutuskan</w:t>
      </w:r>
      <w:r>
        <w:rPr>
          <w:sz w:val="22"/>
          <w:szCs w:val="22"/>
        </w:rPr>
        <w:t xml:space="preserve"> sutu keputusan. Baik orang yeng memiliki wewenang atau kekuasaan penuh, bisa seorang hakim atau seorang penguasa. Apabila mendapati suatu keraguan dalam menilai suatu jarimah yang dituduhkan dalam melakukan perkara tindak pidana dalam suatu keputusan, Sehingga, dalam hal ini seorang Imam</w:t>
      </w:r>
      <w:r>
        <w:rPr>
          <w:spacing w:val="1"/>
          <w:sz w:val="22"/>
          <w:szCs w:val="22"/>
        </w:rPr>
        <w:t xml:space="preserve"> </w:t>
      </w:r>
      <w:r>
        <w:rPr>
          <w:sz w:val="22"/>
          <w:szCs w:val="22"/>
        </w:rPr>
        <w:t>atau</w:t>
      </w:r>
      <w:r>
        <w:rPr>
          <w:spacing w:val="1"/>
          <w:sz w:val="22"/>
          <w:szCs w:val="22"/>
        </w:rPr>
        <w:t xml:space="preserve"> </w:t>
      </w:r>
      <w:r>
        <w:rPr>
          <w:i/>
          <w:iCs/>
          <w:sz w:val="22"/>
          <w:szCs w:val="22"/>
        </w:rPr>
        <w:t>qadli</w:t>
      </w:r>
      <w:r>
        <w:rPr>
          <w:i/>
          <w:iCs/>
          <w:spacing w:val="1"/>
          <w:sz w:val="22"/>
          <w:szCs w:val="22"/>
        </w:rPr>
        <w:t xml:space="preserve"> </w:t>
      </w:r>
      <w:r>
        <w:rPr>
          <w:sz w:val="22"/>
          <w:szCs w:val="22"/>
        </w:rPr>
        <w:t>dituntut</w:t>
      </w:r>
      <w:r>
        <w:rPr>
          <w:spacing w:val="1"/>
          <w:sz w:val="22"/>
          <w:szCs w:val="22"/>
        </w:rPr>
        <w:t xml:space="preserve"> </w:t>
      </w:r>
      <w:r>
        <w:rPr>
          <w:sz w:val="22"/>
          <w:szCs w:val="22"/>
        </w:rPr>
        <w:t>supaya</w:t>
      </w:r>
      <w:r>
        <w:rPr>
          <w:spacing w:val="1"/>
          <w:sz w:val="22"/>
          <w:szCs w:val="22"/>
        </w:rPr>
        <w:t xml:space="preserve"> </w:t>
      </w:r>
      <w:r>
        <w:rPr>
          <w:sz w:val="22"/>
          <w:szCs w:val="22"/>
        </w:rPr>
        <w:t>lebih</w:t>
      </w:r>
      <w:r>
        <w:rPr>
          <w:spacing w:val="1"/>
          <w:sz w:val="22"/>
          <w:szCs w:val="22"/>
        </w:rPr>
        <w:t xml:space="preserve"> </w:t>
      </w:r>
      <w:r>
        <w:rPr>
          <w:sz w:val="22"/>
          <w:szCs w:val="22"/>
        </w:rPr>
        <w:t>cermat</w:t>
      </w:r>
      <w:r>
        <w:rPr>
          <w:spacing w:val="1"/>
          <w:sz w:val="22"/>
          <w:szCs w:val="22"/>
        </w:rPr>
        <w:t xml:space="preserve"> </w:t>
      </w:r>
      <w:r>
        <w:rPr>
          <w:sz w:val="22"/>
          <w:szCs w:val="22"/>
        </w:rPr>
        <w:t>dan</w:t>
      </w:r>
      <w:r>
        <w:rPr>
          <w:spacing w:val="1"/>
          <w:sz w:val="22"/>
          <w:szCs w:val="22"/>
        </w:rPr>
        <w:t xml:space="preserve"> </w:t>
      </w:r>
      <w:r>
        <w:rPr>
          <w:sz w:val="22"/>
          <w:szCs w:val="22"/>
        </w:rPr>
        <w:t>penuh</w:t>
      </w:r>
      <w:r>
        <w:rPr>
          <w:spacing w:val="1"/>
          <w:sz w:val="22"/>
          <w:szCs w:val="22"/>
        </w:rPr>
        <w:t xml:space="preserve"> </w:t>
      </w:r>
      <w:r>
        <w:rPr>
          <w:sz w:val="22"/>
          <w:szCs w:val="22"/>
        </w:rPr>
        <w:t>kehati-hatian</w:t>
      </w:r>
      <w:r>
        <w:rPr>
          <w:spacing w:val="1"/>
          <w:sz w:val="22"/>
          <w:szCs w:val="22"/>
        </w:rPr>
        <w:t xml:space="preserve"> </w:t>
      </w:r>
      <w:r>
        <w:rPr>
          <w:sz w:val="22"/>
          <w:szCs w:val="22"/>
        </w:rPr>
        <w:t>dalam</w:t>
      </w:r>
      <w:r>
        <w:rPr>
          <w:spacing w:val="1"/>
          <w:sz w:val="22"/>
          <w:szCs w:val="22"/>
        </w:rPr>
        <w:t xml:space="preserve"> </w:t>
      </w:r>
      <w:r>
        <w:rPr>
          <w:sz w:val="22"/>
          <w:szCs w:val="22"/>
        </w:rPr>
        <w:t>memutuskan</w:t>
      </w:r>
      <w:r>
        <w:rPr>
          <w:spacing w:val="-4"/>
          <w:sz w:val="22"/>
          <w:szCs w:val="22"/>
        </w:rPr>
        <w:t xml:space="preserve"> </w:t>
      </w:r>
      <w:r>
        <w:rPr>
          <w:sz w:val="22"/>
          <w:szCs w:val="22"/>
        </w:rPr>
        <w:t>suatu</w:t>
      </w:r>
      <w:r>
        <w:rPr>
          <w:spacing w:val="2"/>
          <w:sz w:val="22"/>
          <w:szCs w:val="22"/>
        </w:rPr>
        <w:t xml:space="preserve"> </w:t>
      </w:r>
      <w:r>
        <w:rPr>
          <w:sz w:val="22"/>
          <w:szCs w:val="22"/>
        </w:rPr>
        <w:t>perkara.</w:t>
      </w:r>
    </w:p>
    <w:p>
      <w:pPr>
        <w:numPr>
          <w:ilvl w:val="0"/>
          <w:numId w:val="29"/>
        </w:numPr>
        <w:tabs>
          <w:tab w:val="left" w:pos="800"/>
          <w:tab w:val="left" w:pos="1400"/>
        </w:tabs>
        <w:spacing w:after="0" w:line="312" w:lineRule="auto"/>
        <w:ind w:left="1060" w:leftChars="400" w:right="-103" w:rightChars="-47" w:hanging="180" w:hangingChars="82"/>
        <w:contextualSpacing/>
        <w:jc w:val="both"/>
        <w:rPr>
          <w:rFonts w:ascii="Times New Roman" w:hAnsi="Times New Roman" w:cs="Times New Roman"/>
        </w:rPr>
      </w:pPr>
      <w:r>
        <w:rPr>
          <w:rFonts w:ascii="Times New Roman" w:hAnsi="Times New Roman" w:cs="Times New Roman"/>
        </w:rPr>
        <w:t>Pendapat Fuqoha</w:t>
      </w:r>
    </w:p>
    <w:p>
      <w:pPr>
        <w:pStyle w:val="6"/>
        <w:spacing w:after="0" w:line="312" w:lineRule="auto"/>
        <w:ind w:left="1082" w:leftChars="492" w:right="-103" w:rightChars="-47" w:firstLine="563" w:firstLineChars="256"/>
        <w:contextualSpacing/>
        <w:jc w:val="both"/>
        <w:rPr>
          <w:sz w:val="22"/>
          <w:szCs w:val="22"/>
        </w:rPr>
      </w:pPr>
      <w:r>
        <w:rPr>
          <w:sz w:val="22"/>
          <w:szCs w:val="22"/>
        </w:rPr>
        <w:t xml:space="preserve">Dalam jarimah  </w:t>
      </w:r>
      <w:r>
        <w:rPr>
          <w:i/>
          <w:iCs/>
          <w:sz w:val="22"/>
          <w:szCs w:val="22"/>
        </w:rPr>
        <w:t>hudud,</w:t>
      </w:r>
      <w:r>
        <w:rPr>
          <w:sz w:val="22"/>
          <w:szCs w:val="22"/>
        </w:rPr>
        <w:t xml:space="preserve"> pemberian pengampunan d</w:t>
      </w:r>
      <w:r>
        <w:rPr>
          <w:sz w:val="22"/>
          <w:szCs w:val="22"/>
          <w:lang w:val="en-US"/>
        </w:rPr>
        <w:t>i</w:t>
      </w:r>
      <w:r>
        <w:rPr>
          <w:sz w:val="22"/>
          <w:szCs w:val="22"/>
        </w:rPr>
        <w:t xml:space="preserve">perbolehkan. Fuqoha sepakat meyepakati pemberian pengampuanan kepada pidana yang telah melanggar peraturan yang berlaku. pengampunan dalam jarimah </w:t>
      </w:r>
      <w:r>
        <w:rPr>
          <w:i/>
          <w:iCs/>
          <w:sz w:val="22"/>
          <w:szCs w:val="22"/>
        </w:rPr>
        <w:t>hudud</w:t>
      </w:r>
      <w:r>
        <w:rPr>
          <w:sz w:val="22"/>
          <w:szCs w:val="22"/>
        </w:rPr>
        <w:t xml:space="preserve"> yang lain diperkenankan bisa diberikan pengampunan, selama perkara tersebut belum diajukan untuk dipersidangkan. Dalam jarimah </w:t>
      </w:r>
      <w:r>
        <w:rPr>
          <w:i/>
          <w:iCs/>
          <w:sz w:val="22"/>
          <w:szCs w:val="22"/>
        </w:rPr>
        <w:t xml:space="preserve">hudud </w:t>
      </w:r>
      <w:r>
        <w:rPr>
          <w:sz w:val="22"/>
          <w:szCs w:val="22"/>
        </w:rPr>
        <w:t>yang</w:t>
      </w:r>
      <w:r>
        <w:rPr>
          <w:spacing w:val="94"/>
          <w:sz w:val="22"/>
          <w:szCs w:val="22"/>
        </w:rPr>
        <w:t xml:space="preserve"> </w:t>
      </w:r>
      <w:r>
        <w:rPr>
          <w:sz w:val="22"/>
          <w:szCs w:val="22"/>
        </w:rPr>
        <w:t>berkaitan dengan</w:t>
      </w:r>
      <w:r>
        <w:rPr>
          <w:spacing w:val="89"/>
          <w:sz w:val="22"/>
          <w:szCs w:val="22"/>
        </w:rPr>
        <w:t xml:space="preserve"> </w:t>
      </w:r>
      <w:r>
        <w:rPr>
          <w:sz w:val="22"/>
          <w:szCs w:val="22"/>
        </w:rPr>
        <w:t>jiwa</w:t>
      </w:r>
      <w:r>
        <w:rPr>
          <w:spacing w:val="94"/>
          <w:sz w:val="22"/>
          <w:szCs w:val="22"/>
        </w:rPr>
        <w:t xml:space="preserve"> </w:t>
      </w:r>
      <w:r>
        <w:rPr>
          <w:sz w:val="22"/>
          <w:szCs w:val="22"/>
        </w:rPr>
        <w:t>jelas</w:t>
      </w:r>
      <w:r>
        <w:rPr>
          <w:spacing w:val="87"/>
          <w:sz w:val="22"/>
          <w:szCs w:val="22"/>
        </w:rPr>
        <w:t xml:space="preserve"> </w:t>
      </w:r>
      <w:r>
        <w:rPr>
          <w:sz w:val="22"/>
          <w:szCs w:val="22"/>
        </w:rPr>
        <w:t>adanya</w:t>
      </w:r>
      <w:r>
        <w:rPr>
          <w:spacing w:val="92"/>
          <w:sz w:val="22"/>
          <w:szCs w:val="22"/>
        </w:rPr>
        <w:t xml:space="preserve"> </w:t>
      </w:r>
      <w:r>
        <w:rPr>
          <w:sz w:val="22"/>
          <w:szCs w:val="22"/>
        </w:rPr>
        <w:t>pemaafan sebagaimana</w:t>
      </w:r>
      <w:r>
        <w:rPr>
          <w:spacing w:val="61"/>
          <w:sz w:val="22"/>
          <w:szCs w:val="22"/>
        </w:rPr>
        <w:t xml:space="preserve"> </w:t>
      </w:r>
      <w:r>
        <w:rPr>
          <w:sz w:val="22"/>
          <w:szCs w:val="22"/>
        </w:rPr>
        <w:t>dalam Al quran Al-Baqarah Ayat</w:t>
      </w:r>
      <w:r>
        <w:rPr>
          <w:spacing w:val="60"/>
          <w:sz w:val="22"/>
          <w:szCs w:val="22"/>
        </w:rPr>
        <w:t xml:space="preserve"> </w:t>
      </w:r>
      <w:r>
        <w:rPr>
          <w:sz w:val="22"/>
          <w:szCs w:val="22"/>
        </w:rPr>
        <w:t>178 bahwa pemberian maaf</w:t>
      </w:r>
      <w:r>
        <w:rPr>
          <w:spacing w:val="1"/>
          <w:sz w:val="22"/>
          <w:szCs w:val="22"/>
        </w:rPr>
        <w:t xml:space="preserve"> </w:t>
      </w:r>
      <w:r>
        <w:rPr>
          <w:sz w:val="22"/>
          <w:szCs w:val="22"/>
        </w:rPr>
        <w:t>lebih</w:t>
      </w:r>
      <w:r>
        <w:rPr>
          <w:spacing w:val="109"/>
          <w:sz w:val="22"/>
          <w:szCs w:val="22"/>
        </w:rPr>
        <w:t xml:space="preserve"> </w:t>
      </w:r>
      <w:r>
        <w:rPr>
          <w:sz w:val="22"/>
          <w:szCs w:val="22"/>
        </w:rPr>
        <w:t>diutamakan</w:t>
      </w:r>
      <w:r>
        <w:rPr>
          <w:spacing w:val="105"/>
          <w:sz w:val="22"/>
          <w:szCs w:val="22"/>
        </w:rPr>
        <w:t xml:space="preserve"> </w:t>
      </w:r>
      <w:r>
        <w:rPr>
          <w:sz w:val="22"/>
          <w:szCs w:val="22"/>
        </w:rPr>
        <w:t>dari</w:t>
      </w:r>
      <w:r>
        <w:rPr>
          <w:spacing w:val="106"/>
          <w:sz w:val="22"/>
          <w:szCs w:val="22"/>
        </w:rPr>
        <w:t xml:space="preserve"> </w:t>
      </w:r>
      <w:r>
        <w:rPr>
          <w:sz w:val="22"/>
          <w:szCs w:val="22"/>
        </w:rPr>
        <w:t>melakukan</w:t>
      </w:r>
      <w:r>
        <w:rPr>
          <w:spacing w:val="105"/>
          <w:sz w:val="22"/>
          <w:szCs w:val="22"/>
        </w:rPr>
        <w:t xml:space="preserve"> </w:t>
      </w:r>
      <w:r>
        <w:rPr>
          <w:sz w:val="22"/>
          <w:szCs w:val="22"/>
        </w:rPr>
        <w:t>pembalasan</w:t>
      </w:r>
      <w:r>
        <w:rPr>
          <w:spacing w:val="110"/>
          <w:sz w:val="22"/>
          <w:szCs w:val="22"/>
        </w:rPr>
        <w:t xml:space="preserve"> </w:t>
      </w:r>
      <w:r>
        <w:rPr>
          <w:sz w:val="22"/>
          <w:szCs w:val="22"/>
        </w:rPr>
        <w:t>(</w:t>
      </w:r>
      <w:r>
        <w:rPr>
          <w:i/>
          <w:iCs/>
          <w:sz w:val="22"/>
          <w:szCs w:val="22"/>
        </w:rPr>
        <w:t>qishas</w:t>
      </w:r>
      <w:r>
        <w:rPr>
          <w:sz w:val="22"/>
          <w:szCs w:val="22"/>
        </w:rPr>
        <w:t xml:space="preserve">). </w:t>
      </w:r>
    </w:p>
    <w:p>
      <w:pPr>
        <w:pStyle w:val="6"/>
        <w:spacing w:after="0" w:line="312" w:lineRule="auto"/>
        <w:ind w:left="1082" w:leftChars="492" w:right="-103" w:rightChars="-47" w:firstLine="563" w:firstLineChars="256"/>
        <w:contextualSpacing/>
        <w:jc w:val="both"/>
        <w:rPr>
          <w:sz w:val="22"/>
          <w:szCs w:val="22"/>
        </w:rPr>
      </w:pPr>
      <w:r>
        <w:rPr>
          <w:sz w:val="22"/>
          <w:szCs w:val="22"/>
        </w:rPr>
        <w:t xml:space="preserve">Abdul Qodir Audah menerangkan bahwa pengampunan di dalam jarimah </w:t>
      </w:r>
      <w:r>
        <w:rPr>
          <w:i/>
          <w:iCs/>
          <w:sz w:val="22"/>
          <w:szCs w:val="22"/>
        </w:rPr>
        <w:t>Ta’zir,</w:t>
      </w:r>
      <w:r>
        <w:rPr>
          <w:sz w:val="22"/>
          <w:szCs w:val="22"/>
        </w:rPr>
        <w:t xml:space="preserve"> telah disepakati oleh fuqoha. Bahwa fuqoha memiliki wewenang dan hak dalam memberikan pengampunan. dalam hal ini, penguasa bisa memberikan pengampunan suatu jarimah </w:t>
      </w:r>
      <w:r>
        <w:rPr>
          <w:i/>
          <w:iCs/>
          <w:sz w:val="22"/>
          <w:szCs w:val="22"/>
        </w:rPr>
        <w:t>ta’zir</w:t>
      </w:r>
      <w:r>
        <w:rPr>
          <w:sz w:val="22"/>
          <w:szCs w:val="22"/>
        </w:rPr>
        <w:t xml:space="preserve"> baik pengampunan secara keseluruhan atau sebagian.</w:t>
      </w:r>
      <w:r>
        <w:rPr>
          <w:rStyle w:val="17"/>
          <w:sz w:val="22"/>
          <w:szCs w:val="22"/>
        </w:rPr>
        <w:footnoteReference w:id="46"/>
      </w:r>
    </w:p>
    <w:p>
      <w:pPr>
        <w:pStyle w:val="5"/>
        <w:numPr>
          <w:ilvl w:val="6"/>
          <w:numId w:val="28"/>
        </w:numPr>
        <w:ind w:left="709" w:hanging="283"/>
      </w:pPr>
      <w:bookmarkStart w:id="25" w:name="_Toc199801674"/>
      <w:r>
        <w:t>Rukun dan Syarat Pemberian Maaf</w:t>
      </w:r>
      <w:bookmarkEnd w:id="25"/>
    </w:p>
    <w:p>
      <w:pPr>
        <w:spacing w:after="0" w:line="312" w:lineRule="auto"/>
        <w:ind w:left="880" w:leftChars="400" w:right="-103" w:rightChars="-47" w:firstLine="550" w:firstLineChars="250"/>
        <w:contextualSpacing/>
        <w:jc w:val="both"/>
        <w:rPr>
          <w:rFonts w:ascii="Times New Roman" w:hAnsi="Times New Roman" w:cs="Times New Roman"/>
          <w:lang w:val="en-US"/>
        </w:rPr>
      </w:pPr>
      <w:r>
        <w:rPr>
          <w:rFonts w:ascii="Times New Roman" w:hAnsi="Times New Roman" w:eastAsia="Times New Roman" w:cs="Times New Roman"/>
          <w:kern w:val="0"/>
          <w14:ligatures w14:val="none"/>
        </w:rPr>
        <w:t>Sebagaimana diterangkan di atas bahwa qishas wajib dilaksanakan karena di dalamnya ada jaminan kelangsungan hidup khalayak ramai. Namun demikian, sebagaimana salah satu sifat Allah adalah Maha Pengampun</w:t>
      </w:r>
      <w:r>
        <w:rPr>
          <w:rFonts w:ascii="Times New Roman" w:hAnsi="Times New Roman" w:eastAsia="Times New Roman" w:cs="Times New Roman"/>
          <w:kern w:val="0"/>
          <w:lang w:val="en-US"/>
          <w14:ligatures w14:val="none"/>
        </w:rPr>
        <w:t>. Dalam pelaksanannya masih perlu adanya rukundn syarat yang harus terpenuhi, di antaranya:</w:t>
      </w:r>
    </w:p>
    <w:p>
      <w:pPr>
        <w:numPr>
          <w:ilvl w:val="0"/>
          <w:numId w:val="30"/>
        </w:numPr>
        <w:spacing w:before="240" w:after="0" w:line="312" w:lineRule="auto"/>
        <w:ind w:left="1062" w:leftChars="400" w:right="-103" w:rightChars="-47" w:hanging="182" w:hangingChars="83"/>
        <w:contextualSpacing/>
        <w:jc w:val="both"/>
        <w:rPr>
          <w:rFonts w:ascii="Times New Roman" w:hAnsi="Times New Roman" w:cs="Times New Roman"/>
        </w:rPr>
      </w:pPr>
      <w:r>
        <w:rPr>
          <w:rFonts w:ascii="Times New Roman" w:hAnsi="Times New Roman" w:cs="Times New Roman"/>
        </w:rPr>
        <w:t>Rukun Maaf</w:t>
      </w:r>
    </w:p>
    <w:p>
      <w:pPr>
        <w:spacing w:before="240" w:after="0" w:line="312" w:lineRule="auto"/>
        <w:ind w:left="1133" w:leftChars="515" w:right="-103" w:rightChars="-47" w:firstLine="550" w:firstLineChars="250"/>
        <w:contextualSpacing/>
        <w:jc w:val="both"/>
        <w:rPr>
          <w:rFonts w:ascii="Times New Roman" w:hAnsi="Times New Roman" w:cs="Times New Roman"/>
          <w:lang w:val="en-US"/>
        </w:rPr>
      </w:pPr>
      <w:r>
        <w:rPr>
          <w:rFonts w:ascii="Times New Roman" w:hAnsi="Times New Roman" w:eastAsia="Times New Roman" w:cs="Times New Roman"/>
          <w:kern w:val="0"/>
          <w14:ligatures w14:val="none"/>
        </w:rPr>
        <w:t xml:space="preserve">Sebagaimana diterangkan di atas bahwa qishas wajib dilaksanakan karena di dalamnya ada jaminan kelangsungan hidup khalayak ramai. Namun demikian, sebagaimana salah satu sifat Allah adalah Maha Pengampun, demikian pula di dalam </w:t>
      </w:r>
      <w:r>
        <w:rPr>
          <w:rFonts w:ascii="Times New Roman" w:hAnsi="Times New Roman" w:eastAsia="Times New Roman" w:cs="Times New Roman"/>
          <w:i/>
          <w:iCs/>
          <w:kern w:val="0"/>
          <w14:ligatures w14:val="none"/>
        </w:rPr>
        <w:t>qishas</w:t>
      </w:r>
      <w:r>
        <w:rPr>
          <w:rFonts w:ascii="Times New Roman" w:hAnsi="Times New Roman" w:eastAsia="Times New Roman" w:cs="Times New Roman"/>
          <w:kern w:val="0"/>
          <w14:ligatures w14:val="none"/>
        </w:rPr>
        <w:t xml:space="preserve"> masih dimungkinkannya membuka pintu maaf kepada pelaku yang diberikan ahli waris korban. </w:t>
      </w:r>
      <w:r>
        <w:rPr>
          <w:rFonts w:ascii="Times New Roman" w:hAnsi="Times New Roman" w:eastAsia="Times New Roman" w:cs="Times New Roman"/>
          <w:kern w:val="0"/>
          <w:lang w:val="en-US"/>
          <w14:ligatures w14:val="none"/>
        </w:rPr>
        <w:t>Dalam pelaksanannya masih perlu adanya rukun dan syarat yang harus terpenuhi, diantaranya:</w:t>
      </w:r>
    </w:p>
    <w:p>
      <w:pPr>
        <w:numPr>
          <w:ilvl w:val="0"/>
          <w:numId w:val="31"/>
        </w:numPr>
        <w:tabs>
          <w:tab w:val="clear" w:pos="425"/>
        </w:tabs>
        <w:spacing w:before="240" w:after="0" w:line="312" w:lineRule="auto"/>
        <w:ind w:left="1600" w:right="-103" w:rightChars="-47" w:hanging="400"/>
        <w:contextualSpacing/>
        <w:jc w:val="both"/>
        <w:rPr>
          <w:rFonts w:ascii="Times New Roman" w:hAnsi="Times New Roman" w:cs="Times New Roman"/>
          <w:spacing w:val="-2"/>
        </w:rPr>
      </w:pPr>
      <w:r>
        <w:rPr>
          <w:rFonts w:ascii="Times New Roman" w:hAnsi="Times New Roman" w:cs="Times New Roman"/>
        </w:rPr>
        <w:t>Aku</w:t>
      </w:r>
      <w:r>
        <w:rPr>
          <w:rFonts w:ascii="Times New Roman" w:hAnsi="Times New Roman" w:cs="Times New Roman"/>
          <w:spacing w:val="-6"/>
        </w:rPr>
        <w:t xml:space="preserve"> </w:t>
      </w:r>
      <w:r>
        <w:rPr>
          <w:rFonts w:ascii="Times New Roman" w:hAnsi="Times New Roman" w:cs="Times New Roman"/>
          <w:spacing w:val="-2"/>
        </w:rPr>
        <w:t>maafkan</w:t>
      </w:r>
      <w:r>
        <w:rPr>
          <w:rFonts w:ascii="Times New Roman" w:hAnsi="Times New Roman" w:cs="Times New Roman"/>
          <w:spacing w:val="-2"/>
          <w:lang w:val="en-US"/>
        </w:rPr>
        <w:t>.</w:t>
      </w:r>
    </w:p>
    <w:p>
      <w:pPr>
        <w:numPr>
          <w:ilvl w:val="0"/>
          <w:numId w:val="31"/>
        </w:numPr>
        <w:tabs>
          <w:tab w:val="clear" w:pos="425"/>
        </w:tabs>
        <w:spacing w:before="240" w:after="0" w:line="312" w:lineRule="auto"/>
        <w:ind w:left="1600" w:right="-103" w:rightChars="-47" w:hanging="400"/>
        <w:contextualSpacing/>
        <w:jc w:val="both"/>
        <w:rPr>
          <w:rFonts w:ascii="Times New Roman" w:hAnsi="Times New Roman" w:cs="Times New Roman"/>
          <w:spacing w:val="-2"/>
        </w:rPr>
      </w:pPr>
      <w:r>
        <w:rPr>
          <w:rFonts w:ascii="Times New Roman" w:hAnsi="Times New Roman" w:cs="Times New Roman"/>
        </w:rPr>
        <w:t>Aku</w:t>
      </w:r>
      <w:r>
        <w:rPr>
          <w:rFonts w:ascii="Times New Roman" w:hAnsi="Times New Roman" w:cs="Times New Roman"/>
          <w:spacing w:val="-4"/>
        </w:rPr>
        <w:t xml:space="preserve"> </w:t>
      </w:r>
      <w:r>
        <w:rPr>
          <w:rFonts w:ascii="Times New Roman" w:hAnsi="Times New Roman" w:cs="Times New Roman"/>
        </w:rPr>
        <w:t>gugurkan</w:t>
      </w:r>
      <w:r>
        <w:rPr>
          <w:rFonts w:ascii="Times New Roman" w:hAnsi="Times New Roman" w:cs="Times New Roman"/>
          <w:spacing w:val="-4"/>
        </w:rPr>
        <w:t xml:space="preserve"> </w:t>
      </w:r>
      <w:r>
        <w:rPr>
          <w:rFonts w:ascii="Times New Roman" w:hAnsi="Times New Roman" w:cs="Times New Roman"/>
          <w:spacing w:val="-2"/>
        </w:rPr>
        <w:t>tuntutan</w:t>
      </w:r>
      <w:r>
        <w:rPr>
          <w:rFonts w:ascii="Times New Roman" w:hAnsi="Times New Roman" w:cs="Times New Roman"/>
          <w:spacing w:val="-2"/>
          <w:lang w:val="en-US"/>
        </w:rPr>
        <w:t>.</w:t>
      </w:r>
    </w:p>
    <w:p>
      <w:pPr>
        <w:numPr>
          <w:ilvl w:val="0"/>
          <w:numId w:val="31"/>
        </w:numPr>
        <w:tabs>
          <w:tab w:val="clear" w:pos="425"/>
        </w:tabs>
        <w:spacing w:before="240" w:after="0" w:line="312" w:lineRule="auto"/>
        <w:ind w:left="1600" w:right="-103" w:rightChars="-47" w:hanging="400"/>
        <w:contextualSpacing/>
        <w:jc w:val="both"/>
        <w:rPr>
          <w:rFonts w:ascii="Times New Roman" w:hAnsi="Times New Roman" w:cs="Times New Roman"/>
          <w:spacing w:val="-2"/>
        </w:rPr>
      </w:pPr>
      <w:r>
        <w:rPr>
          <w:rFonts w:ascii="Times New Roman" w:hAnsi="Times New Roman" w:cs="Times New Roman"/>
        </w:rPr>
        <w:t>Aku</w:t>
      </w:r>
      <w:r>
        <w:rPr>
          <w:rFonts w:ascii="Times New Roman" w:hAnsi="Times New Roman" w:cs="Times New Roman"/>
          <w:spacing w:val="-2"/>
        </w:rPr>
        <w:t xml:space="preserve"> </w:t>
      </w:r>
      <w:r>
        <w:rPr>
          <w:rFonts w:ascii="Times New Roman" w:hAnsi="Times New Roman" w:cs="Times New Roman"/>
        </w:rPr>
        <w:t>bebaskan</w:t>
      </w:r>
      <w:r>
        <w:rPr>
          <w:rFonts w:ascii="Times New Roman" w:hAnsi="Times New Roman" w:cs="Times New Roman"/>
          <w:spacing w:val="-1"/>
        </w:rPr>
        <w:t xml:space="preserve"> </w:t>
      </w:r>
      <w:r>
        <w:rPr>
          <w:rFonts w:ascii="Times New Roman" w:hAnsi="Times New Roman" w:cs="Times New Roman"/>
        </w:rPr>
        <w:t xml:space="preserve">dari </w:t>
      </w:r>
      <w:r>
        <w:rPr>
          <w:rFonts w:ascii="Times New Roman" w:hAnsi="Times New Roman" w:cs="Times New Roman"/>
          <w:spacing w:val="-2"/>
        </w:rPr>
        <w:t>tuntutan</w:t>
      </w:r>
      <w:r>
        <w:rPr>
          <w:rFonts w:ascii="Times New Roman" w:hAnsi="Times New Roman" w:cs="Times New Roman"/>
          <w:spacing w:val="-2"/>
          <w:lang w:val="en-US"/>
        </w:rPr>
        <w:t>.</w:t>
      </w:r>
    </w:p>
    <w:p>
      <w:pPr>
        <w:numPr>
          <w:ilvl w:val="0"/>
          <w:numId w:val="31"/>
        </w:numPr>
        <w:tabs>
          <w:tab w:val="clear" w:pos="425"/>
        </w:tabs>
        <w:spacing w:before="240" w:after="0" w:line="312" w:lineRule="auto"/>
        <w:ind w:left="1600" w:right="-103" w:rightChars="-47" w:hanging="400"/>
        <w:contextualSpacing/>
        <w:jc w:val="both"/>
        <w:rPr>
          <w:rFonts w:ascii="Times New Roman" w:hAnsi="Times New Roman" w:cs="Times New Roman"/>
          <w:spacing w:val="-2"/>
        </w:rPr>
      </w:pPr>
      <w:r>
        <w:rPr>
          <w:rFonts w:ascii="Times New Roman" w:hAnsi="Times New Roman" w:cs="Times New Roman"/>
        </w:rPr>
        <w:t>Telah</w:t>
      </w:r>
      <w:r>
        <w:rPr>
          <w:rFonts w:ascii="Times New Roman" w:hAnsi="Times New Roman" w:cs="Times New Roman"/>
          <w:spacing w:val="3"/>
        </w:rPr>
        <w:t xml:space="preserve"> </w:t>
      </w:r>
      <w:r>
        <w:rPr>
          <w:rFonts w:ascii="Times New Roman" w:hAnsi="Times New Roman" w:cs="Times New Roman"/>
          <w:spacing w:val="-2"/>
        </w:rPr>
        <w:t>kuberikan</w:t>
      </w:r>
      <w:r>
        <w:rPr>
          <w:rFonts w:ascii="Times New Roman" w:hAnsi="Times New Roman" w:cs="Times New Roman"/>
          <w:spacing w:val="-2"/>
          <w:lang w:val="en-US"/>
        </w:rPr>
        <w:t>.</w:t>
      </w:r>
    </w:p>
    <w:p>
      <w:pPr>
        <w:numPr>
          <w:ilvl w:val="0"/>
          <w:numId w:val="31"/>
        </w:numPr>
        <w:tabs>
          <w:tab w:val="clear" w:pos="425"/>
        </w:tabs>
        <w:spacing w:before="240" w:after="0" w:line="312" w:lineRule="auto"/>
        <w:ind w:left="1600" w:right="-103" w:rightChars="-47" w:hanging="400"/>
        <w:contextualSpacing/>
        <w:jc w:val="both"/>
        <w:rPr>
          <w:rFonts w:ascii="Times New Roman" w:hAnsi="Times New Roman" w:cs="Times New Roman"/>
        </w:rPr>
      </w:pPr>
      <w:r>
        <w:rPr>
          <w:rFonts w:ascii="Times New Roman" w:hAnsi="Times New Roman" w:cs="Times New Roman"/>
        </w:rPr>
        <w:t>Dan</w:t>
      </w:r>
      <w:r>
        <w:rPr>
          <w:rFonts w:ascii="Times New Roman" w:hAnsi="Times New Roman" w:cs="Times New Roman"/>
          <w:spacing w:val="-5"/>
        </w:rPr>
        <w:t xml:space="preserve"> </w:t>
      </w:r>
      <w:r>
        <w:rPr>
          <w:rFonts w:ascii="Times New Roman" w:hAnsi="Times New Roman" w:cs="Times New Roman"/>
        </w:rPr>
        <w:t>lain-</w:t>
      </w:r>
      <w:r>
        <w:rPr>
          <w:rFonts w:ascii="Times New Roman" w:hAnsi="Times New Roman" w:cs="Times New Roman"/>
          <w:spacing w:val="-2"/>
        </w:rPr>
        <w:t>lain</w:t>
      </w:r>
      <w:r>
        <w:rPr>
          <w:rFonts w:ascii="Times New Roman" w:hAnsi="Times New Roman" w:cs="Times New Roman"/>
          <w:spacing w:val="-2"/>
          <w:lang w:val="en-US"/>
        </w:rPr>
        <w:t>.</w:t>
      </w:r>
      <w:r>
        <w:rPr>
          <w:rStyle w:val="17"/>
          <w:rFonts w:ascii="Times New Roman" w:hAnsi="Times New Roman" w:cs="Times New Roman"/>
          <w:spacing w:val="-2"/>
        </w:rPr>
        <w:footnoteReference w:id="47"/>
      </w:r>
    </w:p>
    <w:p>
      <w:pPr>
        <w:numPr>
          <w:ilvl w:val="0"/>
          <w:numId w:val="30"/>
        </w:numPr>
        <w:spacing w:before="240" w:after="0" w:line="312" w:lineRule="auto"/>
        <w:ind w:left="1062" w:leftChars="400" w:right="-103" w:rightChars="-47" w:hanging="182" w:hangingChars="83"/>
        <w:contextualSpacing/>
        <w:jc w:val="both"/>
        <w:rPr>
          <w:rFonts w:ascii="Times New Roman" w:hAnsi="Times New Roman" w:cs="Times New Roman"/>
        </w:rPr>
      </w:pPr>
      <w:r>
        <w:rPr>
          <w:rFonts w:ascii="Times New Roman" w:hAnsi="Times New Roman" w:cs="Times New Roman"/>
        </w:rPr>
        <w:t>Pemberian Maaf</w:t>
      </w:r>
    </w:p>
    <w:p>
      <w:pPr>
        <w:spacing w:before="240" w:after="0" w:line="312" w:lineRule="auto"/>
        <w:ind w:left="1320" w:leftChars="600" w:right="-103" w:rightChars="-47" w:firstLine="550" w:firstLineChars="250"/>
        <w:contextualSpacing/>
        <w:jc w:val="both"/>
        <w:rPr>
          <w:rFonts w:ascii="Times New Roman" w:hAnsi="Times New Roman" w:cs="Times New Roman"/>
          <w:spacing w:val="-4"/>
          <w:lang w:val="en-US"/>
        </w:rPr>
      </w:pPr>
      <w:r>
        <w:rPr>
          <w:rFonts w:ascii="Times New Roman" w:hAnsi="Times New Roman" w:cs="Times New Roman"/>
          <w:lang w:val="en-US"/>
        </w:rPr>
        <w:t>S</w:t>
      </w:r>
      <w:r>
        <w:rPr>
          <w:rFonts w:ascii="Times New Roman" w:hAnsi="Times New Roman" w:cs="Times New Roman"/>
        </w:rPr>
        <w:t>yarat</w:t>
      </w:r>
      <w:r>
        <w:rPr>
          <w:rFonts w:ascii="Times New Roman" w:hAnsi="Times New Roman" w:cs="Times New Roman"/>
          <w:spacing w:val="-3"/>
        </w:rPr>
        <w:t xml:space="preserve"> </w:t>
      </w:r>
      <w:r>
        <w:rPr>
          <w:rFonts w:ascii="Times New Roman" w:hAnsi="Times New Roman" w:cs="Times New Roman"/>
        </w:rPr>
        <w:t>dalam</w:t>
      </w:r>
      <w:r>
        <w:rPr>
          <w:rFonts w:ascii="Times New Roman" w:hAnsi="Times New Roman" w:cs="Times New Roman"/>
          <w:spacing w:val="-2"/>
        </w:rPr>
        <w:t xml:space="preserve"> </w:t>
      </w:r>
      <w:r>
        <w:rPr>
          <w:rFonts w:ascii="Times New Roman" w:hAnsi="Times New Roman" w:cs="Times New Roman"/>
        </w:rPr>
        <w:t>pemberian</w:t>
      </w:r>
      <w:r>
        <w:rPr>
          <w:rFonts w:ascii="Times New Roman" w:hAnsi="Times New Roman" w:cs="Times New Roman"/>
          <w:spacing w:val="-3"/>
        </w:rPr>
        <w:t xml:space="preserve"> </w:t>
      </w:r>
      <w:r>
        <w:rPr>
          <w:rFonts w:ascii="Times New Roman" w:hAnsi="Times New Roman" w:cs="Times New Roman"/>
        </w:rPr>
        <w:t>maaf</w:t>
      </w:r>
      <w:r>
        <w:rPr>
          <w:rFonts w:ascii="Times New Roman" w:hAnsi="Times New Roman" w:cs="Times New Roman"/>
          <w:spacing w:val="-2"/>
        </w:rPr>
        <w:t xml:space="preserve"> </w:t>
      </w:r>
      <w:r>
        <w:rPr>
          <w:rFonts w:ascii="Times New Roman" w:hAnsi="Times New Roman" w:cs="Times New Roman"/>
        </w:rPr>
        <w:t>ada</w:t>
      </w:r>
      <w:r>
        <w:rPr>
          <w:rFonts w:ascii="Times New Roman" w:hAnsi="Times New Roman" w:cs="Times New Roman"/>
          <w:spacing w:val="-5"/>
          <w:lang w:val="en-US"/>
        </w:rPr>
        <w:t>lah sebagai berikut:</w:t>
      </w:r>
    </w:p>
    <w:p>
      <w:pPr>
        <w:numPr>
          <w:ilvl w:val="0"/>
          <w:numId w:val="32"/>
        </w:numPr>
        <w:tabs>
          <w:tab w:val="clear" w:pos="425"/>
        </w:tabs>
        <w:spacing w:before="240" w:after="0" w:line="312" w:lineRule="auto"/>
        <w:ind w:left="1585" w:right="-103" w:rightChars="-47" w:hanging="385"/>
        <w:contextualSpacing/>
        <w:jc w:val="both"/>
        <w:rPr>
          <w:rFonts w:ascii="Times New Roman" w:hAnsi="Times New Roman" w:cs="Times New Roman"/>
        </w:rPr>
      </w:pPr>
      <w:r>
        <w:rPr>
          <w:rFonts w:ascii="Times New Roman" w:hAnsi="Times New Roman" w:cs="Times New Roman"/>
        </w:rPr>
        <w:t>Yang memberi maaf haruslah seorang yang telah berakal dan balig</w:t>
      </w:r>
      <w:r>
        <w:rPr>
          <w:rFonts w:ascii="Times New Roman" w:hAnsi="Times New Roman" w:cs="Times New Roman"/>
          <w:lang w:val="en-US"/>
        </w:rPr>
        <w:t>h. M</w:t>
      </w:r>
      <w:r>
        <w:rPr>
          <w:rFonts w:ascii="Times New Roman" w:hAnsi="Times New Roman" w:cs="Times New Roman"/>
        </w:rPr>
        <w:t xml:space="preserve">aka tidak sah bila maaf diberikan oleh ahli waris yang </w:t>
      </w:r>
      <w:r>
        <w:rPr>
          <w:rFonts w:ascii="Times New Roman" w:hAnsi="Times New Roman" w:cs="Times New Roman"/>
          <w:lang w:val="en-US"/>
        </w:rPr>
        <w:t>belum baligh</w:t>
      </w:r>
      <w:r>
        <w:rPr>
          <w:rFonts w:ascii="Times New Roman" w:hAnsi="Times New Roman" w:cs="Times New Roman"/>
          <w:spacing w:val="40"/>
        </w:rPr>
        <w:t xml:space="preserve"> </w:t>
      </w:r>
      <w:r>
        <w:rPr>
          <w:rFonts w:ascii="Times New Roman" w:hAnsi="Times New Roman" w:cs="Times New Roman"/>
        </w:rPr>
        <w:t>atau</w:t>
      </w:r>
      <w:r>
        <w:rPr>
          <w:rFonts w:ascii="Times New Roman" w:hAnsi="Times New Roman" w:cs="Times New Roman"/>
          <w:spacing w:val="79"/>
        </w:rPr>
        <w:t xml:space="preserve"> </w:t>
      </w:r>
      <w:r>
        <w:rPr>
          <w:rFonts w:ascii="Times New Roman" w:hAnsi="Times New Roman" w:cs="Times New Roman"/>
        </w:rPr>
        <w:t>gila.</w:t>
      </w:r>
      <w:r>
        <w:rPr>
          <w:rFonts w:ascii="Times New Roman" w:hAnsi="Times New Roman" w:cs="Times New Roman"/>
          <w:spacing w:val="75"/>
        </w:rPr>
        <w:t xml:space="preserve"> </w:t>
      </w:r>
      <w:r>
        <w:rPr>
          <w:rFonts w:ascii="Times New Roman" w:hAnsi="Times New Roman" w:cs="Times New Roman"/>
        </w:rPr>
        <w:t>Sesuai</w:t>
      </w:r>
      <w:r>
        <w:rPr>
          <w:rFonts w:ascii="Times New Roman" w:hAnsi="Times New Roman" w:cs="Times New Roman"/>
          <w:spacing w:val="80"/>
        </w:rPr>
        <w:t xml:space="preserve"> </w:t>
      </w:r>
      <w:r>
        <w:rPr>
          <w:rFonts w:ascii="Times New Roman" w:hAnsi="Times New Roman" w:cs="Times New Roman"/>
        </w:rPr>
        <w:t>dengan</w:t>
      </w:r>
      <w:r>
        <w:rPr>
          <w:rFonts w:ascii="Times New Roman" w:hAnsi="Times New Roman" w:cs="Times New Roman"/>
          <w:spacing w:val="79"/>
        </w:rPr>
        <w:t xml:space="preserve"> </w:t>
      </w:r>
      <w:r>
        <w:rPr>
          <w:rFonts w:ascii="Times New Roman" w:hAnsi="Times New Roman" w:cs="Times New Roman"/>
        </w:rPr>
        <w:t>Hadis</w:t>
      </w:r>
      <w:r>
        <w:rPr>
          <w:rFonts w:ascii="Times New Roman" w:hAnsi="Times New Roman" w:cs="Times New Roman"/>
          <w:spacing w:val="78"/>
        </w:rPr>
        <w:t xml:space="preserve"> </w:t>
      </w:r>
      <w:r>
        <w:rPr>
          <w:rFonts w:ascii="Times New Roman" w:hAnsi="Times New Roman" w:cs="Times New Roman"/>
        </w:rPr>
        <w:t>yang</w:t>
      </w:r>
      <w:r>
        <w:rPr>
          <w:rFonts w:ascii="Times New Roman" w:hAnsi="Times New Roman" w:cs="Times New Roman"/>
          <w:spacing w:val="75"/>
        </w:rPr>
        <w:t xml:space="preserve"> </w:t>
      </w:r>
      <w:r>
        <w:rPr>
          <w:rFonts w:ascii="Times New Roman" w:hAnsi="Times New Roman" w:cs="Times New Roman"/>
        </w:rPr>
        <w:t>di</w:t>
      </w:r>
      <w:r>
        <w:rPr>
          <w:rFonts w:ascii="Times New Roman" w:hAnsi="Times New Roman" w:cs="Times New Roman"/>
          <w:lang w:val="en-US"/>
        </w:rPr>
        <w:t>riwayat</w:t>
      </w:r>
      <w:r>
        <w:rPr>
          <w:rFonts w:ascii="Times New Roman" w:hAnsi="Times New Roman" w:cs="Times New Roman"/>
        </w:rPr>
        <w:t>kan</w:t>
      </w:r>
      <w:r>
        <w:rPr>
          <w:rFonts w:ascii="Times New Roman" w:hAnsi="Times New Roman" w:cs="Times New Roman"/>
          <w:lang w:val="en-US"/>
        </w:rPr>
        <w:t xml:space="preserve"> I</w:t>
      </w:r>
      <w:r>
        <w:rPr>
          <w:rFonts w:ascii="Times New Roman" w:hAnsi="Times New Roman" w:cs="Times New Roman"/>
        </w:rPr>
        <w:t>man</w:t>
      </w:r>
      <w:r>
        <w:rPr>
          <w:rFonts w:ascii="Times New Roman" w:hAnsi="Times New Roman" w:cs="Times New Roman"/>
          <w:spacing w:val="79"/>
        </w:rPr>
        <w:t xml:space="preserve"> </w:t>
      </w:r>
      <w:r>
        <w:rPr>
          <w:rFonts w:ascii="Times New Roman" w:hAnsi="Times New Roman" w:cs="Times New Roman"/>
        </w:rPr>
        <w:t>At-tirmizi melalui</w:t>
      </w:r>
      <w:r>
        <w:rPr>
          <w:rFonts w:ascii="Times New Roman" w:hAnsi="Times New Roman" w:cs="Times New Roman"/>
          <w:spacing w:val="-2"/>
        </w:rPr>
        <w:t xml:space="preserve"> </w:t>
      </w:r>
      <w:r>
        <w:rPr>
          <w:rFonts w:ascii="Times New Roman" w:hAnsi="Times New Roman" w:cs="Times New Roman"/>
        </w:rPr>
        <w:t>jalur</w:t>
      </w:r>
      <w:r>
        <w:rPr>
          <w:rFonts w:ascii="Times New Roman" w:hAnsi="Times New Roman" w:cs="Times New Roman"/>
          <w:spacing w:val="-1"/>
        </w:rPr>
        <w:t xml:space="preserve"> </w:t>
      </w:r>
      <w:r>
        <w:rPr>
          <w:rFonts w:ascii="Times New Roman" w:hAnsi="Times New Roman" w:cs="Times New Roman"/>
        </w:rPr>
        <w:t>al-</w:t>
      </w:r>
      <w:r>
        <w:rPr>
          <w:rFonts w:ascii="Times New Roman" w:hAnsi="Times New Roman" w:cs="Times New Roman"/>
          <w:spacing w:val="-2"/>
        </w:rPr>
        <w:t>Hasan:</w:t>
      </w:r>
      <w:r>
        <w:rPr>
          <w:rStyle w:val="17"/>
          <w:rFonts w:ascii="Times New Roman" w:hAnsi="Times New Roman" w:cs="Times New Roman"/>
          <w:spacing w:val="-2"/>
        </w:rPr>
        <w:footnoteReference w:id="48"/>
      </w:r>
    </w:p>
    <w:p>
      <w:pPr>
        <w:numPr>
          <w:ilvl w:val="0"/>
          <w:numId w:val="32"/>
        </w:numPr>
        <w:tabs>
          <w:tab w:val="clear" w:pos="425"/>
        </w:tabs>
        <w:spacing w:before="240" w:after="0" w:line="312" w:lineRule="auto"/>
        <w:ind w:left="1585" w:right="-103" w:rightChars="-47" w:hanging="385"/>
        <w:contextualSpacing/>
        <w:jc w:val="both"/>
        <w:rPr>
          <w:rFonts w:ascii="Times New Roman" w:hAnsi="Times New Roman" w:cs="Times New Roman"/>
        </w:rPr>
      </w:pPr>
      <w:r>
        <w:rPr>
          <w:rFonts w:ascii="Times New Roman" w:hAnsi="Times New Roman" w:cs="Times New Roman"/>
        </w:rPr>
        <w:t>Maaf harus diberikan oleh orang yang berhak memaafkan, karena maaf adalah menggugurkan hak (</w:t>
      </w:r>
      <w:r>
        <w:rPr>
          <w:rFonts w:ascii="Times New Roman" w:hAnsi="Times New Roman" w:cs="Times New Roman"/>
          <w:i/>
          <w:iCs/>
        </w:rPr>
        <w:t>qishas</w:t>
      </w:r>
      <w:r>
        <w:rPr>
          <w:rFonts w:ascii="Times New Roman" w:hAnsi="Times New Roman" w:cs="Times New Roman"/>
        </w:rPr>
        <w:t>) dan pengguguran hak tidak mungkin diberi oleh orang yang tidak berhak.</w:t>
      </w:r>
      <w:r>
        <w:rPr>
          <w:rStyle w:val="17"/>
          <w:rFonts w:ascii="Times New Roman" w:hAnsi="Times New Roman" w:cs="Times New Roman"/>
        </w:rPr>
        <w:footnoteReference w:id="49"/>
      </w:r>
    </w:p>
    <w:p>
      <w:pPr>
        <w:spacing w:before="240" w:after="0" w:line="312" w:lineRule="auto"/>
        <w:ind w:right="-103" w:rightChars="-47"/>
        <w:contextualSpacing/>
        <w:jc w:val="both"/>
        <w:rPr>
          <w:rFonts w:ascii="Times New Roman" w:hAnsi="Times New Roman" w:cs="Times New Roman"/>
        </w:rPr>
      </w:pPr>
    </w:p>
    <w:p>
      <w:pPr>
        <w:pStyle w:val="3"/>
        <w:numPr>
          <w:ilvl w:val="0"/>
          <w:numId w:val="20"/>
        </w:numPr>
      </w:pPr>
      <w:bookmarkStart w:id="26" w:name="_Toc199801664"/>
      <w:bookmarkStart w:id="27" w:name="_Toc199801675"/>
      <w:r>
        <w:t>Grasi Perspektif Hukum Pidana</w:t>
      </w:r>
      <w:bookmarkEnd w:id="26"/>
      <w:r>
        <w:t xml:space="preserve"> </w:t>
      </w:r>
    </w:p>
    <w:p>
      <w:pPr>
        <w:pStyle w:val="5"/>
        <w:numPr>
          <w:ilvl w:val="6"/>
          <w:numId w:val="1"/>
        </w:numPr>
        <w:ind w:left="851" w:hanging="284"/>
      </w:pPr>
      <w:bookmarkStart w:id="28" w:name="_Toc199801665"/>
      <w:r>
        <w:t>Pengertian Grasi</w:t>
      </w:r>
      <w:bookmarkEnd w:id="28"/>
      <w:r>
        <w:t xml:space="preserve"> dalam Hukum Pidana</w:t>
      </w:r>
    </w:p>
    <w:p>
      <w:pPr>
        <w:pStyle w:val="5"/>
        <w:numPr>
          <w:ilvl w:val="0"/>
          <w:numId w:val="0"/>
        </w:numPr>
        <w:ind w:left="851" w:firstLine="567"/>
        <w:rPr>
          <w:rFonts w:ascii="Times New Roman" w:hAnsi="Times New Roman" w:cs="Times New Roman"/>
          <w:b w:val="0"/>
          <w:bCs w:val="0"/>
          <w:spacing w:val="1"/>
        </w:rPr>
      </w:pPr>
      <w:r>
        <w:rPr>
          <w:rFonts w:ascii="Times New Roman" w:hAnsi="Times New Roman" w:eastAsia="Times New Roman" w:cs="Times New Roman"/>
          <w:b w:val="0"/>
          <w:bCs w:val="0"/>
          <w:kern w:val="0"/>
          <w14:ligatures w14:val="none"/>
        </w:rPr>
        <w:t>Pengertian Secara etimologis, istilah grasi berasal dari bahasa Belanda, yaitu gratie atau grade, yang bermakna anugerah atau rahmat. Dalam konteks hukum, grasi diartikan sebagai keringanan hukuman yang diberikan oleh kepala negara kepada terpidana setelah putusan hukum tetap dari hakim, atau sebagai bentuk pengampunan secara perorangan</w:t>
      </w:r>
      <w:r>
        <w:rPr>
          <w:rFonts w:ascii="Times New Roman" w:hAnsi="Times New Roman" w:cs="Times New Roman"/>
          <w:b w:val="0"/>
          <w:bCs w:val="0"/>
        </w:rPr>
        <w:t>.</w:t>
      </w:r>
      <w:r>
        <w:rPr>
          <w:rFonts w:ascii="Times New Roman" w:hAnsi="Times New Roman" w:cs="Times New Roman"/>
          <w:b w:val="0"/>
          <w:bCs w:val="0"/>
          <w:spacing w:val="1"/>
        </w:rPr>
        <w:t xml:space="preserve"> </w:t>
      </w:r>
      <w:r>
        <w:rPr>
          <w:rStyle w:val="17"/>
          <w:rFonts w:ascii="Times New Roman" w:hAnsi="Times New Roman" w:cs="Times New Roman"/>
          <w:b w:val="0"/>
          <w:bCs w:val="0"/>
        </w:rPr>
        <w:footnoteReference w:id="50"/>
      </w:r>
    </w:p>
    <w:p>
      <w:pPr>
        <w:pStyle w:val="5"/>
        <w:numPr>
          <w:ilvl w:val="0"/>
          <w:numId w:val="0"/>
        </w:numPr>
        <w:ind w:left="851" w:firstLine="567"/>
      </w:pPr>
      <w:r>
        <w:rPr>
          <w:rFonts w:ascii="Times New Roman" w:hAnsi="Times New Roman" w:eastAsia="Times New Roman" w:cs="Times New Roman"/>
          <w:b w:val="0"/>
          <w:bCs w:val="0"/>
          <w:kern w:val="0"/>
          <w14:ligatures w14:val="none"/>
        </w:rPr>
        <w:t>Berdasarkan Pasal 1 Undang-Undang Nomor 22 Tahun 2002 tentang Grasi, grasi diartikan sebagai pengampunan yang dapat berupa perubahan, peringanan, pengurangan, atau penghapusan pelaksanaan pidana yang diberikan oleh Presiden kepada terpidana.</w:t>
      </w:r>
      <w:r>
        <w:rPr>
          <w:rFonts w:ascii="Times New Roman" w:hAnsi="Times New Roman" w:cs="Times New Roman"/>
          <w:b w:val="0"/>
          <w:bCs w:val="0"/>
        </w:rPr>
        <w:t>”</w:t>
      </w:r>
      <w:r>
        <w:rPr>
          <w:rStyle w:val="17"/>
          <w:rFonts w:ascii="Times New Roman" w:hAnsi="Times New Roman" w:cs="Times New Roman"/>
          <w:b w:val="0"/>
          <w:bCs w:val="0"/>
        </w:rPr>
        <w:footnoteReference w:id="51"/>
      </w:r>
    </w:p>
    <w:p>
      <w:pPr>
        <w:pStyle w:val="5"/>
        <w:numPr>
          <w:ilvl w:val="6"/>
          <w:numId w:val="1"/>
        </w:numPr>
        <w:ind w:left="851" w:hanging="284"/>
      </w:pPr>
      <w:bookmarkStart w:id="29" w:name="_Toc199801667"/>
      <w:r>
        <w:t>Dasar Hukum Grasi</w:t>
      </w:r>
      <w:bookmarkEnd w:id="29"/>
      <w:r>
        <w:t xml:space="preserve"> Hukum Pidana</w:t>
      </w:r>
    </w:p>
    <w:p>
      <w:pPr>
        <w:pStyle w:val="5"/>
        <w:numPr>
          <w:ilvl w:val="0"/>
          <w:numId w:val="0"/>
        </w:numPr>
        <w:ind w:left="851" w:firstLine="567"/>
        <w:rPr>
          <w:b w:val="0"/>
          <w:bCs w:val="0"/>
        </w:rPr>
      </w:pPr>
      <w:r>
        <w:rPr>
          <w:b w:val="0"/>
          <w:bCs w:val="0"/>
        </w:rPr>
        <w:t xml:space="preserve">Ketentuan mengenai grasi sebelumnya diatur dalam Undang-Undang Nomor 3 Tahun 1950 tentang Permohonan Grasi, yang mulai berlaku sejak 5 Juli 1950. Undang-Undang ini berlaku selama 52 tahun hingga digantikan oleh Undang-Undang Nomor 22 Tahun 2002 pada tanggal 22 Oktober 2002. </w:t>
      </w:r>
    </w:p>
    <w:p>
      <w:pPr>
        <w:pStyle w:val="5"/>
        <w:numPr>
          <w:ilvl w:val="0"/>
          <w:numId w:val="0"/>
        </w:numPr>
        <w:ind w:left="851" w:firstLine="567"/>
        <w:rPr>
          <w:b w:val="0"/>
          <w:bCs w:val="0"/>
        </w:rPr>
      </w:pPr>
      <w:r>
        <w:rPr>
          <w:b w:val="0"/>
          <w:bCs w:val="0"/>
        </w:rPr>
        <w:t>kemudian, Undang-Undang Nomor 22 Tahun 2002 tentang Grasi menggantikan Undang-Undang sebelumnya dan mengatur ketentuan umum, ruang lingkup permohonan dan pemberian grasi, serta tata cara pengajuan dan penyelesaian permohonan grasi secara lebih rinci.</w:t>
      </w:r>
    </w:p>
    <w:p>
      <w:pPr>
        <w:pStyle w:val="5"/>
        <w:numPr>
          <w:ilvl w:val="0"/>
          <w:numId w:val="0"/>
        </w:numPr>
        <w:ind w:left="851" w:firstLine="567"/>
      </w:pPr>
      <w:r>
        <w:rPr>
          <w:b w:val="0"/>
          <w:bCs w:val="0"/>
        </w:rPr>
        <w:t>Grasi juga diatur dalam UUD 1945 Pasal 14 Ayat (1), yang menyebutkan bahwa Presiden berhak memberikan grasi dan rehabilitasi dengan mempertimbangkan saran dari Mahkamah Agung. Hak ini merupakan hak istimewa Kepala Negara karena berkaitan dengan ranah kehakiman. Selain dalam KUHP, grasi juga diatur dalam Kitab Undang-Undang Hukum Acara Pidana (KUHAP) Pasal 196 Ayat (3), yang mewajibkan hakim ketua sidang untuk memberitahu terdakwa tentang hak-haknya segera setelah putusan dijatuhkan, termasuk hak untuk menerima atau menolak putusan, mempelajari putusan, mengajukan banding, mengajukan permohonan grasi, dan lain-lain.</w:t>
      </w:r>
    </w:p>
    <w:p>
      <w:pPr>
        <w:pStyle w:val="5"/>
        <w:numPr>
          <w:ilvl w:val="6"/>
          <w:numId w:val="1"/>
        </w:numPr>
        <w:ind w:left="851" w:hanging="284"/>
      </w:pPr>
      <w:bookmarkStart w:id="30" w:name="_Toc199801668"/>
      <w:r>
        <w:t>Syarat-syarat Mengajukan Grasi</w:t>
      </w:r>
    </w:p>
    <w:p>
      <w:pPr>
        <w:pStyle w:val="6"/>
        <w:spacing w:after="0" w:line="312" w:lineRule="auto"/>
        <w:ind w:left="849" w:leftChars="386" w:right="-103" w:rightChars="-47" w:firstLine="543" w:firstLineChars="247"/>
        <w:contextualSpacing/>
        <w:jc w:val="both"/>
        <w:rPr>
          <w:rFonts w:asciiTheme="majorBidi" w:hAnsiTheme="majorBidi" w:cstheme="majorBidi"/>
          <w:sz w:val="22"/>
          <w:szCs w:val="22"/>
          <w:lang w:val="en-US"/>
        </w:rPr>
      </w:pPr>
      <w:r>
        <w:rPr>
          <w:rFonts w:asciiTheme="majorBidi" w:hAnsiTheme="majorBidi" w:cstheme="majorBidi"/>
          <w:sz w:val="22"/>
          <w:szCs w:val="22"/>
          <w:lang w:val="en-US"/>
        </w:rPr>
        <w:t>Menurut muliadi dan Barda Nawawi, pihak yang ingin mengajukan permohonan grasi kepada Presiden harus memenuhi persyaratan sebagai berikut:</w:t>
      </w:r>
    </w:p>
    <w:p>
      <w:pPr>
        <w:pStyle w:val="6"/>
        <w:numPr>
          <w:ilvl w:val="0"/>
          <w:numId w:val="33"/>
        </w:numPr>
        <w:spacing w:after="0" w:line="312" w:lineRule="auto"/>
        <w:ind w:left="1276" w:right="-103" w:rightChars="-47"/>
        <w:contextualSpacing/>
        <w:jc w:val="both"/>
        <w:rPr>
          <w:rFonts w:asciiTheme="majorBidi" w:hAnsiTheme="majorBidi" w:cstheme="majorBidi"/>
          <w:sz w:val="22"/>
          <w:szCs w:val="22"/>
          <w:lang w:val="en-US"/>
        </w:rPr>
      </w:pPr>
      <w:r>
        <w:rPr>
          <w:rFonts w:asciiTheme="majorBidi" w:hAnsiTheme="majorBidi" w:cstheme="majorBidi"/>
          <w:sz w:val="22"/>
          <w:szCs w:val="22"/>
          <w:lang w:val="en-US"/>
        </w:rPr>
        <w:t>Permohonan grasi hanya dapat diajukan oleh terpidana yang telah menerima putusan pengadilan dengan status hukum tetap.</w:t>
      </w:r>
    </w:p>
    <w:p>
      <w:pPr>
        <w:pStyle w:val="6"/>
        <w:numPr>
          <w:ilvl w:val="0"/>
          <w:numId w:val="33"/>
        </w:numPr>
        <w:spacing w:after="0" w:line="312" w:lineRule="auto"/>
        <w:ind w:left="1276" w:right="-103" w:rightChars="-47"/>
        <w:contextualSpacing/>
        <w:jc w:val="both"/>
        <w:rPr>
          <w:rFonts w:asciiTheme="majorBidi" w:hAnsiTheme="majorBidi" w:cstheme="majorBidi"/>
          <w:sz w:val="22"/>
          <w:szCs w:val="22"/>
          <w:lang w:val="en-US"/>
        </w:rPr>
      </w:pPr>
      <w:r>
        <w:rPr>
          <w:rFonts w:asciiTheme="majorBidi" w:hAnsiTheme="majorBidi" w:cstheme="majorBidi"/>
          <w:sz w:val="22"/>
          <w:szCs w:val="22"/>
          <w:lang w:val="en-US"/>
        </w:rPr>
        <w:t>Permohonan grasi hanya berlaku bagi terpidana yang dijatuhi:</w:t>
      </w:r>
    </w:p>
    <w:p>
      <w:pPr>
        <w:pStyle w:val="4"/>
        <w:numPr>
          <w:ilvl w:val="3"/>
          <w:numId w:val="33"/>
        </w:numPr>
        <w:spacing w:after="0" w:line="312" w:lineRule="auto"/>
        <w:ind w:left="1553" w:leftChars="610" w:right="-103" w:rightChars="-47" w:hanging="211" w:hangingChars="96"/>
        <w:jc w:val="both"/>
        <w:rPr>
          <w:rFonts w:asciiTheme="majorBidi" w:hAnsiTheme="majorBidi" w:cstheme="majorBidi"/>
        </w:rPr>
      </w:pPr>
      <w:r>
        <w:rPr>
          <w:rFonts w:asciiTheme="majorBidi" w:hAnsiTheme="majorBidi" w:cstheme="majorBidi"/>
          <w:lang w:val="en-US"/>
        </w:rPr>
        <w:t>P</w:t>
      </w:r>
      <w:r>
        <w:rPr>
          <w:rFonts w:asciiTheme="majorBidi" w:hAnsiTheme="majorBidi" w:cstheme="majorBidi"/>
        </w:rPr>
        <w:t>idana</w:t>
      </w:r>
      <w:r>
        <w:rPr>
          <w:rFonts w:asciiTheme="majorBidi" w:hAnsiTheme="majorBidi" w:cstheme="majorBidi"/>
          <w:spacing w:val="-2"/>
        </w:rPr>
        <w:t xml:space="preserve"> </w:t>
      </w:r>
      <w:r>
        <w:rPr>
          <w:rFonts w:asciiTheme="majorBidi" w:hAnsiTheme="majorBidi" w:cstheme="majorBidi"/>
        </w:rPr>
        <w:t>mati;</w:t>
      </w:r>
    </w:p>
    <w:p>
      <w:pPr>
        <w:pStyle w:val="4"/>
        <w:numPr>
          <w:ilvl w:val="3"/>
          <w:numId w:val="33"/>
        </w:numPr>
        <w:spacing w:after="0" w:line="312" w:lineRule="auto"/>
        <w:ind w:left="1553" w:leftChars="610" w:right="-103" w:rightChars="-47" w:hanging="211" w:hangingChars="96"/>
        <w:jc w:val="both"/>
        <w:rPr>
          <w:rFonts w:asciiTheme="majorBidi" w:hAnsiTheme="majorBidi" w:cstheme="majorBidi"/>
        </w:rPr>
      </w:pPr>
      <w:r>
        <w:rPr>
          <w:rFonts w:asciiTheme="majorBidi" w:hAnsiTheme="majorBidi" w:cstheme="majorBidi"/>
          <w:lang w:val="en-US"/>
        </w:rPr>
        <w:t>P</w:t>
      </w:r>
      <w:r>
        <w:rPr>
          <w:rFonts w:asciiTheme="majorBidi" w:hAnsiTheme="majorBidi" w:cstheme="majorBidi"/>
        </w:rPr>
        <w:t>idana</w:t>
      </w:r>
      <w:r>
        <w:rPr>
          <w:rFonts w:asciiTheme="majorBidi" w:hAnsiTheme="majorBidi" w:cstheme="majorBidi"/>
          <w:spacing w:val="-3"/>
        </w:rPr>
        <w:t xml:space="preserve"> </w:t>
      </w:r>
      <w:r>
        <w:rPr>
          <w:rFonts w:asciiTheme="majorBidi" w:hAnsiTheme="majorBidi" w:cstheme="majorBidi"/>
        </w:rPr>
        <w:t>penjara</w:t>
      </w:r>
      <w:r>
        <w:rPr>
          <w:rFonts w:asciiTheme="majorBidi" w:hAnsiTheme="majorBidi" w:cstheme="majorBidi"/>
          <w:spacing w:val="-3"/>
        </w:rPr>
        <w:t xml:space="preserve"> </w:t>
      </w:r>
      <w:r>
        <w:rPr>
          <w:rFonts w:asciiTheme="majorBidi" w:hAnsiTheme="majorBidi" w:cstheme="majorBidi"/>
          <w:lang w:val="en-US"/>
        </w:rPr>
        <w:t>seumur</w:t>
      </w:r>
      <w:r>
        <w:rPr>
          <w:rFonts w:asciiTheme="majorBidi" w:hAnsiTheme="majorBidi" w:cstheme="majorBidi"/>
          <w:spacing w:val="-1"/>
        </w:rPr>
        <w:t xml:space="preserve"> </w:t>
      </w:r>
      <w:r>
        <w:rPr>
          <w:rFonts w:asciiTheme="majorBidi" w:hAnsiTheme="majorBidi" w:cstheme="majorBidi"/>
        </w:rPr>
        <w:t>hidup;</w:t>
      </w:r>
    </w:p>
    <w:p>
      <w:pPr>
        <w:pStyle w:val="4"/>
        <w:numPr>
          <w:ilvl w:val="3"/>
          <w:numId w:val="33"/>
        </w:numPr>
        <w:spacing w:after="0" w:line="312" w:lineRule="auto"/>
        <w:ind w:left="1553" w:leftChars="610" w:right="-103" w:rightChars="-47" w:hanging="211" w:hangingChars="96"/>
        <w:jc w:val="both"/>
        <w:rPr>
          <w:rFonts w:asciiTheme="majorBidi" w:hAnsiTheme="majorBidi" w:cstheme="majorBidi"/>
        </w:rPr>
      </w:pPr>
      <w:r>
        <w:rPr>
          <w:rFonts w:asciiTheme="majorBidi" w:hAnsiTheme="majorBidi" w:cstheme="majorBidi"/>
          <w:lang w:val="en-US"/>
        </w:rPr>
        <w:t>P</w:t>
      </w:r>
      <w:r>
        <w:rPr>
          <w:rFonts w:asciiTheme="majorBidi" w:hAnsiTheme="majorBidi" w:cstheme="majorBidi"/>
        </w:rPr>
        <w:t>idana</w:t>
      </w:r>
      <w:r>
        <w:rPr>
          <w:rFonts w:asciiTheme="majorBidi" w:hAnsiTheme="majorBidi" w:cstheme="majorBidi"/>
          <w:spacing w:val="-3"/>
        </w:rPr>
        <w:t xml:space="preserve"> </w:t>
      </w:r>
      <w:r>
        <w:rPr>
          <w:rFonts w:asciiTheme="majorBidi" w:hAnsiTheme="majorBidi" w:cstheme="majorBidi"/>
        </w:rPr>
        <w:t>penjara</w:t>
      </w:r>
      <w:r>
        <w:rPr>
          <w:rFonts w:asciiTheme="majorBidi" w:hAnsiTheme="majorBidi" w:cstheme="majorBidi"/>
          <w:spacing w:val="-2"/>
        </w:rPr>
        <w:t xml:space="preserve"> </w:t>
      </w:r>
      <w:r>
        <w:rPr>
          <w:rFonts w:asciiTheme="majorBidi" w:hAnsiTheme="majorBidi" w:cstheme="majorBidi"/>
        </w:rPr>
        <w:t>paling</w:t>
      </w:r>
      <w:r>
        <w:rPr>
          <w:rFonts w:asciiTheme="majorBidi" w:hAnsiTheme="majorBidi" w:cstheme="majorBidi"/>
          <w:spacing w:val="-2"/>
        </w:rPr>
        <w:t xml:space="preserve"> </w:t>
      </w:r>
      <w:r>
        <w:rPr>
          <w:rFonts w:asciiTheme="majorBidi" w:hAnsiTheme="majorBidi" w:cstheme="majorBidi"/>
        </w:rPr>
        <w:t>rendah</w:t>
      </w:r>
      <w:r>
        <w:rPr>
          <w:rFonts w:asciiTheme="majorBidi" w:hAnsiTheme="majorBidi" w:cstheme="majorBidi"/>
          <w:spacing w:val="-2"/>
        </w:rPr>
        <w:t xml:space="preserve"> </w:t>
      </w:r>
      <w:r>
        <w:rPr>
          <w:rFonts w:asciiTheme="majorBidi" w:hAnsiTheme="majorBidi" w:cstheme="majorBidi"/>
        </w:rPr>
        <w:t>2</w:t>
      </w:r>
      <w:r>
        <w:rPr>
          <w:rFonts w:asciiTheme="majorBidi" w:hAnsiTheme="majorBidi" w:cstheme="majorBidi"/>
          <w:spacing w:val="-3"/>
        </w:rPr>
        <w:t xml:space="preserve"> </w:t>
      </w:r>
      <w:r>
        <w:rPr>
          <w:rFonts w:asciiTheme="majorBidi" w:hAnsiTheme="majorBidi" w:cstheme="majorBidi"/>
        </w:rPr>
        <w:t>(dua) Tahun;</w:t>
      </w:r>
    </w:p>
    <w:p>
      <w:pPr>
        <w:spacing w:after="0" w:line="312" w:lineRule="auto"/>
        <w:ind w:left="869" w:firstLine="407"/>
        <w:contextualSpacing/>
        <w:jc w:val="both"/>
        <w:rPr>
          <w:rFonts w:asciiTheme="majorBidi" w:hAnsiTheme="majorBidi" w:cstheme="majorBidi"/>
        </w:rPr>
      </w:pPr>
      <w:r>
        <w:rPr>
          <w:rFonts w:ascii="Times New Roman" w:hAnsi="Times New Roman" w:eastAsia="Times New Roman" w:cs="Times New Roman"/>
          <w:kern w:val="0"/>
          <w:lang w:val="en-US"/>
          <w14:ligatures w14:val="none"/>
        </w:rPr>
        <w:t>Seorang terpidana dapat mengajukan permohonan grasi kepada Presiden atas putusan pengadilan yang telah berkekuatan hukum tetap, sebagaimana diatur dalam Pasal 2 Ayat (1). Presiden berwenang memberikan grasi dalam bentuk:</w:t>
      </w:r>
    </w:p>
    <w:p>
      <w:pPr>
        <w:numPr>
          <w:ilvl w:val="0"/>
          <w:numId w:val="34"/>
        </w:numPr>
        <w:spacing w:after="0" w:line="312" w:lineRule="auto"/>
        <w:ind w:left="1099" w:right="-103" w:rightChars="-47" w:hanging="219"/>
        <w:contextualSpacing/>
        <w:jc w:val="both"/>
        <w:rPr>
          <w:rFonts w:asciiTheme="majorBidi" w:hAnsiTheme="majorBidi" w:cstheme="majorBidi"/>
        </w:rPr>
      </w:pPr>
      <w:r>
        <w:rPr>
          <w:rFonts w:ascii="Times New Roman" w:hAnsi="Times New Roman" w:eastAsia="Times New Roman" w:cs="Times New Roman"/>
          <w:kern w:val="0"/>
          <w:lang w:val="en-US"/>
          <w14:ligatures w14:val="none"/>
        </w:rPr>
        <w:t>Perubahan hukuman, misalnya mengubah hukuman mati menjadi penjara seumur hidup.</w:t>
      </w:r>
    </w:p>
    <w:p>
      <w:pPr>
        <w:numPr>
          <w:ilvl w:val="0"/>
          <w:numId w:val="34"/>
        </w:numPr>
        <w:spacing w:after="0" w:line="312" w:lineRule="auto"/>
        <w:ind w:left="1099" w:right="-103" w:rightChars="-47" w:hanging="219"/>
        <w:contextualSpacing/>
        <w:jc w:val="both"/>
        <w:rPr>
          <w:rFonts w:asciiTheme="majorBidi" w:hAnsiTheme="majorBidi" w:cstheme="majorBidi"/>
        </w:rPr>
      </w:pPr>
      <w:r>
        <w:rPr>
          <w:rFonts w:ascii="Times New Roman" w:hAnsi="Times New Roman" w:eastAsia="Times New Roman" w:cs="Times New Roman"/>
          <w:kern w:val="0"/>
          <w:lang w:val="en-US"/>
          <w14:ligatures w14:val="none"/>
        </w:rPr>
        <w:t>Peringanan hukuman, seperti pengurangan masa penjara sebagai pengganti denda, pengembalian barang sitaan untuk kepentingan negara, atau pengurangan jumlah denda.</w:t>
      </w:r>
    </w:p>
    <w:p>
      <w:pPr>
        <w:keepNext w:val="0"/>
        <w:keepLines w:val="0"/>
        <w:pageBreakBefore w:val="0"/>
        <w:widowControl/>
        <w:numPr>
          <w:ilvl w:val="0"/>
          <w:numId w:val="34"/>
        </w:numPr>
        <w:kinsoku/>
        <w:wordWrap/>
        <w:overflowPunct/>
        <w:topLinePunct w:val="0"/>
        <w:autoSpaceDE/>
        <w:autoSpaceDN/>
        <w:bidi w:val="0"/>
        <w:adjustRightInd/>
        <w:snapToGrid/>
        <w:spacing w:after="0" w:line="312" w:lineRule="auto"/>
        <w:ind w:left="1099" w:right="-103" w:rightChars="-47" w:hanging="219"/>
        <w:contextualSpacing/>
        <w:jc w:val="both"/>
        <w:textAlignment w:val="auto"/>
        <w:outlineLvl w:val="9"/>
        <w:rPr>
          <w:rFonts w:asciiTheme="majorBidi" w:hAnsiTheme="majorBidi" w:cstheme="majorBidi"/>
        </w:rPr>
      </w:pPr>
      <w:r>
        <w:rPr>
          <w:rFonts w:ascii="Times New Roman" w:hAnsi="Times New Roman" w:eastAsia="Times New Roman" w:cs="Times New Roman"/>
          <w:kern w:val="0"/>
          <w:lang w:val="en-US"/>
          <w14:ligatures w14:val="none"/>
        </w:rPr>
        <w:t>Penghapusan hukuman, yaitu membatalkan pelaksanaan pidana penjara atau denda, yang menghilangkan akibat hukuman tanpa mengubah status pemidanaan itu sendiri.</w:t>
      </w:r>
    </w:p>
    <w:p>
      <w:pPr>
        <w:pStyle w:val="4"/>
        <w:keepNext w:val="0"/>
        <w:keepLines w:val="0"/>
        <w:pageBreakBefore w:val="0"/>
        <w:widowControl/>
        <w:kinsoku/>
        <w:wordWrap/>
        <w:overflowPunct/>
        <w:topLinePunct w:val="0"/>
        <w:autoSpaceDE/>
        <w:autoSpaceDN/>
        <w:bidi w:val="0"/>
        <w:adjustRightInd/>
        <w:snapToGrid/>
        <w:spacing w:before="100" w:after="100" w:line="312" w:lineRule="auto"/>
        <w:ind w:left="945" w:firstLine="615"/>
        <w:jc w:val="both"/>
        <w:textAlignment w:val="auto"/>
        <w:outlineLvl w:val="9"/>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Pihak yang berhak mengajukan permohonan grasi meliputi:</w:t>
      </w:r>
    </w:p>
    <w:p>
      <w:pPr>
        <w:pStyle w:val="4"/>
        <w:keepNext w:val="0"/>
        <w:keepLines w:val="0"/>
        <w:pageBreakBefore w:val="0"/>
        <w:widowControl/>
        <w:kinsoku/>
        <w:wordWrap/>
        <w:overflowPunct/>
        <w:topLinePunct w:val="0"/>
        <w:autoSpaceDE/>
        <w:autoSpaceDN/>
        <w:bidi w:val="0"/>
        <w:adjustRightInd/>
        <w:snapToGrid/>
        <w:spacing w:before="100" w:after="100" w:line="312" w:lineRule="auto"/>
        <w:ind w:left="945" w:firstLine="615"/>
        <w:jc w:val="both"/>
        <w:textAlignment w:val="auto"/>
        <w:outlineLvl w:val="9"/>
        <w:rPr>
          <w:rFonts w:eastAsia="Times New Roman" w:asciiTheme="majorBidi" w:hAnsiTheme="majorBidi" w:cstheme="majorBidi"/>
          <w:kern w:val="0"/>
          <w:lang w:val="en-US"/>
          <w14:ligatures w14:val="none"/>
        </w:rPr>
      </w:pPr>
    </w:p>
    <w:p>
      <w:pPr>
        <w:pStyle w:val="4"/>
        <w:keepNext w:val="0"/>
        <w:keepLines w:val="0"/>
        <w:pageBreakBefore w:val="0"/>
        <w:widowControl/>
        <w:kinsoku/>
        <w:wordWrap/>
        <w:overflowPunct/>
        <w:topLinePunct w:val="0"/>
        <w:autoSpaceDE/>
        <w:autoSpaceDN/>
        <w:bidi w:val="0"/>
        <w:adjustRightInd/>
        <w:snapToGrid/>
        <w:spacing w:before="100" w:after="100" w:line="312" w:lineRule="auto"/>
        <w:ind w:left="945" w:firstLine="615"/>
        <w:jc w:val="both"/>
        <w:textAlignment w:val="auto"/>
        <w:outlineLvl w:val="9"/>
        <w:rPr>
          <w:rFonts w:eastAsia="Times New Roman" w:asciiTheme="majorBidi" w:hAnsiTheme="majorBidi" w:cstheme="majorBidi"/>
          <w:kern w:val="0"/>
          <w:lang w:val="en-US"/>
          <w14:ligatures w14:val="none"/>
        </w:rPr>
      </w:pPr>
      <w:bookmarkStart w:id="42" w:name="_GoBack"/>
      <w:bookmarkEnd w:id="42"/>
    </w:p>
    <w:p>
      <w:pPr>
        <w:pStyle w:val="4"/>
        <w:numPr>
          <w:ilvl w:val="0"/>
          <w:numId w:val="35"/>
        </w:numPr>
        <w:spacing w:after="0" w:line="312" w:lineRule="auto"/>
        <w:ind w:left="1133" w:leftChars="393" w:right="-103" w:rightChars="-47" w:hanging="268"/>
        <w:jc w:val="both"/>
        <w:rPr>
          <w:rFonts w:asciiTheme="majorBidi" w:hAnsiTheme="majorBidi" w:cstheme="majorBidi"/>
        </w:rPr>
      </w:pPr>
      <w:r>
        <w:rPr>
          <w:rFonts w:asciiTheme="majorBidi" w:hAnsiTheme="majorBidi" w:cstheme="majorBidi"/>
        </w:rPr>
        <w:t>Terpidana</w:t>
      </w:r>
    </w:p>
    <w:p>
      <w:pPr>
        <w:pStyle w:val="4"/>
        <w:spacing w:after="0" w:line="312" w:lineRule="auto"/>
        <w:ind w:left="1305" w:leftChars="593" w:right="-103" w:rightChars="-47" w:firstLine="453" w:firstLineChars="206"/>
        <w:jc w:val="both"/>
        <w:rPr>
          <w:rFonts w:asciiTheme="majorBidi" w:hAnsiTheme="majorBidi" w:cstheme="majorBidi"/>
        </w:rPr>
      </w:pPr>
      <w:r>
        <w:rPr>
          <w:rFonts w:eastAsia="Times New Roman" w:asciiTheme="majorBidi" w:hAnsiTheme="majorBidi" w:cstheme="majorBidi"/>
          <w:kern w:val="0"/>
          <w:lang w:val="en-US"/>
          <w14:ligatures w14:val="none"/>
        </w:rPr>
        <w:t>Berdasarkan Pasal 6 Ayat (1) UU No. 22 Tahun 2002, terpidana merupakan pihak utama yang dapat mengajukan permohonan grasi.</w:t>
      </w:r>
    </w:p>
    <w:p>
      <w:pPr>
        <w:pStyle w:val="4"/>
        <w:numPr>
          <w:ilvl w:val="0"/>
          <w:numId w:val="35"/>
        </w:numPr>
        <w:spacing w:after="0" w:line="312" w:lineRule="auto"/>
        <w:ind w:left="1133" w:leftChars="393" w:right="-103" w:rightChars="-47" w:hanging="268"/>
        <w:jc w:val="both"/>
        <w:rPr>
          <w:rFonts w:asciiTheme="majorBidi" w:hAnsiTheme="majorBidi" w:cstheme="majorBidi"/>
        </w:rPr>
      </w:pPr>
      <w:r>
        <w:rPr>
          <w:rFonts w:asciiTheme="majorBidi" w:hAnsiTheme="majorBidi" w:cstheme="majorBidi"/>
        </w:rPr>
        <w:t>Keluarga terpidana</w:t>
      </w:r>
    </w:p>
    <w:p>
      <w:pPr>
        <w:pStyle w:val="4"/>
        <w:spacing w:after="0" w:line="312" w:lineRule="auto"/>
        <w:ind w:left="1133" w:right="-103" w:rightChars="-47" w:firstLine="568"/>
        <w:jc w:val="both"/>
        <w:rPr>
          <w:rFonts w:asciiTheme="majorBidi" w:hAnsiTheme="majorBidi" w:cstheme="majorBidi"/>
          <w:lang w:val="en-US"/>
        </w:rPr>
      </w:pPr>
      <w:r>
        <w:rPr>
          <w:rFonts w:eastAsia="Times New Roman" w:asciiTheme="majorBidi" w:hAnsiTheme="majorBidi" w:cstheme="majorBidi"/>
          <w:kern w:val="0"/>
          <w14:ligatures w14:val="none"/>
        </w:rPr>
        <w:t xml:space="preserve">Keluarga terpidana juga dapat mengajukan grasi, tetapi harus mendapat persetujuan dari terpidana terlebih dahulu, tanpa memerlukan </w:t>
      </w:r>
      <w:r>
        <w:rPr>
          <w:rFonts w:eastAsia="Times New Roman" w:asciiTheme="majorBidi" w:hAnsiTheme="majorBidi" w:cstheme="majorBidi"/>
          <w:kern w:val="0"/>
          <w:lang w:val="en-US"/>
          <w14:ligatures w14:val="none"/>
        </w:rPr>
        <w:t>Surat</w:t>
      </w:r>
      <w:r>
        <w:rPr>
          <w:rFonts w:eastAsia="Times New Roman" w:asciiTheme="majorBidi" w:hAnsiTheme="majorBidi" w:cstheme="majorBidi"/>
          <w:kern w:val="0"/>
          <w14:ligatures w14:val="none"/>
        </w:rPr>
        <w:t xml:space="preserve"> kuasa seperti halnya kuasa hukum. Menurut Penjelasan Pasal 6 Ayat (2), yang dimaksud keluarga terpidana adalah:</w:t>
      </w:r>
    </w:p>
    <w:p>
      <w:pPr>
        <w:pStyle w:val="4"/>
        <w:numPr>
          <w:ilvl w:val="1"/>
          <w:numId w:val="35"/>
        </w:numPr>
        <w:tabs>
          <w:tab w:val="left" w:pos="1400"/>
        </w:tabs>
        <w:spacing w:after="0" w:line="312" w:lineRule="auto"/>
        <w:ind w:left="1448" w:leftChars="498" w:right="-103" w:rightChars="-47" w:hanging="352" w:hangingChars="160"/>
        <w:jc w:val="both"/>
        <w:rPr>
          <w:rFonts w:asciiTheme="majorBidi" w:hAnsiTheme="majorBidi" w:cstheme="majorBidi"/>
        </w:rPr>
      </w:pPr>
      <w:r>
        <w:rPr>
          <w:rFonts w:asciiTheme="majorBidi" w:hAnsiTheme="majorBidi" w:cstheme="majorBidi"/>
          <w:lang w:val="en-US"/>
        </w:rPr>
        <w:t>Suami dan Istri</w:t>
      </w:r>
    </w:p>
    <w:p>
      <w:pPr>
        <w:pStyle w:val="4"/>
        <w:numPr>
          <w:ilvl w:val="1"/>
          <w:numId w:val="35"/>
        </w:numPr>
        <w:tabs>
          <w:tab w:val="left" w:pos="1400"/>
        </w:tabs>
        <w:spacing w:after="0" w:line="312" w:lineRule="auto"/>
        <w:ind w:left="1448" w:leftChars="498" w:right="-103" w:rightChars="-47" w:hanging="352" w:hangingChars="160"/>
        <w:jc w:val="both"/>
        <w:rPr>
          <w:rFonts w:asciiTheme="majorBidi" w:hAnsiTheme="majorBidi" w:cstheme="majorBidi"/>
        </w:rPr>
      </w:pPr>
      <w:r>
        <w:rPr>
          <w:rFonts w:asciiTheme="majorBidi" w:hAnsiTheme="majorBidi" w:cstheme="majorBidi"/>
        </w:rPr>
        <w:t>Anak</w:t>
      </w:r>
      <w:r>
        <w:rPr>
          <w:rFonts w:asciiTheme="majorBidi" w:hAnsiTheme="majorBidi" w:cstheme="majorBidi"/>
          <w:spacing w:val="-1"/>
        </w:rPr>
        <w:t xml:space="preserve"> </w:t>
      </w:r>
      <w:r>
        <w:rPr>
          <w:rFonts w:asciiTheme="majorBidi" w:hAnsiTheme="majorBidi" w:cstheme="majorBidi"/>
        </w:rPr>
        <w:t>kandung</w:t>
      </w:r>
    </w:p>
    <w:p>
      <w:pPr>
        <w:pStyle w:val="4"/>
        <w:numPr>
          <w:ilvl w:val="1"/>
          <w:numId w:val="35"/>
        </w:numPr>
        <w:tabs>
          <w:tab w:val="left" w:pos="1400"/>
        </w:tabs>
        <w:spacing w:after="0" w:line="312" w:lineRule="auto"/>
        <w:ind w:left="1448" w:leftChars="498" w:right="-103" w:rightChars="-47" w:hanging="352" w:hangingChars="160"/>
        <w:jc w:val="both"/>
        <w:rPr>
          <w:rFonts w:asciiTheme="majorBidi" w:hAnsiTheme="majorBidi" w:cstheme="majorBidi"/>
        </w:rPr>
      </w:pPr>
      <w:r>
        <w:rPr>
          <w:rFonts w:asciiTheme="majorBidi" w:hAnsiTheme="majorBidi" w:cstheme="majorBidi"/>
        </w:rPr>
        <w:t>Orang</w:t>
      </w:r>
      <w:r>
        <w:rPr>
          <w:rFonts w:asciiTheme="majorBidi" w:hAnsiTheme="majorBidi" w:cstheme="majorBidi"/>
          <w:spacing w:val="-2"/>
        </w:rPr>
        <w:t xml:space="preserve"> </w:t>
      </w:r>
      <w:r>
        <w:rPr>
          <w:rFonts w:asciiTheme="majorBidi" w:hAnsiTheme="majorBidi" w:cstheme="majorBidi"/>
        </w:rPr>
        <w:t>tua</w:t>
      </w:r>
      <w:r>
        <w:rPr>
          <w:rFonts w:asciiTheme="majorBidi" w:hAnsiTheme="majorBidi" w:cstheme="majorBidi"/>
          <w:spacing w:val="-2"/>
        </w:rPr>
        <w:t xml:space="preserve"> </w:t>
      </w:r>
      <w:r>
        <w:rPr>
          <w:rFonts w:asciiTheme="majorBidi" w:hAnsiTheme="majorBidi" w:cstheme="majorBidi"/>
        </w:rPr>
        <w:t>kandung</w:t>
      </w:r>
    </w:p>
    <w:p>
      <w:pPr>
        <w:pStyle w:val="4"/>
        <w:numPr>
          <w:ilvl w:val="1"/>
          <w:numId w:val="35"/>
        </w:numPr>
        <w:tabs>
          <w:tab w:val="left" w:pos="1400"/>
        </w:tabs>
        <w:spacing w:after="0" w:line="312" w:lineRule="auto"/>
        <w:ind w:left="1448" w:leftChars="498" w:right="-103" w:rightChars="-47" w:hanging="352" w:hangingChars="160"/>
        <w:jc w:val="both"/>
        <w:rPr>
          <w:rFonts w:asciiTheme="majorBidi" w:hAnsiTheme="majorBidi" w:cstheme="majorBidi"/>
        </w:rPr>
      </w:pPr>
      <w:r>
        <w:rPr>
          <w:rFonts w:asciiTheme="majorBidi" w:hAnsiTheme="majorBidi" w:cstheme="majorBidi"/>
        </w:rPr>
        <w:t>Saudara</w:t>
      </w:r>
      <w:r>
        <w:rPr>
          <w:rFonts w:asciiTheme="majorBidi" w:hAnsiTheme="majorBidi" w:cstheme="majorBidi"/>
          <w:spacing w:val="-3"/>
        </w:rPr>
        <w:t xml:space="preserve"> </w:t>
      </w:r>
      <w:r>
        <w:rPr>
          <w:rFonts w:asciiTheme="majorBidi" w:hAnsiTheme="majorBidi" w:cstheme="majorBidi"/>
        </w:rPr>
        <w:t>kandung</w:t>
      </w:r>
      <w:r>
        <w:rPr>
          <w:rFonts w:asciiTheme="majorBidi" w:hAnsiTheme="majorBidi" w:cstheme="majorBidi"/>
          <w:spacing w:val="-3"/>
        </w:rPr>
        <w:t xml:space="preserve"> </w:t>
      </w:r>
      <w:r>
        <w:rPr>
          <w:rFonts w:asciiTheme="majorBidi" w:hAnsiTheme="majorBidi" w:cstheme="majorBidi"/>
        </w:rPr>
        <w:t>terpidana.</w:t>
      </w:r>
      <w:r>
        <w:rPr>
          <w:rStyle w:val="17"/>
          <w:rFonts w:asciiTheme="majorBidi" w:hAnsiTheme="majorBidi" w:cstheme="majorBidi"/>
        </w:rPr>
        <w:footnoteReference w:id="52"/>
      </w:r>
    </w:p>
    <w:p>
      <w:pPr>
        <w:pStyle w:val="4"/>
        <w:spacing w:after="0" w:line="312" w:lineRule="auto"/>
        <w:ind w:left="1134" w:right="-103" w:rightChars="-47" w:firstLine="567"/>
        <w:jc w:val="both"/>
        <w:rPr>
          <w:rFonts w:asciiTheme="majorBidi" w:hAnsiTheme="majorBidi" w:cstheme="majorBidi"/>
          <w:lang w:val="en-US"/>
        </w:rPr>
      </w:pPr>
      <w:r>
        <w:rPr>
          <w:rFonts w:eastAsia="Times New Roman" w:asciiTheme="majorBidi" w:hAnsiTheme="majorBidi" w:cstheme="majorBidi"/>
        </w:rPr>
        <w:t>Khusus untuk terpidana hukuman mati, permohonan grasi dapat diajukan tanpa persetujuan terpidana.</w:t>
      </w:r>
    </w:p>
    <w:p>
      <w:pPr>
        <w:pStyle w:val="4"/>
        <w:numPr>
          <w:ilvl w:val="0"/>
          <w:numId w:val="35"/>
        </w:numPr>
        <w:spacing w:after="0" w:line="312" w:lineRule="auto"/>
        <w:ind w:left="1133" w:leftChars="393" w:right="-103" w:rightChars="-47" w:hanging="268"/>
        <w:jc w:val="both"/>
        <w:rPr>
          <w:rFonts w:asciiTheme="majorBidi" w:hAnsiTheme="majorBidi" w:cstheme="majorBidi"/>
        </w:rPr>
      </w:pPr>
      <w:r>
        <w:rPr>
          <w:rFonts w:asciiTheme="majorBidi" w:hAnsiTheme="majorBidi" w:cstheme="majorBidi"/>
        </w:rPr>
        <w:t>Kuasa Hukum</w:t>
      </w:r>
    </w:p>
    <w:p>
      <w:pPr>
        <w:pStyle w:val="6"/>
        <w:spacing w:after="0" w:line="312" w:lineRule="auto"/>
        <w:ind w:left="1082" w:leftChars="492" w:right="-103" w:rightChars="-47" w:firstLine="563" w:firstLineChars="256"/>
        <w:contextualSpacing/>
        <w:jc w:val="both"/>
        <w:rPr>
          <w:rFonts w:asciiTheme="majorBidi" w:hAnsiTheme="majorBidi" w:cstheme="majorBidi"/>
          <w:sz w:val="22"/>
          <w:szCs w:val="22"/>
        </w:rPr>
      </w:pPr>
      <w:r>
        <w:rPr>
          <w:rFonts w:asciiTheme="majorBidi" w:hAnsiTheme="majorBidi" w:cstheme="majorBidi"/>
          <w:sz w:val="22"/>
          <w:szCs w:val="22"/>
        </w:rPr>
        <w:t>Dalam</w:t>
      </w:r>
      <w:r>
        <w:rPr>
          <w:rFonts w:asciiTheme="majorBidi" w:hAnsiTheme="majorBidi" w:cstheme="majorBidi"/>
          <w:spacing w:val="9"/>
          <w:sz w:val="22"/>
          <w:szCs w:val="22"/>
        </w:rPr>
        <w:t xml:space="preserve"> </w:t>
      </w:r>
      <w:r>
        <w:rPr>
          <w:rFonts w:asciiTheme="majorBidi" w:hAnsiTheme="majorBidi" w:cstheme="majorBidi"/>
          <w:sz w:val="22"/>
          <w:szCs w:val="22"/>
        </w:rPr>
        <w:t>Pasal</w:t>
      </w:r>
      <w:r>
        <w:rPr>
          <w:rFonts w:asciiTheme="majorBidi" w:hAnsiTheme="majorBidi" w:cstheme="majorBidi"/>
          <w:spacing w:val="16"/>
          <w:sz w:val="22"/>
          <w:szCs w:val="22"/>
        </w:rPr>
        <w:t xml:space="preserve"> </w:t>
      </w:r>
      <w:r>
        <w:rPr>
          <w:rFonts w:asciiTheme="majorBidi" w:hAnsiTheme="majorBidi" w:cstheme="majorBidi"/>
          <w:sz w:val="22"/>
          <w:szCs w:val="22"/>
        </w:rPr>
        <w:t>6</w:t>
      </w:r>
      <w:r>
        <w:rPr>
          <w:rFonts w:asciiTheme="majorBidi" w:hAnsiTheme="majorBidi" w:cstheme="majorBidi"/>
          <w:spacing w:val="11"/>
          <w:sz w:val="22"/>
          <w:szCs w:val="22"/>
        </w:rPr>
        <w:t xml:space="preserve"> </w:t>
      </w:r>
      <w:r>
        <w:rPr>
          <w:rFonts w:asciiTheme="majorBidi" w:hAnsiTheme="majorBidi" w:cstheme="majorBidi"/>
          <w:spacing w:val="11"/>
          <w:sz w:val="22"/>
          <w:szCs w:val="22"/>
          <w:lang w:val="id-ID"/>
        </w:rPr>
        <w:t>Ayat</w:t>
      </w:r>
      <w:r>
        <w:rPr>
          <w:rFonts w:asciiTheme="majorBidi" w:hAnsiTheme="majorBidi" w:cstheme="majorBidi"/>
          <w:spacing w:val="14"/>
          <w:sz w:val="22"/>
          <w:szCs w:val="22"/>
        </w:rPr>
        <w:t xml:space="preserve"> </w:t>
      </w:r>
      <w:r>
        <w:rPr>
          <w:rFonts w:asciiTheme="majorBidi" w:hAnsiTheme="majorBidi" w:cstheme="majorBidi"/>
          <w:sz w:val="22"/>
          <w:szCs w:val="22"/>
        </w:rPr>
        <w:t>(1)</w:t>
      </w:r>
      <w:r>
        <w:rPr>
          <w:rFonts w:asciiTheme="majorBidi" w:hAnsiTheme="majorBidi" w:cstheme="majorBidi"/>
          <w:spacing w:val="17"/>
          <w:sz w:val="22"/>
          <w:szCs w:val="22"/>
        </w:rPr>
        <w:t xml:space="preserve"> </w:t>
      </w:r>
      <w:r>
        <w:rPr>
          <w:rFonts w:asciiTheme="majorBidi" w:hAnsiTheme="majorBidi" w:cstheme="majorBidi"/>
          <w:sz w:val="22"/>
          <w:szCs w:val="22"/>
        </w:rPr>
        <w:t>menegaskan</w:t>
      </w:r>
      <w:r>
        <w:rPr>
          <w:rFonts w:asciiTheme="majorBidi" w:hAnsiTheme="majorBidi" w:cstheme="majorBidi"/>
          <w:spacing w:val="11"/>
          <w:sz w:val="22"/>
          <w:szCs w:val="22"/>
        </w:rPr>
        <w:t xml:space="preserve"> </w:t>
      </w:r>
      <w:r>
        <w:rPr>
          <w:rFonts w:asciiTheme="majorBidi" w:hAnsiTheme="majorBidi" w:cstheme="majorBidi"/>
          <w:sz w:val="22"/>
          <w:szCs w:val="22"/>
        </w:rPr>
        <w:t>juga</w:t>
      </w:r>
      <w:r>
        <w:rPr>
          <w:rFonts w:asciiTheme="majorBidi" w:hAnsiTheme="majorBidi" w:cstheme="majorBidi"/>
          <w:spacing w:val="11"/>
          <w:sz w:val="22"/>
          <w:szCs w:val="22"/>
        </w:rPr>
        <w:t xml:space="preserve"> </w:t>
      </w:r>
      <w:r>
        <w:rPr>
          <w:rFonts w:asciiTheme="majorBidi" w:hAnsiTheme="majorBidi" w:cstheme="majorBidi"/>
          <w:sz w:val="22"/>
          <w:szCs w:val="22"/>
        </w:rPr>
        <w:t>bahwa:</w:t>
      </w:r>
      <w:r>
        <w:rPr>
          <w:rFonts w:asciiTheme="majorBidi" w:hAnsiTheme="majorBidi" w:cstheme="majorBidi"/>
          <w:spacing w:val="11"/>
          <w:sz w:val="22"/>
          <w:szCs w:val="22"/>
        </w:rPr>
        <w:t xml:space="preserve"> “K</w:t>
      </w:r>
      <w:r>
        <w:rPr>
          <w:rFonts w:asciiTheme="majorBidi" w:hAnsiTheme="majorBidi" w:cstheme="majorBidi"/>
          <w:sz w:val="22"/>
          <w:szCs w:val="22"/>
        </w:rPr>
        <w:t>uasa</w:t>
      </w:r>
      <w:r>
        <w:rPr>
          <w:rFonts w:asciiTheme="majorBidi" w:hAnsiTheme="majorBidi" w:cstheme="majorBidi"/>
          <w:spacing w:val="-61"/>
          <w:sz w:val="22"/>
          <w:szCs w:val="22"/>
        </w:rPr>
        <w:t xml:space="preserve">    </w:t>
      </w:r>
      <w:r>
        <w:rPr>
          <w:rFonts w:asciiTheme="majorBidi" w:hAnsiTheme="majorBidi" w:cstheme="majorBidi"/>
          <w:sz w:val="22"/>
          <w:szCs w:val="22"/>
        </w:rPr>
        <w:t>Hukum</w:t>
      </w:r>
      <w:r>
        <w:rPr>
          <w:rFonts w:asciiTheme="majorBidi" w:hAnsiTheme="majorBidi" w:cstheme="majorBidi"/>
          <w:spacing w:val="27"/>
          <w:sz w:val="22"/>
          <w:szCs w:val="22"/>
        </w:rPr>
        <w:t xml:space="preserve"> </w:t>
      </w:r>
      <w:r>
        <w:rPr>
          <w:rFonts w:asciiTheme="majorBidi" w:hAnsiTheme="majorBidi" w:cstheme="majorBidi"/>
          <w:sz w:val="22"/>
          <w:szCs w:val="22"/>
        </w:rPr>
        <w:t>dapat</w:t>
      </w:r>
      <w:r>
        <w:rPr>
          <w:rFonts w:asciiTheme="majorBidi" w:hAnsiTheme="majorBidi" w:cstheme="majorBidi"/>
          <w:spacing w:val="28"/>
          <w:sz w:val="22"/>
          <w:szCs w:val="22"/>
        </w:rPr>
        <w:t xml:space="preserve"> </w:t>
      </w:r>
      <w:r>
        <w:rPr>
          <w:rFonts w:asciiTheme="majorBidi" w:hAnsiTheme="majorBidi" w:cstheme="majorBidi"/>
          <w:sz w:val="22"/>
          <w:szCs w:val="22"/>
        </w:rPr>
        <w:t>mengajukan</w:t>
      </w:r>
      <w:r>
        <w:rPr>
          <w:rFonts w:asciiTheme="majorBidi" w:hAnsiTheme="majorBidi" w:cstheme="majorBidi"/>
          <w:spacing w:val="25"/>
          <w:sz w:val="22"/>
          <w:szCs w:val="22"/>
        </w:rPr>
        <w:t xml:space="preserve"> </w:t>
      </w:r>
      <w:r>
        <w:rPr>
          <w:rFonts w:asciiTheme="majorBidi" w:hAnsiTheme="majorBidi" w:cstheme="majorBidi"/>
          <w:sz w:val="22"/>
          <w:szCs w:val="22"/>
        </w:rPr>
        <w:t>permohonan</w:t>
      </w:r>
      <w:r>
        <w:rPr>
          <w:rFonts w:asciiTheme="majorBidi" w:hAnsiTheme="majorBidi" w:cstheme="majorBidi"/>
          <w:spacing w:val="29"/>
          <w:sz w:val="22"/>
          <w:szCs w:val="22"/>
        </w:rPr>
        <w:t xml:space="preserve"> </w:t>
      </w:r>
      <w:r>
        <w:rPr>
          <w:rFonts w:asciiTheme="majorBidi" w:hAnsiTheme="majorBidi" w:cstheme="majorBidi"/>
          <w:sz w:val="22"/>
          <w:szCs w:val="22"/>
        </w:rPr>
        <w:t>grasi</w:t>
      </w:r>
      <w:r>
        <w:rPr>
          <w:rFonts w:asciiTheme="majorBidi" w:hAnsiTheme="majorBidi" w:cstheme="majorBidi"/>
          <w:spacing w:val="30"/>
          <w:sz w:val="22"/>
          <w:szCs w:val="22"/>
        </w:rPr>
        <w:t xml:space="preserve"> </w:t>
      </w:r>
      <w:r>
        <w:rPr>
          <w:rFonts w:asciiTheme="majorBidi" w:hAnsiTheme="majorBidi" w:cstheme="majorBidi"/>
          <w:sz w:val="22"/>
          <w:szCs w:val="22"/>
        </w:rPr>
        <w:t>dan</w:t>
      </w:r>
      <w:r>
        <w:rPr>
          <w:rFonts w:asciiTheme="majorBidi" w:hAnsiTheme="majorBidi" w:cstheme="majorBidi"/>
          <w:spacing w:val="29"/>
          <w:sz w:val="22"/>
          <w:szCs w:val="22"/>
        </w:rPr>
        <w:t xml:space="preserve"> </w:t>
      </w:r>
      <w:r>
        <w:rPr>
          <w:rFonts w:asciiTheme="majorBidi" w:hAnsiTheme="majorBidi" w:cstheme="majorBidi"/>
          <w:sz w:val="22"/>
          <w:szCs w:val="22"/>
        </w:rPr>
        <w:t>terpidana harus</w:t>
      </w:r>
      <w:r>
        <w:rPr>
          <w:rFonts w:asciiTheme="majorBidi" w:hAnsiTheme="majorBidi" w:cstheme="majorBidi"/>
          <w:spacing w:val="1"/>
          <w:sz w:val="22"/>
          <w:szCs w:val="22"/>
        </w:rPr>
        <w:t xml:space="preserve"> </w:t>
      </w:r>
      <w:r>
        <w:rPr>
          <w:rFonts w:asciiTheme="majorBidi" w:hAnsiTheme="majorBidi" w:cstheme="majorBidi"/>
          <w:sz w:val="22"/>
          <w:szCs w:val="22"/>
        </w:rPr>
        <w:t>memberi</w:t>
      </w:r>
      <w:r>
        <w:rPr>
          <w:rFonts w:asciiTheme="majorBidi" w:hAnsiTheme="majorBidi" w:cstheme="majorBidi"/>
          <w:spacing w:val="1"/>
          <w:sz w:val="22"/>
          <w:szCs w:val="22"/>
        </w:rPr>
        <w:t xml:space="preserve"> </w:t>
      </w:r>
      <w:r>
        <w:rPr>
          <w:rFonts w:asciiTheme="majorBidi" w:hAnsiTheme="majorBidi" w:cstheme="majorBidi"/>
          <w:sz w:val="22"/>
          <w:szCs w:val="22"/>
          <w:lang w:val="id-ID"/>
        </w:rPr>
        <w:t>Surat</w:t>
      </w:r>
      <w:r>
        <w:rPr>
          <w:rFonts w:asciiTheme="majorBidi" w:hAnsiTheme="majorBidi" w:cstheme="majorBidi"/>
          <w:spacing w:val="1"/>
          <w:sz w:val="22"/>
          <w:szCs w:val="22"/>
        </w:rPr>
        <w:t xml:space="preserve"> </w:t>
      </w:r>
      <w:r>
        <w:rPr>
          <w:rFonts w:asciiTheme="majorBidi" w:hAnsiTheme="majorBidi" w:cstheme="majorBidi"/>
          <w:sz w:val="22"/>
          <w:szCs w:val="22"/>
        </w:rPr>
        <w:t>kuasa</w:t>
      </w:r>
      <w:r>
        <w:rPr>
          <w:rFonts w:asciiTheme="majorBidi" w:hAnsiTheme="majorBidi" w:cstheme="majorBidi"/>
          <w:spacing w:val="1"/>
          <w:sz w:val="22"/>
          <w:szCs w:val="22"/>
        </w:rPr>
        <w:t xml:space="preserve"> </w:t>
      </w:r>
      <w:r>
        <w:rPr>
          <w:rFonts w:asciiTheme="majorBidi" w:hAnsiTheme="majorBidi" w:cstheme="majorBidi"/>
          <w:sz w:val="22"/>
          <w:szCs w:val="22"/>
        </w:rPr>
        <w:t>khusus</w:t>
      </w:r>
      <w:r>
        <w:rPr>
          <w:rFonts w:asciiTheme="majorBidi" w:hAnsiTheme="majorBidi" w:cstheme="majorBidi"/>
          <w:spacing w:val="1"/>
          <w:sz w:val="22"/>
          <w:szCs w:val="22"/>
        </w:rPr>
        <w:t xml:space="preserve"> </w:t>
      </w:r>
      <w:r>
        <w:rPr>
          <w:rFonts w:asciiTheme="majorBidi" w:hAnsiTheme="majorBidi" w:cstheme="majorBidi"/>
          <w:sz w:val="22"/>
          <w:szCs w:val="22"/>
        </w:rPr>
        <w:t>terlebih</w:t>
      </w:r>
      <w:r>
        <w:rPr>
          <w:rFonts w:asciiTheme="majorBidi" w:hAnsiTheme="majorBidi" w:cstheme="majorBidi"/>
          <w:spacing w:val="1"/>
          <w:sz w:val="22"/>
          <w:szCs w:val="22"/>
        </w:rPr>
        <w:t xml:space="preserve"> </w:t>
      </w:r>
      <w:r>
        <w:rPr>
          <w:rFonts w:asciiTheme="majorBidi" w:hAnsiTheme="majorBidi" w:cstheme="majorBidi"/>
          <w:sz w:val="22"/>
          <w:szCs w:val="22"/>
        </w:rPr>
        <w:t>dahulu</w:t>
      </w:r>
      <w:r>
        <w:rPr>
          <w:rFonts w:asciiTheme="majorBidi" w:hAnsiTheme="majorBidi" w:cstheme="majorBidi"/>
          <w:spacing w:val="63"/>
          <w:sz w:val="22"/>
          <w:szCs w:val="22"/>
        </w:rPr>
        <w:t xml:space="preserve"> </w:t>
      </w:r>
      <w:r>
        <w:rPr>
          <w:rFonts w:asciiTheme="majorBidi" w:hAnsiTheme="majorBidi" w:cstheme="majorBidi"/>
          <w:sz w:val="22"/>
          <w:szCs w:val="22"/>
        </w:rPr>
        <w:t>kepada</w:t>
      </w:r>
      <w:r>
        <w:rPr>
          <w:rFonts w:asciiTheme="majorBidi" w:hAnsiTheme="majorBidi" w:cstheme="majorBidi"/>
          <w:spacing w:val="-61"/>
          <w:sz w:val="22"/>
          <w:szCs w:val="22"/>
        </w:rPr>
        <w:t xml:space="preserve"> </w:t>
      </w:r>
      <w:r>
        <w:rPr>
          <w:rFonts w:asciiTheme="majorBidi" w:hAnsiTheme="majorBidi" w:cstheme="majorBidi"/>
          <w:sz w:val="22"/>
          <w:szCs w:val="22"/>
        </w:rPr>
        <w:t>kuasa</w:t>
      </w:r>
      <w:r>
        <w:rPr>
          <w:rFonts w:asciiTheme="majorBidi" w:hAnsiTheme="majorBidi" w:cstheme="majorBidi"/>
          <w:spacing w:val="-1"/>
          <w:sz w:val="22"/>
          <w:szCs w:val="22"/>
        </w:rPr>
        <w:t xml:space="preserve"> </w:t>
      </w:r>
      <w:r>
        <w:rPr>
          <w:rFonts w:asciiTheme="majorBidi" w:hAnsiTheme="majorBidi" w:cstheme="majorBidi"/>
          <w:sz w:val="22"/>
          <w:szCs w:val="22"/>
        </w:rPr>
        <w:t>hukumnya untuk</w:t>
      </w:r>
      <w:r>
        <w:rPr>
          <w:rFonts w:asciiTheme="majorBidi" w:hAnsiTheme="majorBidi" w:cstheme="majorBidi"/>
          <w:spacing w:val="5"/>
          <w:sz w:val="22"/>
          <w:szCs w:val="22"/>
        </w:rPr>
        <w:t xml:space="preserve"> </w:t>
      </w:r>
      <w:r>
        <w:rPr>
          <w:rFonts w:asciiTheme="majorBidi" w:hAnsiTheme="majorBidi" w:cstheme="majorBidi"/>
          <w:sz w:val="22"/>
          <w:szCs w:val="22"/>
        </w:rPr>
        <w:t>mwakilinya</w:t>
      </w:r>
      <w:r>
        <w:rPr>
          <w:rFonts w:asciiTheme="majorBidi" w:hAnsiTheme="majorBidi" w:cstheme="majorBidi"/>
          <w:spacing w:val="4"/>
          <w:sz w:val="22"/>
          <w:szCs w:val="22"/>
        </w:rPr>
        <w:t xml:space="preserve"> </w:t>
      </w:r>
      <w:r>
        <w:rPr>
          <w:rFonts w:asciiTheme="majorBidi" w:hAnsiTheme="majorBidi" w:cstheme="majorBidi"/>
          <w:sz w:val="22"/>
          <w:szCs w:val="22"/>
        </w:rPr>
        <w:t>mengajukan grasi.</w:t>
      </w:r>
    </w:p>
    <w:p>
      <w:pPr>
        <w:pStyle w:val="4"/>
        <w:numPr>
          <w:ilvl w:val="0"/>
          <w:numId w:val="35"/>
        </w:numPr>
        <w:spacing w:after="0" w:line="312" w:lineRule="auto"/>
        <w:ind w:left="1133" w:leftChars="393" w:right="-103" w:rightChars="-47" w:hanging="268"/>
        <w:jc w:val="both"/>
        <w:rPr>
          <w:rFonts w:asciiTheme="majorBidi" w:hAnsiTheme="majorBidi" w:cstheme="majorBidi"/>
        </w:rPr>
      </w:pPr>
      <w:r>
        <w:rPr>
          <w:rFonts w:asciiTheme="majorBidi" w:hAnsiTheme="majorBidi" w:cstheme="majorBidi"/>
        </w:rPr>
        <w:t>Menteri Hukum dan HAM</w:t>
      </w:r>
    </w:p>
    <w:p>
      <w:pPr>
        <w:pStyle w:val="4"/>
        <w:spacing w:after="0" w:line="312" w:lineRule="auto"/>
        <w:ind w:left="1133" w:right="-103" w:rightChars="-47" w:firstLine="568"/>
        <w:jc w:val="both"/>
        <w:rPr>
          <w:rFonts w:asciiTheme="majorBidi" w:hAnsiTheme="majorBidi" w:cstheme="majorBidi"/>
        </w:rPr>
      </w:pPr>
      <w:r>
        <w:rPr>
          <w:rFonts w:eastAsia="Times New Roman" w:asciiTheme="majorBidi" w:hAnsiTheme="majorBidi" w:cstheme="majorBidi"/>
          <w:kern w:val="0"/>
          <w:lang w:val="en-US"/>
          <w14:ligatures w14:val="none"/>
        </w:rPr>
        <w:t>Berdasarkan Pasal 6A UU No. 5 Tahun 2010, Menteri Hukum dan HAM juga dapat mengajukan grasi untuk meneliti dan melaksanakan persetujuan pemberian grasi</w:t>
      </w:r>
      <w:r>
        <w:rPr>
          <w:rFonts w:asciiTheme="majorBidi" w:hAnsiTheme="majorBidi" w:cstheme="majorBidi"/>
        </w:rPr>
        <w:t>.</w:t>
      </w:r>
      <w:r>
        <w:rPr>
          <w:rStyle w:val="17"/>
          <w:rFonts w:asciiTheme="majorBidi" w:hAnsiTheme="majorBidi" w:cstheme="majorBidi"/>
        </w:rPr>
        <w:footnoteReference w:id="53"/>
      </w:r>
    </w:p>
    <w:p>
      <w:pPr>
        <w:pStyle w:val="4"/>
        <w:spacing w:after="0" w:line="312" w:lineRule="auto"/>
        <w:ind w:left="851" w:right="-103" w:rightChars="-47" w:firstLine="568"/>
        <w:jc w:val="both"/>
        <w:rPr>
          <w:lang w:val="en-US"/>
        </w:rPr>
      </w:pPr>
      <w:r>
        <w:rPr>
          <w:rFonts w:eastAsia="Times New Roman" w:asciiTheme="majorBidi" w:hAnsiTheme="majorBidi" w:cstheme="majorBidi"/>
          <w:kern w:val="0"/>
          <w:lang w:val="en-US"/>
          <w14:ligatures w14:val="none"/>
        </w:rPr>
        <w:t>Permohonan grasi diajukan secara tertulis oleh terpidana, kuasa hukum, atau keluarga terpidana kepada Presiden. Pengajuan hanya dapat dilakukan satu kali dan harus diajukan paling lambat dalam waktu satu tahun setelah putusan pengadilan berkekuatan hukum tetap.</w:t>
      </w:r>
    </w:p>
    <w:bookmarkEnd w:id="30"/>
    <w:p>
      <w:pPr>
        <w:pStyle w:val="5"/>
        <w:numPr>
          <w:ilvl w:val="6"/>
          <w:numId w:val="1"/>
        </w:numPr>
        <w:ind w:left="851" w:hanging="284"/>
      </w:pPr>
      <w:r>
        <w:t>Prosedur Pengajuan Grasi</w:t>
      </w:r>
    </w:p>
    <w:p>
      <w:pPr>
        <w:spacing w:after="0" w:line="312" w:lineRule="auto"/>
        <w:ind w:left="871" w:leftChars="396" w:right="-103" w:rightChars="-47" w:firstLine="446" w:firstLineChars="203"/>
        <w:contextualSpacing/>
        <w:jc w:val="both"/>
        <w:rPr>
          <w:rFonts w:asciiTheme="majorBidi" w:hAnsiTheme="majorBidi" w:cstheme="majorBidi"/>
          <w:lang w:val="en-US"/>
        </w:rPr>
      </w:pPr>
      <w:r>
        <w:rPr>
          <w:rFonts w:asciiTheme="majorBidi" w:hAnsiTheme="majorBidi" w:cstheme="majorBidi"/>
        </w:rPr>
        <w:t>Presiden berhak untuk memberikan grasi dari hukuman yang dijatuhkan</w:t>
      </w:r>
      <w:r>
        <w:rPr>
          <w:rFonts w:asciiTheme="majorBidi" w:hAnsiTheme="majorBidi" w:cstheme="majorBidi"/>
          <w:spacing w:val="1"/>
        </w:rPr>
        <w:t xml:space="preserve"> </w:t>
      </w:r>
      <w:r>
        <w:rPr>
          <w:rFonts w:asciiTheme="majorBidi" w:hAnsiTheme="majorBidi" w:cstheme="majorBidi"/>
        </w:rPr>
        <w:t>oleh pengadilan. Hal ini dilakukan oleh Presiden setelah meminta</w:t>
      </w:r>
      <w:r>
        <w:rPr>
          <w:rFonts w:asciiTheme="majorBidi" w:hAnsiTheme="majorBidi" w:cstheme="majorBidi"/>
          <w:spacing w:val="1"/>
        </w:rPr>
        <w:t xml:space="preserve"> </w:t>
      </w:r>
      <w:r>
        <w:rPr>
          <w:rFonts w:asciiTheme="majorBidi" w:hAnsiTheme="majorBidi" w:cstheme="majorBidi"/>
        </w:rPr>
        <w:t>pertimbangan</w:t>
      </w:r>
      <w:r>
        <w:rPr>
          <w:rFonts w:asciiTheme="majorBidi" w:hAnsiTheme="majorBidi" w:cstheme="majorBidi"/>
          <w:spacing w:val="87"/>
        </w:rPr>
        <w:t xml:space="preserve"> </w:t>
      </w:r>
      <w:r>
        <w:rPr>
          <w:rFonts w:asciiTheme="majorBidi" w:hAnsiTheme="majorBidi" w:cstheme="majorBidi"/>
        </w:rPr>
        <w:t>dari</w:t>
      </w:r>
      <w:r>
        <w:rPr>
          <w:rFonts w:asciiTheme="majorBidi" w:hAnsiTheme="majorBidi" w:cstheme="majorBidi"/>
          <w:spacing w:val="83"/>
        </w:rPr>
        <w:t xml:space="preserve"> </w:t>
      </w:r>
      <w:r>
        <w:rPr>
          <w:rFonts w:asciiTheme="majorBidi" w:hAnsiTheme="majorBidi" w:cstheme="majorBidi"/>
        </w:rPr>
        <w:t>Mahkamah</w:t>
      </w:r>
      <w:r>
        <w:rPr>
          <w:rFonts w:asciiTheme="majorBidi" w:hAnsiTheme="majorBidi" w:cstheme="majorBidi"/>
          <w:spacing w:val="92"/>
        </w:rPr>
        <w:t xml:space="preserve"> </w:t>
      </w:r>
      <w:r>
        <w:rPr>
          <w:rFonts w:asciiTheme="majorBidi" w:hAnsiTheme="majorBidi" w:cstheme="majorBidi"/>
        </w:rPr>
        <w:t>Agung,</w:t>
      </w:r>
      <w:r>
        <w:rPr>
          <w:rFonts w:asciiTheme="majorBidi" w:hAnsiTheme="majorBidi" w:cstheme="majorBidi"/>
          <w:spacing w:val="94"/>
        </w:rPr>
        <w:t xml:space="preserve"> </w:t>
      </w:r>
      <w:r>
        <w:rPr>
          <w:rFonts w:asciiTheme="majorBidi" w:hAnsiTheme="majorBidi" w:cstheme="majorBidi"/>
        </w:rPr>
        <w:t>bahkan</w:t>
      </w:r>
      <w:r>
        <w:rPr>
          <w:rFonts w:asciiTheme="majorBidi" w:hAnsiTheme="majorBidi" w:cstheme="majorBidi"/>
          <w:spacing w:val="92"/>
        </w:rPr>
        <w:t xml:space="preserve"> </w:t>
      </w:r>
      <w:r>
        <w:rPr>
          <w:rFonts w:asciiTheme="majorBidi" w:hAnsiTheme="majorBidi" w:cstheme="majorBidi"/>
        </w:rPr>
        <w:t>hukuman</w:t>
      </w:r>
      <w:r>
        <w:rPr>
          <w:rFonts w:asciiTheme="majorBidi" w:hAnsiTheme="majorBidi" w:cstheme="majorBidi"/>
          <w:spacing w:val="92"/>
        </w:rPr>
        <w:t xml:space="preserve"> </w:t>
      </w:r>
      <w:r>
        <w:rPr>
          <w:rFonts w:asciiTheme="majorBidi" w:hAnsiTheme="majorBidi" w:cstheme="majorBidi"/>
        </w:rPr>
        <w:t>mati</w:t>
      </w:r>
      <w:r>
        <w:rPr>
          <w:rFonts w:asciiTheme="majorBidi" w:hAnsiTheme="majorBidi" w:cstheme="majorBidi"/>
          <w:spacing w:val="83"/>
        </w:rPr>
        <w:t xml:space="preserve"> </w:t>
      </w:r>
      <w:r>
        <w:rPr>
          <w:rFonts w:asciiTheme="majorBidi" w:hAnsiTheme="majorBidi" w:cstheme="majorBidi"/>
        </w:rPr>
        <w:t>dijatuhkan</w:t>
      </w:r>
      <w:r>
        <w:rPr>
          <w:rFonts w:asciiTheme="majorBidi" w:hAnsiTheme="majorBidi" w:cstheme="majorBidi"/>
          <w:lang w:val="en-US"/>
        </w:rPr>
        <w:t xml:space="preserve"> </w:t>
      </w:r>
      <w:r>
        <w:rPr>
          <w:rFonts w:asciiTheme="majorBidi" w:hAnsiTheme="majorBidi" w:cstheme="majorBidi"/>
        </w:rPr>
        <w:t>kepada</w:t>
      </w:r>
      <w:r>
        <w:rPr>
          <w:rFonts w:asciiTheme="majorBidi" w:hAnsiTheme="majorBidi" w:cstheme="majorBidi"/>
          <w:spacing w:val="40"/>
        </w:rPr>
        <w:t xml:space="preserve"> </w:t>
      </w:r>
      <w:r>
        <w:rPr>
          <w:rFonts w:asciiTheme="majorBidi" w:hAnsiTheme="majorBidi" w:cstheme="majorBidi"/>
        </w:rPr>
        <w:t>narapidana,</w:t>
      </w:r>
      <w:r>
        <w:rPr>
          <w:rFonts w:asciiTheme="majorBidi" w:hAnsiTheme="majorBidi" w:cstheme="majorBidi"/>
          <w:spacing w:val="44"/>
        </w:rPr>
        <w:t xml:space="preserve"> </w:t>
      </w:r>
      <w:r>
        <w:rPr>
          <w:rFonts w:asciiTheme="majorBidi" w:hAnsiTheme="majorBidi" w:cstheme="majorBidi"/>
        </w:rPr>
        <w:t>maka</w:t>
      </w:r>
      <w:r>
        <w:rPr>
          <w:rFonts w:asciiTheme="majorBidi" w:hAnsiTheme="majorBidi" w:cstheme="majorBidi"/>
          <w:spacing w:val="41"/>
        </w:rPr>
        <w:t xml:space="preserve"> </w:t>
      </w:r>
      <w:r>
        <w:rPr>
          <w:rFonts w:asciiTheme="majorBidi" w:hAnsiTheme="majorBidi" w:cstheme="majorBidi"/>
        </w:rPr>
        <w:t>hukuman</w:t>
      </w:r>
      <w:r>
        <w:rPr>
          <w:rFonts w:asciiTheme="majorBidi" w:hAnsiTheme="majorBidi" w:cstheme="majorBidi"/>
          <w:spacing w:val="32"/>
        </w:rPr>
        <w:t xml:space="preserve"> </w:t>
      </w:r>
      <w:r>
        <w:rPr>
          <w:rFonts w:asciiTheme="majorBidi" w:hAnsiTheme="majorBidi" w:cstheme="majorBidi"/>
        </w:rPr>
        <w:t>tersebut</w:t>
      </w:r>
      <w:r>
        <w:rPr>
          <w:rFonts w:asciiTheme="majorBidi" w:hAnsiTheme="majorBidi" w:cstheme="majorBidi"/>
          <w:spacing w:val="42"/>
        </w:rPr>
        <w:t xml:space="preserve"> </w:t>
      </w:r>
      <w:r>
        <w:rPr>
          <w:rFonts w:asciiTheme="majorBidi" w:hAnsiTheme="majorBidi" w:cstheme="majorBidi"/>
        </w:rPr>
        <w:t>tidak</w:t>
      </w:r>
      <w:r>
        <w:rPr>
          <w:rFonts w:asciiTheme="majorBidi" w:hAnsiTheme="majorBidi" w:cstheme="majorBidi"/>
          <w:spacing w:val="37"/>
        </w:rPr>
        <w:t xml:space="preserve"> </w:t>
      </w:r>
      <w:r>
        <w:rPr>
          <w:rFonts w:asciiTheme="majorBidi" w:hAnsiTheme="majorBidi" w:cstheme="majorBidi"/>
        </w:rPr>
        <w:t>dapat</w:t>
      </w:r>
      <w:r>
        <w:rPr>
          <w:rFonts w:asciiTheme="majorBidi" w:hAnsiTheme="majorBidi" w:cstheme="majorBidi"/>
          <w:spacing w:val="42"/>
        </w:rPr>
        <w:t xml:space="preserve"> </w:t>
      </w:r>
      <w:r>
        <w:rPr>
          <w:rFonts w:asciiTheme="majorBidi" w:hAnsiTheme="majorBidi" w:cstheme="majorBidi"/>
        </w:rPr>
        <w:t>dijalankan</w:t>
      </w:r>
      <w:r>
        <w:rPr>
          <w:rFonts w:asciiTheme="majorBidi" w:hAnsiTheme="majorBidi" w:cstheme="majorBidi"/>
          <w:spacing w:val="32"/>
        </w:rPr>
        <w:t xml:space="preserve"> </w:t>
      </w:r>
      <w:r>
        <w:rPr>
          <w:rFonts w:asciiTheme="majorBidi" w:hAnsiTheme="majorBidi" w:cstheme="majorBidi"/>
        </w:rPr>
        <w:t>sebe</w:t>
      </w:r>
      <w:r>
        <w:rPr>
          <w:rFonts w:asciiTheme="majorBidi" w:hAnsiTheme="majorBidi" w:cstheme="majorBidi"/>
          <w:lang w:val="en-US"/>
        </w:rPr>
        <w:t>lum Presiden diberikan kesempetan untuk memberikan grasi.</w:t>
      </w:r>
      <w:r>
        <w:rPr>
          <w:rStyle w:val="17"/>
          <w:rFonts w:asciiTheme="majorBidi" w:hAnsiTheme="majorBidi" w:cstheme="majorBidi"/>
          <w:lang w:val="en-US"/>
        </w:rPr>
        <w:footnoteReference w:id="54"/>
      </w:r>
    </w:p>
    <w:p>
      <w:pPr>
        <w:tabs>
          <w:tab w:val="left" w:pos="880"/>
        </w:tabs>
        <w:spacing w:after="0" w:line="312" w:lineRule="auto"/>
        <w:ind w:left="880" w:leftChars="400" w:right="-103" w:rightChars="-47" w:firstLine="440" w:firstLineChars="200"/>
        <w:contextualSpacing/>
        <w:jc w:val="both"/>
        <w:rPr>
          <w:rFonts w:asciiTheme="majorBidi" w:hAnsiTheme="majorBidi" w:cstheme="majorBidi"/>
        </w:rPr>
      </w:pPr>
      <w:r>
        <w:rPr>
          <w:rFonts w:ascii="Times New Roman" w:hAnsi="Times New Roman" w:eastAsia="Times New Roman" w:cs="Times New Roman"/>
          <w:kern w:val="0"/>
          <w:lang w:val="en-US"/>
          <w14:ligatures w14:val="none"/>
        </w:rPr>
        <w:t>Prosedur pengajuan grasi berdasarkan Undang-Undang Nomor 22 Tahun 2002 dan Nomor 5 Tahun 2010 adalah sebagai berikut:</w:t>
      </w:r>
      <w:r>
        <w:rPr>
          <w:rStyle w:val="17"/>
          <w:rFonts w:ascii="Times New Roman" w:hAnsi="Times New Roman" w:eastAsia="Times New Roman" w:cs="Times New Roman"/>
          <w:kern w:val="0"/>
          <w:lang w:val="en-US"/>
          <w14:ligatures w14:val="none"/>
        </w:rPr>
        <w:footnoteReference w:id="55"/>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Hak mengajukan grasi diberitahukan oleh hakim atau ketua sidang tingkat pertama kepada terpidana. Jika terpidana tidak hadir, pemberitahuan dilakukan secara tertulis oleh panitera pengadilan</w:t>
      </w:r>
      <w:r>
        <w:rPr>
          <w:rFonts w:asciiTheme="majorBidi" w:hAnsiTheme="majorBidi" w:cstheme="majorBidi"/>
          <w:sz w:val="22"/>
          <w:szCs w:val="22"/>
        </w:rPr>
        <w:t>.</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Permohonan grasi diajukan kepada Presiden oleh terpidana, kuasa hukum, atau keluarga sejak putusan berkekuatan hukum tetap</w:t>
      </w:r>
      <w:r>
        <w:rPr>
          <w:rFonts w:asciiTheme="majorBidi" w:hAnsiTheme="majorBidi" w:cstheme="majorBidi"/>
          <w:sz w:val="22"/>
          <w:szCs w:val="22"/>
        </w:rPr>
        <w:t>.</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Permohonan diajukan dalam waktu maksimal 1 tahun setelah putusan berkekuatan hukum tetap.</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Permohonan disampaikan melalui Kepala Lembaga Pemasyarakatan secara tertulis, dengan salinan dikirim ke pengadilan tingkat pertama untuk diteruskan ke Mahkamah Agung dalam waktu 7 hari.</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Pengadilan tingkat pertama mengirimkan salinan permohonan dan berkas perkara ke Mahkamah Agung, yang memberikan pertimbangan tertulis kepada Presiden dalam waktu maksimal 30 hari.</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Presiden memutuskan pemberian atau penolakan grasi dalam waktu maksimal 3 bulan setelah menerima pertimbangan Mahkamah Agung.</w:t>
      </w:r>
    </w:p>
    <w:p>
      <w:pPr>
        <w:pStyle w:val="6"/>
        <w:numPr>
          <w:ilvl w:val="0"/>
          <w:numId w:val="36"/>
        </w:numPr>
        <w:tabs>
          <w:tab w:val="left" w:pos="1320"/>
        </w:tabs>
        <w:spacing w:after="0" w:line="312" w:lineRule="auto"/>
        <w:ind w:left="1309" w:leftChars="400" w:right="-103" w:rightChars="-47" w:hanging="429" w:hangingChars="195"/>
        <w:contextualSpacing/>
        <w:jc w:val="both"/>
        <w:rPr>
          <w:rFonts w:asciiTheme="majorBidi" w:hAnsiTheme="majorBidi" w:cstheme="majorBidi"/>
          <w:sz w:val="22"/>
          <w:szCs w:val="22"/>
        </w:rPr>
      </w:pPr>
      <w:r>
        <w:rPr>
          <w:sz w:val="22"/>
          <w:szCs w:val="22"/>
          <w:lang w:val="en-US"/>
        </w:rPr>
        <w:t>Keputusan Presiden disampaikan kepada terpidana dalam waktu maksimal 14 hari, dengan salinan dikirim ke Mahkamah Agung, pengadilan tingkat pertama, kejaksaan, dan lembaga pemasyarakatan.</w:t>
      </w:r>
    </w:p>
    <w:p>
      <w:pPr>
        <w:numPr>
          <w:ilvl w:val="3"/>
          <w:numId w:val="1"/>
        </w:numPr>
        <w:spacing w:after="0" w:line="312" w:lineRule="auto"/>
        <w:ind w:left="567" w:hanging="283"/>
        <w:jc w:val="both"/>
        <w:rPr>
          <w:rFonts w:ascii="Times New Roman" w:hAnsi="Times New Roman" w:cs="Times New Roman"/>
          <w:b/>
          <w:bCs/>
          <w:lang w:val="en-US"/>
        </w:rPr>
      </w:pPr>
      <w:r>
        <w:rPr>
          <w:rFonts w:ascii="Times New Roman" w:hAnsi="Times New Roman" w:cs="Times New Roman"/>
          <w:b/>
          <w:bCs/>
          <w:lang w:val="en-US"/>
        </w:rPr>
        <w:t>Proses Penanganan Grasi Di Mahkamah Agung\</w:t>
      </w:r>
    </w:p>
    <w:p>
      <w:pPr>
        <w:spacing w:after="0" w:line="312" w:lineRule="auto"/>
        <w:ind w:left="658" w:leftChars="299" w:firstLine="440" w:firstLineChars="200"/>
        <w:jc w:val="both"/>
        <w:rPr>
          <w:rFonts w:ascii="Times New Roman" w:hAnsi="Times New Roman" w:cs="Times New Roman"/>
          <w:lang w:val="en-US"/>
        </w:rPr>
      </w:pPr>
      <w:r>
        <w:rPr>
          <w:rFonts w:ascii="Times New Roman" w:hAnsi="Times New Roman" w:cs="Times New Roman"/>
          <w:lang w:val="en-US"/>
        </w:rPr>
        <w:t>Dalam proses pemberian grasi mahkamah agung, memiiki tugas yang penting juga, yaitu memberikan pertimbangan kepada Presiden sebelum mengambil keputusan mengabulkan atau menolak permohonan grasi terpidana. Dengan peroses penanganan sebagai berikut:</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Administrasi permohonan grasi pada Mahkamah Agung dilaksanakan oleh Kepaniteraan Muda Pidana, Kepaniteraan Muda Pidana Khusus dan Kepaniteraan Muda Pidana Militer;</w:t>
      </w:r>
      <w:r>
        <w:rPr>
          <w:rFonts w:ascii="Times New Roman" w:hAnsi="Times New Roman" w:eastAsia="sans-serif" w:cs="Times New Roman"/>
          <w:shd w:val="clear" w:color="auto" w:fill="FFFFFF"/>
          <w:lang w:val="en-US"/>
        </w:rPr>
        <w:t xml:space="preserve"> </w:t>
      </w:r>
    </w:p>
    <w:p>
      <w:pPr>
        <w:numPr>
          <w:ilvl w:val="0"/>
          <w:numId w:val="38"/>
        </w:numPr>
        <w:tabs>
          <w:tab w:val="left" w:pos="880"/>
          <w:tab w:val="clear" w:pos="425"/>
        </w:tabs>
        <w:spacing w:after="0" w:line="312" w:lineRule="auto"/>
        <w:ind w:left="1105" w:hanging="225"/>
        <w:jc w:val="both"/>
        <w:rPr>
          <w:rFonts w:ascii="Times New Roman" w:hAnsi="Times New Roman" w:eastAsia="sans-serif" w:cs="Times New Roman"/>
          <w:shd w:val="clear" w:color="auto" w:fill="FFFFFF"/>
          <w:lang w:val="en-US"/>
        </w:rPr>
      </w:pPr>
      <w:r>
        <w:rPr>
          <w:rFonts w:ascii="Times New Roman" w:hAnsi="Times New Roman" w:eastAsia="sans-serif" w:cs="Times New Roman"/>
          <w:shd w:val="clear" w:color="auto" w:fill="FFFFFF"/>
        </w:rPr>
        <w:t>Kepaniteraan</w:t>
      </w:r>
      <w:r>
        <w:rPr>
          <w:rFonts w:ascii="Times New Roman" w:hAnsi="Times New Roman" w:eastAsia="sans-serif" w:cs="Times New Roman"/>
          <w:shd w:val="clear" w:color="auto" w:fill="FFFFFF"/>
          <w:lang w:val="en-US"/>
        </w:rPr>
        <w:t xml:space="preserve"> m</w:t>
      </w:r>
      <w:r>
        <w:rPr>
          <w:rFonts w:ascii="Times New Roman" w:hAnsi="Times New Roman" w:eastAsia="sans-serif" w:cs="Times New Roman"/>
          <w:shd w:val="clear" w:color="auto" w:fill="FFFFFF"/>
        </w:rPr>
        <w:t xml:space="preserve">uda </w:t>
      </w:r>
      <w:r>
        <w:rPr>
          <w:rFonts w:ascii="Times New Roman" w:hAnsi="Times New Roman" w:eastAsia="sans-serif" w:cs="Times New Roman"/>
          <w:shd w:val="clear" w:color="auto" w:fill="FFFFFF"/>
          <w:lang w:val="en-US"/>
        </w:rPr>
        <w:t>p</w:t>
      </w:r>
      <w:r>
        <w:rPr>
          <w:rFonts w:ascii="Times New Roman" w:hAnsi="Times New Roman" w:eastAsia="sans-serif" w:cs="Times New Roman"/>
          <w:shd w:val="clear" w:color="auto" w:fill="FFFFFF"/>
        </w:rPr>
        <w:t xml:space="preserve">idana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iliter mengadministrasikan permohonan grasi yang diajukan pemohon yang diadili oleh Pengadilan Militer;</w:t>
      </w:r>
      <w:r>
        <w:rPr>
          <w:rFonts w:ascii="Times New Roman" w:hAnsi="Times New Roman" w:eastAsia="sans-serif" w:cs="Times New Roman"/>
          <w:shd w:val="clear" w:color="auto" w:fill="FFFFFF"/>
          <w:lang w:val="en-US"/>
        </w:rPr>
        <w:t xml:space="preserve"> </w:t>
      </w:r>
    </w:p>
    <w:p>
      <w:pPr>
        <w:numPr>
          <w:ilvl w:val="0"/>
          <w:numId w:val="38"/>
        </w:numPr>
        <w:tabs>
          <w:tab w:val="left" w:pos="880"/>
          <w:tab w:val="clear" w:pos="425"/>
        </w:tabs>
        <w:spacing w:after="0" w:line="312" w:lineRule="auto"/>
        <w:ind w:left="1105" w:hanging="225"/>
        <w:jc w:val="both"/>
        <w:rPr>
          <w:rFonts w:ascii="Times New Roman" w:hAnsi="Times New Roman" w:eastAsia="sans-serif" w:cs="Times New Roman"/>
          <w:shd w:val="clear" w:color="auto" w:fill="FFFFFF"/>
          <w:lang w:val="en-US"/>
        </w:rPr>
      </w:pPr>
      <w:r>
        <w:rPr>
          <w:rFonts w:ascii="Times New Roman" w:hAnsi="Times New Roman" w:eastAsia="sans-serif" w:cs="Times New Roman"/>
          <w:shd w:val="clear" w:color="auto" w:fill="FFFFFF"/>
        </w:rPr>
        <w:t xml:space="preserve">Kepaniteraan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uda </w:t>
      </w:r>
      <w:r>
        <w:rPr>
          <w:rFonts w:ascii="Times New Roman" w:hAnsi="Times New Roman" w:eastAsia="sans-serif" w:cs="Times New Roman"/>
          <w:shd w:val="clear" w:color="auto" w:fill="FFFFFF"/>
          <w:lang w:val="en-US"/>
        </w:rPr>
        <w:t>p</w:t>
      </w:r>
      <w:r>
        <w:rPr>
          <w:rFonts w:ascii="Times New Roman" w:hAnsi="Times New Roman" w:eastAsia="sans-serif" w:cs="Times New Roman"/>
          <w:shd w:val="clear" w:color="auto" w:fill="FFFFFF"/>
        </w:rPr>
        <w:t>idana mengadimistrasikan permohonan grasi yang diajukan oleh  pemohon yang diadili oleh Pengadilan Negeri dalam ruang lingkup perkara pidana yang diatur dalam KUHP</w:t>
      </w:r>
      <w:r>
        <w:rPr>
          <w:rFonts w:ascii="Times New Roman" w:hAnsi="Times New Roman" w:eastAsia="sans-serif" w:cs="Times New Roman"/>
          <w:shd w:val="clear" w:color="auto" w:fill="FFFFFF"/>
          <w:lang w:val="en-US"/>
        </w:rPr>
        <w:t>.</w:t>
      </w:r>
    </w:p>
    <w:p>
      <w:pPr>
        <w:numPr>
          <w:ilvl w:val="0"/>
          <w:numId w:val="38"/>
        </w:numPr>
        <w:tabs>
          <w:tab w:val="left" w:pos="880"/>
          <w:tab w:val="clear" w:pos="425"/>
        </w:tabs>
        <w:spacing w:after="0" w:line="312" w:lineRule="auto"/>
        <w:ind w:left="1105" w:hanging="225"/>
        <w:jc w:val="both"/>
        <w:rPr>
          <w:rFonts w:ascii="Times New Roman" w:hAnsi="Times New Roman" w:cs="Times New Roman"/>
        </w:rPr>
      </w:pPr>
      <w:r>
        <w:rPr>
          <w:rFonts w:ascii="Times New Roman" w:hAnsi="Times New Roman" w:eastAsia="sans-serif" w:cs="Times New Roman"/>
          <w:shd w:val="clear" w:color="auto" w:fill="FFFFFF"/>
        </w:rPr>
        <w:t xml:space="preserve">Kepaniteraan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uda </w:t>
      </w:r>
      <w:r>
        <w:rPr>
          <w:rFonts w:ascii="Times New Roman" w:hAnsi="Times New Roman" w:eastAsia="sans-serif" w:cs="Times New Roman"/>
          <w:shd w:val="clear" w:color="auto" w:fill="FFFFFF"/>
          <w:lang w:val="en-US"/>
        </w:rPr>
        <w:t>p</w:t>
      </w:r>
      <w:r>
        <w:rPr>
          <w:rFonts w:ascii="Times New Roman" w:hAnsi="Times New Roman" w:eastAsia="sans-serif" w:cs="Times New Roman"/>
          <w:shd w:val="clear" w:color="auto" w:fill="FFFFFF"/>
        </w:rPr>
        <w:t xml:space="preserve">idana </w:t>
      </w:r>
      <w:r>
        <w:rPr>
          <w:rFonts w:ascii="Times New Roman" w:hAnsi="Times New Roman" w:eastAsia="sans-serif" w:cs="Times New Roman"/>
          <w:shd w:val="clear" w:color="auto" w:fill="FFFFFF"/>
          <w:lang w:val="en-US"/>
        </w:rPr>
        <w:t>k</w:t>
      </w:r>
      <w:r>
        <w:rPr>
          <w:rFonts w:ascii="Times New Roman" w:hAnsi="Times New Roman" w:eastAsia="sans-serif" w:cs="Times New Roman"/>
          <w:shd w:val="clear" w:color="auto" w:fill="FFFFFF"/>
        </w:rPr>
        <w:t>husus mengadministrasikan permohonan grasi yang diajukan  oleh  pemohon yang diadili oleh Pengadilan Negeri dalam ruang lingkup perkara pidana yang diatur di luar KUHP</w:t>
      </w:r>
      <w:r>
        <w:rPr>
          <w:rFonts w:ascii="Times New Roman" w:hAnsi="Times New Roman" w:eastAsia="sans-serif" w:cs="Times New Roman"/>
          <w:shd w:val="clear" w:color="auto" w:fill="FFFFFF"/>
          <w:lang w:val="en-US"/>
        </w:rPr>
        <w:t>.</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 xml:space="preserve">Kepaniteraan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uda </w:t>
      </w:r>
      <w:r>
        <w:rPr>
          <w:rFonts w:ascii="Times New Roman" w:hAnsi="Times New Roman" w:eastAsia="sans-serif" w:cs="Times New Roman"/>
          <w:shd w:val="clear" w:color="auto" w:fill="FFFFFF"/>
          <w:lang w:val="en-US"/>
        </w:rPr>
        <w:t>p</w:t>
      </w:r>
      <w:r>
        <w:rPr>
          <w:rFonts w:ascii="Times New Roman" w:hAnsi="Times New Roman" w:eastAsia="sans-serif" w:cs="Times New Roman"/>
          <w:shd w:val="clear" w:color="auto" w:fill="FFFFFF"/>
        </w:rPr>
        <w:t>erkara akan mendaftarkan permohonan grasi setelah berkas dinyatakan lengkap. Perkara grasi pidana umum didaftarkan dengan struktur nomor perkara XX/MA/Tahun (Contoh 2/MA/2020). Perkara grasi pidana khusus didaftarkan dengan struktur nomor perkara XX SUS/MA/Tahun (contoh 2 SUS/MA/2020). Perkara grasi pidana militer didaftarkan dengan struktur nomor perkara XX M/MA/Tahun ( contoh 2 M/MA/2020)  </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Kepaniteraan muda perkara meneruskan berkas permohonan grasi kepada Ketua Mahkamah Agung untuk  menetapkan hakim agung yang  ditunjuk untuk memberikan pertimbangan  kepada   Ketua Mahkamah Agung dapat mendelegasikan penunjukan hakim agung yang memberikan pertimbangan permohonan grasi kepada Ketua Kamar Pidana atau Ketua Kamar Militer.</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 xml:space="preserve">Berdasarkan penetapan/penunjukan Ketua Mahkamah Agung, </w:t>
      </w:r>
      <w:r>
        <w:rPr>
          <w:rFonts w:ascii="Times New Roman" w:hAnsi="Times New Roman" w:eastAsia="sans-serif" w:cs="Times New Roman"/>
          <w:shd w:val="clear" w:color="auto" w:fill="FFFFFF"/>
          <w:lang w:val="en-US"/>
        </w:rPr>
        <w:t>k</w:t>
      </w:r>
      <w:r>
        <w:rPr>
          <w:rFonts w:ascii="Times New Roman" w:hAnsi="Times New Roman" w:eastAsia="sans-serif" w:cs="Times New Roman"/>
          <w:shd w:val="clear" w:color="auto" w:fill="FFFFFF"/>
        </w:rPr>
        <w:t xml:space="preserve">epaniteraan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uda </w:t>
      </w:r>
      <w:r>
        <w:rPr>
          <w:rFonts w:ascii="Times New Roman" w:hAnsi="Times New Roman" w:eastAsia="sans-serif" w:cs="Times New Roman"/>
          <w:shd w:val="clear" w:color="auto" w:fill="FFFFFF"/>
          <w:lang w:val="en-US"/>
        </w:rPr>
        <w:t>p</w:t>
      </w:r>
      <w:r>
        <w:rPr>
          <w:rFonts w:ascii="Times New Roman" w:hAnsi="Times New Roman" w:eastAsia="sans-serif" w:cs="Times New Roman"/>
          <w:shd w:val="clear" w:color="auto" w:fill="FFFFFF"/>
        </w:rPr>
        <w:t xml:space="preserve">erkara mendistribusikan berkas perkara kepada </w:t>
      </w:r>
      <w:r>
        <w:rPr>
          <w:rFonts w:ascii="Times New Roman" w:hAnsi="Times New Roman" w:eastAsia="sans-serif" w:cs="Times New Roman"/>
          <w:shd w:val="clear" w:color="auto" w:fill="FFFFFF"/>
          <w:lang w:val="en-US"/>
        </w:rPr>
        <w:t>h</w:t>
      </w:r>
      <w:r>
        <w:rPr>
          <w:rFonts w:ascii="Times New Roman" w:hAnsi="Times New Roman" w:eastAsia="sans-serif" w:cs="Times New Roman"/>
          <w:shd w:val="clear" w:color="auto" w:fill="FFFFFF"/>
        </w:rPr>
        <w:t xml:space="preserve">akim </w:t>
      </w:r>
      <w:r>
        <w:rPr>
          <w:rFonts w:ascii="Times New Roman" w:hAnsi="Times New Roman" w:eastAsia="sans-serif" w:cs="Times New Roman"/>
          <w:shd w:val="clear" w:color="auto" w:fill="FFFFFF"/>
          <w:lang w:val="en-US"/>
        </w:rPr>
        <w:t>a</w:t>
      </w:r>
      <w:r>
        <w:rPr>
          <w:rFonts w:ascii="Times New Roman" w:hAnsi="Times New Roman" w:eastAsia="sans-serif" w:cs="Times New Roman"/>
          <w:shd w:val="clear" w:color="auto" w:fill="FFFFFF"/>
        </w:rPr>
        <w:t>gung yang bersangkutan.</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Hakim Agung yang ditunjuk memberikan pertimbangan paling lama 3 bulan sejak berkas permohonan grasi didistribusikan kepadanya.</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rPr>
      </w:pPr>
      <w:r>
        <w:rPr>
          <w:rFonts w:ascii="Times New Roman" w:hAnsi="Times New Roman" w:eastAsia="sans-serif" w:cs="Times New Roman"/>
          <w:shd w:val="clear" w:color="auto" w:fill="FFFFFF"/>
        </w:rPr>
        <w:t xml:space="preserve">Lembar pertimbangan hakim agung disampaikan kepada </w:t>
      </w:r>
      <w:r>
        <w:rPr>
          <w:rFonts w:ascii="Times New Roman" w:hAnsi="Times New Roman" w:eastAsia="sans-serif" w:cs="Times New Roman"/>
          <w:shd w:val="clear" w:color="auto" w:fill="FFFFFF"/>
          <w:lang w:val="en-US"/>
        </w:rPr>
        <w:t>k</w:t>
      </w:r>
      <w:r>
        <w:rPr>
          <w:rFonts w:ascii="Times New Roman" w:hAnsi="Times New Roman" w:eastAsia="sans-serif" w:cs="Times New Roman"/>
          <w:shd w:val="clear" w:color="auto" w:fill="FFFFFF"/>
        </w:rPr>
        <w:t xml:space="preserve">etua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ahkamah </w:t>
      </w:r>
      <w:r>
        <w:rPr>
          <w:rFonts w:ascii="Times New Roman" w:hAnsi="Times New Roman" w:eastAsia="sans-serif" w:cs="Times New Roman"/>
          <w:shd w:val="clear" w:color="auto" w:fill="FFFFFF"/>
          <w:lang w:val="en-US"/>
        </w:rPr>
        <w:t>a</w:t>
      </w:r>
      <w:r>
        <w:rPr>
          <w:rFonts w:ascii="Times New Roman" w:hAnsi="Times New Roman" w:eastAsia="sans-serif" w:cs="Times New Roman"/>
          <w:shd w:val="clear" w:color="auto" w:fill="FFFFFF"/>
        </w:rPr>
        <w:t>gung untuk dipertimbangkan sebagai pertimbangan lembaga;</w:t>
      </w:r>
    </w:p>
    <w:p>
      <w:pPr>
        <w:numPr>
          <w:ilvl w:val="0"/>
          <w:numId w:val="37"/>
        </w:numPr>
        <w:tabs>
          <w:tab w:val="left" w:pos="880"/>
          <w:tab w:val="clear" w:pos="720"/>
        </w:tabs>
        <w:spacing w:after="0" w:line="312" w:lineRule="auto"/>
        <w:ind w:left="895" w:leftChars="300" w:hanging="235" w:hangingChars="107"/>
        <w:jc w:val="both"/>
        <w:rPr>
          <w:rFonts w:ascii="Times New Roman" w:hAnsi="Times New Roman" w:cs="Times New Roman"/>
          <w:b/>
          <w:bCs/>
        </w:rPr>
        <w:sectPr>
          <w:footerReference r:id="rId12" w:type="first"/>
          <w:headerReference r:id="rId11" w:type="default"/>
          <w:footnotePr>
            <w:numRestart w:val="eachSect"/>
          </w:footnotePr>
          <w:pgSz w:w="8335" w:h="11850"/>
          <w:pgMar w:top="1418" w:right="1134" w:bottom="1134" w:left="1418" w:header="720" w:footer="720" w:gutter="0"/>
          <w:pgNumType w:start="27" w:chapStyle="1"/>
          <w:cols w:space="720" w:num="1"/>
          <w:titlePg/>
          <w:docGrid w:linePitch="299" w:charSpace="0"/>
        </w:sectPr>
      </w:pPr>
      <w:r>
        <w:rPr>
          <w:rFonts w:ascii="Times New Roman" w:hAnsi="Times New Roman" w:eastAsia="sans-serif" w:cs="Times New Roman"/>
          <w:shd w:val="clear" w:color="auto" w:fill="FFFFFF"/>
        </w:rPr>
        <w:t xml:space="preserve">Panitera Muda Perkara mengirim pertimbangan yang ditandatangani oleh </w:t>
      </w:r>
      <w:r>
        <w:rPr>
          <w:rFonts w:ascii="Times New Roman" w:hAnsi="Times New Roman" w:eastAsia="sans-serif" w:cs="Times New Roman"/>
          <w:shd w:val="clear" w:color="auto" w:fill="FFFFFF"/>
          <w:lang w:val="en-US"/>
        </w:rPr>
        <w:t>k</w:t>
      </w:r>
      <w:r>
        <w:rPr>
          <w:rFonts w:ascii="Times New Roman" w:hAnsi="Times New Roman" w:eastAsia="sans-serif" w:cs="Times New Roman"/>
          <w:shd w:val="clear" w:color="auto" w:fill="FFFFFF"/>
        </w:rPr>
        <w:t xml:space="preserve">etua </w:t>
      </w:r>
      <w:r>
        <w:rPr>
          <w:rFonts w:ascii="Times New Roman" w:hAnsi="Times New Roman" w:eastAsia="sans-serif" w:cs="Times New Roman"/>
          <w:shd w:val="clear" w:color="auto" w:fill="FFFFFF"/>
          <w:lang w:val="en-US"/>
        </w:rPr>
        <w:t>m</w:t>
      </w:r>
      <w:r>
        <w:rPr>
          <w:rFonts w:ascii="Times New Roman" w:hAnsi="Times New Roman" w:eastAsia="sans-serif" w:cs="Times New Roman"/>
          <w:shd w:val="clear" w:color="auto" w:fill="FFFFFF"/>
        </w:rPr>
        <w:t xml:space="preserve">ahkamah </w:t>
      </w:r>
      <w:r>
        <w:rPr>
          <w:rFonts w:ascii="Times New Roman" w:hAnsi="Times New Roman" w:eastAsia="sans-serif" w:cs="Times New Roman"/>
          <w:shd w:val="clear" w:color="auto" w:fill="FFFFFF"/>
          <w:lang w:val="en-US"/>
        </w:rPr>
        <w:t>a</w:t>
      </w:r>
      <w:r>
        <w:rPr>
          <w:rFonts w:ascii="Times New Roman" w:hAnsi="Times New Roman" w:eastAsia="sans-serif" w:cs="Times New Roman"/>
          <w:shd w:val="clear" w:color="auto" w:fill="FFFFFF"/>
        </w:rPr>
        <w:t xml:space="preserve">gung kepada Presiden RI melalui </w:t>
      </w:r>
      <w:r>
        <w:rPr>
          <w:rFonts w:ascii="Times New Roman" w:hAnsi="Times New Roman" w:eastAsia="sans-serif" w:cs="Times New Roman"/>
          <w:shd w:val="clear" w:color="auto" w:fill="FFFFFF"/>
          <w:lang w:val="en-US"/>
        </w:rPr>
        <w:t>s</w:t>
      </w:r>
      <w:r>
        <w:rPr>
          <w:rFonts w:ascii="Times New Roman" w:hAnsi="Times New Roman" w:eastAsia="sans-serif" w:cs="Times New Roman"/>
          <w:shd w:val="clear" w:color="auto" w:fill="FFFFFF"/>
        </w:rPr>
        <w:t xml:space="preserve">ekretariat </w:t>
      </w:r>
      <w:r>
        <w:rPr>
          <w:rFonts w:ascii="Times New Roman" w:hAnsi="Times New Roman" w:eastAsia="sans-serif" w:cs="Times New Roman"/>
          <w:shd w:val="clear" w:color="auto" w:fill="FFFFFF"/>
          <w:lang w:val="en-US"/>
        </w:rPr>
        <w:t>n</w:t>
      </w:r>
      <w:r>
        <w:rPr>
          <w:rFonts w:ascii="Times New Roman" w:hAnsi="Times New Roman" w:eastAsia="sans-serif" w:cs="Times New Roman"/>
          <w:shd w:val="clear" w:color="auto" w:fill="FFFFFF"/>
        </w:rPr>
        <w:t>egara. Tanggal kirim ke Sekretariat Negara menjadi indikator selesainya tugas/fungsi Mahkamah Agung dalam permohonan grasi</w:t>
      </w:r>
      <w:r>
        <w:rPr>
          <w:rFonts w:ascii="Times New Roman" w:hAnsi="Times New Roman" w:eastAsia="sans-serif" w:cs="Times New Roman"/>
          <w:shd w:val="clear" w:color="auto" w:fill="FFFFFF"/>
          <w:lang w:val="en-US"/>
        </w:rPr>
        <w:t>.</w:t>
      </w:r>
    </w:p>
    <w:p>
      <w:pPr>
        <w:pStyle w:val="2"/>
      </w:pPr>
      <w:r>
        <w:t>BAB III</w:t>
      </w:r>
      <w:bookmarkEnd w:id="27"/>
    </w:p>
    <w:p>
      <w:pPr>
        <w:pStyle w:val="2"/>
      </w:pPr>
      <w:bookmarkStart w:id="31" w:name="_Toc199801676"/>
      <w:r>
        <w:t>GAMBARAN UMUM KEPUTUSAN PRESIDEN NOMER 1/G/2023</w:t>
      </w:r>
      <w:bookmarkEnd w:id="31"/>
    </w:p>
    <w:p>
      <w:pPr>
        <w:spacing w:after="0" w:line="312" w:lineRule="auto"/>
        <w:ind w:right="-103" w:rightChars="-47"/>
        <w:contextualSpacing/>
        <w:jc w:val="both"/>
        <w:rPr>
          <w:rFonts w:ascii="Times New Roman" w:hAnsi="Times New Roman" w:cs="Times New Roman"/>
        </w:rPr>
      </w:pPr>
    </w:p>
    <w:p>
      <w:pPr>
        <w:pStyle w:val="3"/>
        <w:numPr>
          <w:ilvl w:val="0"/>
          <w:numId w:val="39"/>
        </w:numPr>
        <w:ind w:left="426" w:hanging="284"/>
      </w:pPr>
      <w:bookmarkStart w:id="32" w:name="_Toc199801677"/>
      <w:r>
        <w:t xml:space="preserve">Kasus Perkara </w:t>
      </w:r>
      <w:bookmarkEnd w:id="32"/>
      <w:r>
        <w:t xml:space="preserve">MU </w:t>
      </w:r>
    </w:p>
    <w:p>
      <w:pPr>
        <w:spacing w:after="0" w:line="312" w:lineRule="auto"/>
        <w:ind w:left="455" w:leftChars="207" w:firstLine="382" w:firstLineChars="174"/>
        <w:contextualSpacing/>
        <w:jc w:val="both"/>
        <w:rPr>
          <w:rFonts w:asciiTheme="majorBidi" w:hAnsiTheme="majorBidi" w:cstheme="majorBidi"/>
        </w:rPr>
      </w:pPr>
      <w:r>
        <w:rPr>
          <w:rFonts w:eastAsia="SimSun" w:asciiTheme="majorBidi" w:hAnsiTheme="majorBidi" w:cstheme="majorBidi"/>
          <w:lang w:val="en-US"/>
        </w:rPr>
        <w:t xml:space="preserve">MU </w:t>
      </w:r>
      <w:r>
        <w:rPr>
          <w:rFonts w:eastAsia="SimSun" w:asciiTheme="majorBidi" w:hAnsiTheme="majorBidi" w:cstheme="majorBidi"/>
        </w:rPr>
        <w:t xml:space="preserve">lahir di </w:t>
      </w:r>
      <w:r>
        <w:rPr>
          <w:rFonts w:eastAsia="SimSun" w:asciiTheme="majorBidi" w:hAnsiTheme="majorBidi" w:cstheme="majorBidi"/>
          <w:lang w:val="en-US"/>
        </w:rPr>
        <w:t>S</w:t>
      </w:r>
      <w:r>
        <w:rPr>
          <w:rFonts w:eastAsia="SimSun" w:asciiTheme="majorBidi" w:hAnsiTheme="majorBidi" w:cstheme="majorBidi"/>
        </w:rPr>
        <w:t xml:space="preserve">ukoharjo </w:t>
      </w:r>
      <w:r>
        <w:rPr>
          <w:rFonts w:eastAsia="SimSun" w:asciiTheme="majorBidi" w:hAnsiTheme="majorBidi" w:cstheme="majorBidi"/>
          <w:lang w:val="en-US"/>
        </w:rPr>
        <w:t>J</w:t>
      </w:r>
      <w:r>
        <w:rPr>
          <w:rFonts w:eastAsia="SimSun" w:asciiTheme="majorBidi" w:hAnsiTheme="majorBidi" w:cstheme="majorBidi"/>
        </w:rPr>
        <w:t xml:space="preserve">awa </w:t>
      </w:r>
      <w:r>
        <w:rPr>
          <w:rFonts w:eastAsia="SimSun" w:asciiTheme="majorBidi" w:hAnsiTheme="majorBidi" w:cstheme="majorBidi"/>
          <w:lang w:val="en-US"/>
        </w:rPr>
        <w:t>T</w:t>
      </w:r>
      <w:r>
        <w:rPr>
          <w:rFonts w:eastAsia="SimSun" w:asciiTheme="majorBidi" w:hAnsiTheme="majorBidi" w:cstheme="majorBidi"/>
        </w:rPr>
        <w:t xml:space="preserve">engah, 30 </w:t>
      </w:r>
      <w:r>
        <w:rPr>
          <w:rFonts w:eastAsia="SimSun" w:asciiTheme="majorBidi" w:hAnsiTheme="majorBidi" w:cstheme="majorBidi"/>
          <w:lang w:val="en-US"/>
        </w:rPr>
        <w:t>J</w:t>
      </w:r>
      <w:r>
        <w:rPr>
          <w:rFonts w:eastAsia="SimSun" w:asciiTheme="majorBidi" w:hAnsiTheme="majorBidi" w:cstheme="majorBidi"/>
        </w:rPr>
        <w:t xml:space="preserve">anuari 1974. Ia pernah menikah dikaruniani 2 orang anak dengan mantan suami yang memaksa </w:t>
      </w:r>
      <w:r>
        <w:rPr>
          <w:rFonts w:eastAsia="SimSun" w:asciiTheme="majorBidi" w:hAnsiTheme="majorBidi" w:cstheme="majorBidi"/>
          <w:lang w:val="en-US"/>
        </w:rPr>
        <w:t xml:space="preserve">MU </w:t>
      </w:r>
      <w:r>
        <w:rPr>
          <w:rFonts w:eastAsia="SimSun" w:asciiTheme="majorBidi" w:hAnsiTheme="majorBidi" w:cstheme="majorBidi"/>
        </w:rPr>
        <w:t xml:space="preserve">untuk bekerja di luar negeri dan sering mendapat kekeraan dari suami. </w:t>
      </w:r>
      <w:r>
        <w:rPr>
          <w:rFonts w:asciiTheme="majorBidi" w:hAnsiTheme="majorBidi" w:cstheme="majorBidi"/>
        </w:rPr>
        <w:t xml:space="preserve">Di awal kisahnya menjadi buruh migran, </w:t>
      </w:r>
      <w:r>
        <w:rPr>
          <w:rFonts w:asciiTheme="majorBidi" w:hAnsiTheme="majorBidi" w:cstheme="majorBidi"/>
          <w:lang w:val="en-US"/>
        </w:rPr>
        <w:t xml:space="preserve">MU </w:t>
      </w:r>
      <w:r>
        <w:rPr>
          <w:rFonts w:asciiTheme="majorBidi" w:hAnsiTheme="majorBidi" w:cstheme="majorBidi"/>
        </w:rPr>
        <w:t xml:space="preserve">berangkat ke Malaysia untuk bekerja atas paksaan suaminya. Ia dipaksa bekerja </w:t>
      </w:r>
      <w:r>
        <w:rPr>
          <w:rFonts w:asciiTheme="majorBidi" w:hAnsiTheme="majorBidi" w:cstheme="majorBidi"/>
          <w:lang w:val="en-US"/>
        </w:rPr>
        <w:t>di</w:t>
      </w:r>
      <w:r>
        <w:rPr>
          <w:rFonts w:asciiTheme="majorBidi" w:hAnsiTheme="majorBidi" w:cstheme="majorBidi"/>
        </w:rPr>
        <w:t xml:space="preserve"> luar negeri untuk memenuhi kebutuhan suami dan anak-anaknya, bukan atas kemauannya sendiri.</w:t>
      </w:r>
    </w:p>
    <w:p>
      <w:pPr>
        <w:spacing w:after="0" w:line="312" w:lineRule="auto"/>
        <w:ind w:left="455" w:leftChars="207" w:firstLine="382" w:firstLineChars="174"/>
        <w:contextualSpacing/>
        <w:jc w:val="both"/>
        <w:rPr>
          <w:rFonts w:eastAsia="SimSun" w:asciiTheme="majorBidi" w:hAnsiTheme="majorBidi" w:cstheme="majorBidi"/>
        </w:rPr>
      </w:pPr>
      <w:r>
        <w:rPr>
          <w:rFonts w:asciiTheme="majorBidi" w:hAnsiTheme="majorBidi" w:cstheme="majorBidi"/>
        </w:rPr>
        <w:t xml:space="preserve">Selain bekerja karena keterpaksaan, </w:t>
      </w:r>
      <w:r>
        <w:rPr>
          <w:rFonts w:asciiTheme="majorBidi" w:hAnsiTheme="majorBidi" w:cstheme="majorBidi"/>
          <w:lang w:val="en-US"/>
        </w:rPr>
        <w:t xml:space="preserve">MU </w:t>
      </w:r>
      <w:r>
        <w:rPr>
          <w:rFonts w:asciiTheme="majorBidi" w:hAnsiTheme="majorBidi" w:cstheme="majorBidi"/>
        </w:rPr>
        <w:t xml:space="preserve">juga kerap mendapatkan tindak kekerasan dari suaminya. Setelah dua Tahun bekerja menjadi buruh migran di Malaysia, MU harus menerima kenyataan pahit karena suaminya berselingkuh dan tidak memanfaatkan hasil uang hasil jerih payah MU dengan baik. Suaminya berfoya-foya menggunakan uang yang dikirimkan MU selama bekerja di Malaysia. Hingga pada akhirnya, saat </w:t>
      </w:r>
      <w:r>
        <w:rPr>
          <w:rFonts w:asciiTheme="majorBidi" w:hAnsiTheme="majorBidi" w:cstheme="majorBidi"/>
          <w:lang w:val="en-US"/>
        </w:rPr>
        <w:t xml:space="preserve">MU </w:t>
      </w:r>
      <w:r>
        <w:rPr>
          <w:rFonts w:asciiTheme="majorBidi" w:hAnsiTheme="majorBidi" w:cstheme="majorBidi"/>
        </w:rPr>
        <w:t xml:space="preserve">berusia 25 Tahun, ia </w:t>
      </w:r>
      <w:r>
        <w:rPr>
          <w:rFonts w:asciiTheme="majorBidi" w:hAnsiTheme="majorBidi" w:cstheme="majorBidi"/>
          <w:lang w:val="en-US"/>
        </w:rPr>
        <w:t>memutuskan</w:t>
      </w:r>
      <w:r>
        <w:rPr>
          <w:rFonts w:asciiTheme="majorBidi" w:hAnsiTheme="majorBidi" w:cstheme="majorBidi"/>
        </w:rPr>
        <w:t xml:space="preserve"> untuk bercerai dengan suaminya. Setelah bercerai, </w:t>
      </w:r>
      <w:r>
        <w:rPr>
          <w:rFonts w:asciiTheme="majorBidi" w:hAnsiTheme="majorBidi" w:cstheme="majorBidi"/>
          <w:lang w:val="en-US"/>
        </w:rPr>
        <w:t>MU memutuskan</w:t>
      </w:r>
      <w:r>
        <w:rPr>
          <w:rFonts w:asciiTheme="majorBidi" w:hAnsiTheme="majorBidi" w:cstheme="majorBidi"/>
        </w:rPr>
        <w:t xml:space="preserve"> untuk bekerja menjadi buruh migran di Taiwan demi menghidupi kebutuhan dua anaknya di Indonesia.</w:t>
      </w:r>
      <w:r>
        <w:rPr>
          <w:rStyle w:val="17"/>
          <w:rFonts w:asciiTheme="majorBidi" w:hAnsiTheme="majorBidi" w:cstheme="majorBidi"/>
        </w:rPr>
        <w:footnoteReference w:id="56"/>
      </w:r>
    </w:p>
    <w:p>
      <w:pPr>
        <w:spacing w:after="0" w:line="312" w:lineRule="auto"/>
        <w:ind w:left="455" w:leftChars="207" w:right="-103" w:rightChars="-47" w:firstLine="382" w:firstLineChars="174"/>
        <w:contextualSpacing/>
        <w:jc w:val="both"/>
        <w:rPr>
          <w:rFonts w:eastAsia="SimSun" w:asciiTheme="majorBidi" w:hAnsiTheme="majorBidi" w:cstheme="majorBidi"/>
          <w:lang w:val="en-US"/>
        </w:rPr>
      </w:pPr>
      <w:r>
        <w:rPr>
          <w:rFonts w:eastAsia="SimSun" w:asciiTheme="majorBidi" w:hAnsiTheme="majorBidi" w:cstheme="majorBidi"/>
        </w:rPr>
        <w:t>Petaka ini ber</w:t>
      </w:r>
      <w:r>
        <w:rPr>
          <w:rFonts w:eastAsia="SimSun" w:asciiTheme="majorBidi" w:hAnsiTheme="majorBidi" w:cstheme="majorBidi"/>
          <w:lang w:val="en-US"/>
        </w:rPr>
        <w:t>mu</w:t>
      </w:r>
      <w:r>
        <w:rPr>
          <w:rFonts w:eastAsia="SimSun" w:asciiTheme="majorBidi" w:hAnsiTheme="majorBidi" w:cstheme="majorBidi"/>
        </w:rPr>
        <w:t xml:space="preserve">la saat </w:t>
      </w:r>
      <w:r>
        <w:rPr>
          <w:rFonts w:eastAsia="SimSun" w:asciiTheme="majorBidi" w:hAnsiTheme="majorBidi" w:cstheme="majorBidi"/>
          <w:lang w:val="en-US"/>
        </w:rPr>
        <w:t xml:space="preserve">MU </w:t>
      </w:r>
      <w:r>
        <w:rPr>
          <w:rFonts w:eastAsia="SimSun" w:asciiTheme="majorBidi" w:hAnsiTheme="majorBidi" w:cstheme="majorBidi"/>
        </w:rPr>
        <w:t xml:space="preserve">tengah berada di sebuah restoran yang berada di bilangan Jalan Thamrin, Jakarta. Di tempat itu dia berkenalan dengan seorang pria berkewarganegaraan Kanada, </w:t>
      </w:r>
      <w:r>
        <w:rPr>
          <w:rFonts w:eastAsia="SimSun" w:asciiTheme="majorBidi" w:hAnsiTheme="majorBidi" w:cstheme="majorBidi"/>
          <w:lang w:val="en-US"/>
        </w:rPr>
        <w:t>yang bernama</w:t>
      </w:r>
      <w:r>
        <w:rPr>
          <w:rFonts w:eastAsia="SimSun" w:asciiTheme="majorBidi" w:hAnsiTheme="majorBidi" w:cstheme="majorBidi"/>
        </w:rPr>
        <w:t xml:space="preserve">. Perkenalan itu berlanjut hingga ke hubungan yang lebih </w:t>
      </w:r>
      <w:r>
        <w:rPr>
          <w:rFonts w:eastAsia="SimSun" w:asciiTheme="majorBidi" w:hAnsiTheme="majorBidi" w:cstheme="majorBidi"/>
          <w:lang w:val="en-US"/>
        </w:rPr>
        <w:t>di antara keduanya.</w:t>
      </w:r>
    </w:p>
    <w:p>
      <w:pPr>
        <w:spacing w:after="0" w:line="312" w:lineRule="auto"/>
        <w:ind w:left="455" w:leftChars="207" w:right="-103" w:rightChars="-47" w:firstLine="382" w:firstLineChars="174"/>
        <w:contextualSpacing/>
        <w:jc w:val="both"/>
        <w:rPr>
          <w:rFonts w:eastAsia="SimSun" w:asciiTheme="majorBidi" w:hAnsiTheme="majorBidi" w:cstheme="majorBidi"/>
          <w:lang w:val="en-US"/>
        </w:rPr>
      </w:pPr>
      <w:r>
        <w:rPr>
          <w:rFonts w:eastAsia="SimSun" w:asciiTheme="majorBidi" w:hAnsiTheme="majorBidi" w:cstheme="majorBidi"/>
        </w:rPr>
        <w:t xml:space="preserve">Pada 16 Oktober 2001, J lantas mengajak </w:t>
      </w:r>
      <w:r>
        <w:rPr>
          <w:rFonts w:eastAsia="SimSun" w:asciiTheme="majorBidi" w:hAnsiTheme="majorBidi" w:cstheme="majorBidi"/>
          <w:lang w:val="en-US"/>
        </w:rPr>
        <w:t xml:space="preserve">MU </w:t>
      </w:r>
      <w:r>
        <w:rPr>
          <w:rFonts w:eastAsia="SimSun" w:asciiTheme="majorBidi" w:hAnsiTheme="majorBidi" w:cstheme="majorBidi"/>
        </w:rPr>
        <w:t xml:space="preserve">ke </w:t>
      </w:r>
      <w:r>
        <w:rPr>
          <w:rFonts w:eastAsia="SimSun" w:asciiTheme="majorBidi" w:hAnsiTheme="majorBidi" w:cstheme="majorBidi"/>
          <w:lang w:val="en-US"/>
        </w:rPr>
        <w:t>N</w:t>
      </w:r>
      <w:r>
        <w:rPr>
          <w:rFonts w:eastAsia="SimSun" w:asciiTheme="majorBidi" w:hAnsiTheme="majorBidi" w:cstheme="majorBidi"/>
        </w:rPr>
        <w:t xml:space="preserve">egara Nepal untuk berlibur. </w:t>
      </w:r>
      <w:r>
        <w:rPr>
          <w:rFonts w:eastAsia="SimSun" w:asciiTheme="majorBidi" w:hAnsiTheme="majorBidi" w:cstheme="majorBidi"/>
          <w:lang w:val="en-US"/>
        </w:rPr>
        <w:t xml:space="preserve">MU berangkat dari Singapura dengan tujuan Negara Nepal, sedangkan Si J berangkat terlebih dahulu ke Nepal. Keduanya janjian bertemu di Nepal. </w:t>
      </w:r>
    </w:p>
    <w:p>
      <w:pPr>
        <w:spacing w:after="0" w:line="312" w:lineRule="auto"/>
        <w:ind w:left="455" w:leftChars="207" w:right="-103" w:rightChars="-47" w:firstLine="382" w:firstLineChars="174"/>
        <w:contextualSpacing/>
        <w:jc w:val="both"/>
        <w:rPr>
          <w:rFonts w:eastAsia="SimSun" w:asciiTheme="majorBidi" w:hAnsiTheme="majorBidi" w:cstheme="majorBidi"/>
          <w:lang w:val="en-US"/>
        </w:rPr>
      </w:pPr>
      <w:r>
        <w:rPr>
          <w:rFonts w:eastAsia="SimSun" w:asciiTheme="majorBidi" w:hAnsiTheme="majorBidi" w:cstheme="majorBidi"/>
          <w:lang w:val="en-US"/>
        </w:rPr>
        <w:t>Selama dua hari keduanya tingga di sebuah Hotel di Nepal. Setelah itu J pergi ke Jakarta beralasan karena ada urusan bisnis. Sedangkan MU wanita kelahiran Sukoharjo diminta J untuk tetap tinggal di Nepal selama dua pekan.</w:t>
      </w:r>
    </w:p>
    <w:p>
      <w:pPr>
        <w:spacing w:after="0" w:line="312" w:lineRule="auto"/>
        <w:ind w:left="455" w:leftChars="207" w:right="-103" w:rightChars="-47" w:firstLine="382" w:firstLineChars="174"/>
        <w:contextualSpacing/>
        <w:jc w:val="both"/>
        <w:rPr>
          <w:rFonts w:eastAsia="SimSun" w:asciiTheme="majorBidi" w:hAnsiTheme="majorBidi" w:cstheme="majorBidi"/>
          <w:lang w:val="en-US"/>
        </w:rPr>
      </w:pPr>
      <w:r>
        <w:rPr>
          <w:rFonts w:eastAsia="SimSun" w:asciiTheme="majorBidi" w:hAnsiTheme="majorBidi" w:cstheme="majorBidi"/>
          <w:lang w:val="en-US"/>
        </w:rPr>
        <w:t>Sebelum terbang pulang ke Indonesia, MU bertemu dengan dua teman J yang bernama Muhamad dan Badru. Yang mana kedua teman J memberikan sebuah tas kepada MU, tas tersebut yang menjadi alasan sebuah hadiah pemberian J kepada MU. Sebelumnya MU telah curiga dengan tas yang cukup berat itu. Namun, teman J yang berinisial M dan B meyakinkan MU bahwa tas tersebut berat karena bahan dari kulit yang berkualitas tinggi.</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lang w:val="en-US"/>
        </w:rPr>
        <w:t xml:space="preserve">MU lantas terbang menggunakan pesawat dengan Nomor penerbangan SQ-166. Perjalanan MU cukup lancar, setibanya </w:t>
      </w:r>
      <w:r>
        <w:rPr>
          <w:rFonts w:eastAsia="SimSun" w:asciiTheme="majorBidi" w:hAnsiTheme="majorBidi" w:cstheme="majorBidi"/>
        </w:rPr>
        <w:t>di Bandara Soekarno-Hatta Cengkareng</w:t>
      </w:r>
      <w:r>
        <w:rPr>
          <w:rFonts w:eastAsia="SimSun" w:asciiTheme="majorBidi" w:hAnsiTheme="majorBidi" w:cstheme="majorBidi"/>
          <w:lang w:val="en-US"/>
        </w:rPr>
        <w:t>. Dengan tas tersebut, MU menjalani pemeriksaan layaknya sebagai penumpang seperti yang lain. Namun</w:t>
      </w:r>
      <w:r>
        <w:rPr>
          <w:rFonts w:eastAsia="SimSun" w:asciiTheme="majorBidi" w:hAnsiTheme="majorBidi" w:cstheme="majorBidi"/>
        </w:rPr>
        <w:t xml:space="preserve">, petugas Bea dan Cukai merasa curiga dengan tas </w:t>
      </w:r>
      <w:r>
        <w:rPr>
          <w:rFonts w:eastAsia="SimSun" w:asciiTheme="majorBidi" w:hAnsiTheme="majorBidi" w:cstheme="majorBidi"/>
          <w:lang w:val="en-US"/>
        </w:rPr>
        <w:t>yang di bawa MU.</w:t>
      </w:r>
      <w:r>
        <w:rPr>
          <w:rFonts w:eastAsia="SimSun" w:asciiTheme="majorBidi" w:hAnsiTheme="majorBidi" w:cstheme="majorBidi"/>
        </w:rPr>
        <w:t xml:space="preserve"> Para petugas meminta agar Marry meletakkan tasnya ke peralatan X-Ray. Petugas merasa adanya keanehan pada tas yang dibawa MU.</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Times New Roman" w:asciiTheme="majorBidi" w:hAnsiTheme="majorBidi" w:cstheme="majorBidi"/>
          <w:kern w:val="0"/>
          <w14:ligatures w14:val="none"/>
        </w:rPr>
        <w:t xml:space="preserve">Tas yang dibawa oleh MU diperiksa oleh petugas bandara di ruang pemeriksaan, dengan memeriksa identitas serta isi tas yang dibawanya. </w:t>
      </w:r>
      <w:r>
        <w:rPr>
          <w:rFonts w:eastAsia="Times New Roman" w:asciiTheme="majorBidi" w:hAnsiTheme="majorBidi" w:cstheme="majorBidi"/>
          <w:kern w:val="0"/>
          <w:lang w:val="en-US"/>
          <w14:ligatures w14:val="none"/>
        </w:rPr>
        <w:t>Pemeriksaan dilakukan dengan cara menusukkan jarum berongga ke dinding tas. Ketika jarum ditarik, ditemukan serbuk putih yang menempel pada jarum tersebut.</w:t>
      </w:r>
    </w:p>
    <w:p>
      <w:pPr>
        <w:spacing w:after="0" w:line="312" w:lineRule="auto"/>
        <w:ind w:left="455" w:leftChars="207" w:right="-103" w:rightChars="-47" w:firstLine="382" w:firstLineChars="174"/>
        <w:contextualSpacing/>
        <w:jc w:val="both"/>
        <w:rPr>
          <w:rFonts w:eastAsia="SimSun" w:asciiTheme="majorBidi" w:hAnsiTheme="majorBidi" w:cstheme="majorBidi"/>
          <w:lang w:val="en-US"/>
        </w:rPr>
      </w:pPr>
      <w:r>
        <w:rPr>
          <w:rFonts w:eastAsia="SimSun" w:asciiTheme="majorBidi" w:hAnsiTheme="majorBidi" w:cstheme="majorBidi"/>
          <w:lang w:val="en-US"/>
        </w:rPr>
        <w:t>Petugas Bandara merasa curiga, kemudian tas dibongkar ptugas menemukan 2 bungkusan kertas karton di dinding tas. Yang mana 2 bungkusan tersebut berisi bubuk warna putih yang keMU dia dicek dan diidentikasi melalui pemeriksaan laboratorium, hasil tersebut narkotika jenis heroin seberat 1,1 Kilogram.</w:t>
      </w:r>
    </w:p>
    <w:p>
      <w:pPr>
        <w:spacing w:after="0" w:line="312" w:lineRule="auto"/>
        <w:ind w:left="455" w:leftChars="207" w:right="-103" w:rightChars="-47" w:firstLine="382" w:firstLineChars="174"/>
        <w:contextualSpacing/>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MU kemudian harus mempertanggungjawabkan barang yang dibawanya hingga menjalani proses hukum di pengadilan. Ia didakwa dengan dakwaan primer berdasarkan Pasal 82 Ayat (1) huruf a Undang-Undang Nomor 22 Tahun 1997 tentang Narkotika. Pasal ini menyatakan bahwa tindakan mengimpor, mengekspor, menawarkan untuk dijual, menyalurkan, menjual, membeli, menyerahkan, menerima, atau menjadi perantara dalam jual beli narkotika Golongan I dapat dihukum dengan pidana mati, pidana penjara seumur hidup, atau pidana penjara paling lama 20 tahun, serta denda maksimal Rp1.000.000.000,00 (satu miliar rupiah).</w:t>
      </w:r>
    </w:p>
    <w:p>
      <w:pPr>
        <w:spacing w:after="0" w:line="312" w:lineRule="auto"/>
        <w:ind w:left="455" w:leftChars="207" w:right="-103" w:rightChars="-47" w:firstLine="382" w:firstLineChars="174"/>
        <w:contextualSpacing/>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Berdasarkan serangkaian pembuktian, Pengadilan Negeri Tangerang memutuskan vonis terhadap MU melalui putusan Nomor 140/Pid.B/2002/PN.Tng. Pengadilan tingkat pertama menjatuhkan hukuman sebagai berikut:</w:t>
      </w:r>
    </w:p>
    <w:p>
      <w:pPr>
        <w:pStyle w:val="4"/>
        <w:numPr>
          <w:ilvl w:val="0"/>
          <w:numId w:val="40"/>
        </w:numPr>
        <w:spacing w:after="0" w:line="312" w:lineRule="auto"/>
        <w:ind w:right="-103" w:rightChars="-47" w:hanging="284"/>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Menyatakan bahwa terdakwa MU terbukti secara sah dan meyakinkan melakukan tindak pidana impor narkotika Golongan I jenis heroin tanpa izin dan melawan hukum.</w:t>
      </w:r>
    </w:p>
    <w:p>
      <w:pPr>
        <w:pStyle w:val="4"/>
        <w:numPr>
          <w:ilvl w:val="0"/>
          <w:numId w:val="40"/>
        </w:numPr>
        <w:spacing w:after="0" w:line="312" w:lineRule="auto"/>
        <w:ind w:right="-103" w:rightChars="-47" w:hanging="284"/>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Menghukum MU dengan pidana mati.</w:t>
      </w:r>
    </w:p>
    <w:p>
      <w:pPr>
        <w:pStyle w:val="4"/>
        <w:numPr>
          <w:ilvl w:val="0"/>
          <w:numId w:val="40"/>
        </w:numPr>
        <w:spacing w:after="0" w:line="312" w:lineRule="auto"/>
        <w:ind w:right="-103" w:rightChars="-47" w:hanging="284"/>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Memerintahkan pemusnahan barang bukti berupa dua bungkus heroin dan tas tangan hitam.</w:t>
      </w:r>
    </w:p>
    <w:p>
      <w:pPr>
        <w:pStyle w:val="4"/>
        <w:numPr>
          <w:ilvl w:val="0"/>
          <w:numId w:val="40"/>
        </w:numPr>
        <w:spacing w:after="0" w:line="312" w:lineRule="auto"/>
        <w:ind w:right="-103" w:rightChars="-47" w:hanging="284"/>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Mengembalikan paspor, tiket pesawat, pernyataan bea cukai, dan boarding pass kepada terdakwa.</w:t>
      </w:r>
      <w:r>
        <w:rPr>
          <w:rStyle w:val="17"/>
          <w:rFonts w:eastAsia="SimSun" w:asciiTheme="majorBidi" w:hAnsiTheme="majorBidi" w:cstheme="majorBidi"/>
          <w:lang w:val="en-US"/>
        </w:rPr>
        <w:footnoteReference w:id="57"/>
      </w:r>
    </w:p>
    <w:p>
      <w:pPr>
        <w:pStyle w:val="4"/>
        <w:spacing w:after="0" w:line="312" w:lineRule="auto"/>
        <w:ind w:left="567" w:right="-103" w:rightChars="-47" w:firstLine="567"/>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MU mengajukan banding atas putusan tersebut, Namun hasilnya justru memperkuat vonis sebelumnya. Upaya kasasi yang diajukan juga ditolak, sehingga MU harus menjalani hukuman mati sesuai putusan pengadilan tingkat pertama.</w:t>
      </w:r>
    </w:p>
    <w:p>
      <w:pPr>
        <w:pStyle w:val="4"/>
        <w:spacing w:after="0" w:line="312" w:lineRule="auto"/>
        <w:ind w:left="567" w:right="-103" w:rightChars="-47" w:firstLine="567"/>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Dalam kasasi, MU menyatakan keberatan atas vonis yang diterimanya. Ia berargumen bahwa tidak ada bukti yang menunjukkan niatnya untuk mengimpor narkotika, karena ia hanya membawa tas tanpa mengetahui isinya berupa narkotika. Menurut MU, hakim salah mengartikan unsur tindak pidana impor narkotika, yang didefinisikan sebagai memasukkan narkotika ke wilayah kepabeanan. Ia menilai bahwa tuduhan tersebut tidak terbukti dalam persidangan.</w:t>
      </w:r>
    </w:p>
    <w:p>
      <w:pPr>
        <w:pStyle w:val="4"/>
        <w:spacing w:after="0" w:line="312" w:lineRule="auto"/>
        <w:ind w:left="567" w:right="-103" w:rightChars="-47" w:firstLine="567"/>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Selain itu, MU menganggap hakim keliru karena tidak mempertimbangkan alasan-alasan yang dapat meringankan hukumannya, seperti:</w:t>
      </w:r>
    </w:p>
    <w:p>
      <w:pPr>
        <w:pStyle w:val="4"/>
        <w:numPr>
          <w:ilvl w:val="0"/>
          <w:numId w:val="41"/>
        </w:numPr>
        <w:spacing w:after="0" w:line="312" w:lineRule="auto"/>
        <w:ind w:left="993" w:right="-103" w:rightChars="-47" w:hanging="426"/>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Ia adalah korban sindikat narkotika internasional.</w:t>
      </w:r>
    </w:p>
    <w:p>
      <w:pPr>
        <w:pStyle w:val="4"/>
        <w:numPr>
          <w:ilvl w:val="0"/>
          <w:numId w:val="41"/>
        </w:numPr>
        <w:spacing w:after="0" w:line="312" w:lineRule="auto"/>
        <w:ind w:left="993" w:right="-103" w:rightChars="-47" w:hanging="426"/>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 xml:space="preserve">Ia bersikap sopan selama persidangan. </w:t>
      </w:r>
    </w:p>
    <w:p>
      <w:pPr>
        <w:pStyle w:val="4"/>
        <w:numPr>
          <w:ilvl w:val="0"/>
          <w:numId w:val="41"/>
        </w:numPr>
        <w:spacing w:after="0" w:line="312" w:lineRule="auto"/>
        <w:ind w:left="993" w:right="-103" w:rightChars="-47" w:hanging="426"/>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Usianya masih muda sehingga masih bisa dibina.</w:t>
      </w:r>
    </w:p>
    <w:p>
      <w:pPr>
        <w:pStyle w:val="4"/>
        <w:numPr>
          <w:ilvl w:val="0"/>
          <w:numId w:val="41"/>
        </w:numPr>
        <w:spacing w:after="0" w:line="312" w:lineRule="auto"/>
        <w:ind w:left="993" w:right="-103" w:rightChars="-47" w:hanging="426"/>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Ia tidak memiliki catatan kriminal sebelumnya.</w:t>
      </w:r>
    </w:p>
    <w:p>
      <w:pPr>
        <w:pStyle w:val="4"/>
        <w:spacing w:after="0" w:line="312" w:lineRule="auto"/>
        <w:ind w:left="567" w:right="-103" w:rightChars="-47" w:firstLine="567"/>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Namun, hakim kasasi menolak semua keberatan MU, menyatakan bahwa pengadilan sebelumnya telah menerapkan hukum dengan benar. Hakim berpendapat bahwa MU mengetahui isi tas karena merasa beratnya tidak wajar, sehingga ia tetap harus menjalani hukuman mati. Meski MU terus membantah tuduhan tersebut, vonis tetap berlaku.</w:t>
      </w:r>
    </w:p>
    <w:p>
      <w:pPr>
        <w:pStyle w:val="4"/>
        <w:spacing w:after="0" w:line="312" w:lineRule="auto"/>
        <w:ind w:left="567" w:right="-103" w:rightChars="-47" w:firstLine="567"/>
        <w:jc w:val="both"/>
        <w:rPr>
          <w:rFonts w:eastAsia="Times New Roman" w:asciiTheme="majorBidi" w:hAnsiTheme="majorBidi" w:cstheme="majorBidi"/>
          <w:kern w:val="0"/>
          <w:lang w:val="en-US"/>
          <w14:ligatures w14:val="none"/>
        </w:rPr>
      </w:pPr>
      <w:r>
        <w:rPr>
          <w:rFonts w:eastAsia="Times New Roman" w:asciiTheme="majorBidi" w:hAnsiTheme="majorBidi" w:cstheme="majorBidi"/>
          <w:kern w:val="0"/>
          <w:lang w:val="en-US"/>
          <w14:ligatures w14:val="none"/>
        </w:rPr>
        <w:t>Selama sekitar 15 tahun, MU mendekam di penjara sambil menunggu eksekusi. Permohonan grasi yang diajukannya ditolak oleh presiden. Pada Juli 2015, Kejaksaan Agung memasukkan namanya dalam daftar 14 narapidana yang akan dieksekusi oleh regu tembak</w:t>
      </w:r>
      <w:r>
        <w:rPr>
          <w:rFonts w:eastAsia="SimSun" w:asciiTheme="majorBidi" w:hAnsiTheme="majorBidi" w:cstheme="majorBidi"/>
        </w:rPr>
        <w:t>.</w:t>
      </w:r>
      <w:r>
        <w:rPr>
          <w:rStyle w:val="17"/>
          <w:rFonts w:eastAsia="SimSun" w:asciiTheme="majorBidi" w:hAnsiTheme="majorBidi" w:cstheme="majorBidi"/>
        </w:rPr>
        <w:footnoteReference w:id="58"/>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lang w:val="en-US"/>
        </w:rPr>
        <w:t>Hari-hari MU selalu gelisah, karena hukuman yang dijatuhi terhadapnya. Hukuman mati merupakan hukuman yang paling tidak diinginkan oleh siapapun. Namun, hal ini menjadi bayang-bayang yang selalu melintasi pemikiran Merri. kemudian MU melalui kuasa hukumnya, mengajukan grasi yang ke-2 kali. Sehingga, pelaksanaan hukuman mati ditunda sampai wantu yang ditentukan.</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lang w:val="en-US"/>
        </w:rPr>
        <w:t xml:space="preserve">Dalam Putusan Hakim Tingkat I MU </w:t>
      </w:r>
      <w:r>
        <w:rPr>
          <w:rFonts w:eastAsia="SimSun" w:asciiTheme="majorBidi" w:hAnsiTheme="majorBidi" w:cstheme="majorBidi"/>
        </w:rPr>
        <w:t xml:space="preserve">dinyatakan bersalah telah melanggar Pasal 82 Ayat (1) huruf a </w:t>
      </w:r>
      <w:r>
        <w:rPr>
          <w:rFonts w:eastAsia="SimSun" w:asciiTheme="majorBidi" w:hAnsiTheme="majorBidi" w:cstheme="majorBidi"/>
          <w:lang w:val="en-US"/>
        </w:rPr>
        <w:t>Undang-Undang</w:t>
      </w:r>
      <w:r>
        <w:rPr>
          <w:rFonts w:eastAsia="SimSun" w:asciiTheme="majorBidi" w:hAnsiTheme="majorBidi" w:cstheme="majorBidi"/>
        </w:rPr>
        <w:t xml:space="preserve"> Narkotika No. 22 Tahun 1997. Terdamenyerahkan, menerima,menjadi perantara dalam jual beli, pat beberapa unsur dalam Pasal 82 yaitu: 1. Barangsiapa tanpa hak dan melawan hukum mengimpor, mengekspor, menawarkan untuk dijual, menyalurkan, menjual, membeli, atau menukar narkotika Golongan I Hakim memutuskan bahwa MU terbukti bersalah tanpa hak dan melawan hukum mengimpor narkotika jenis heroin. Ketiga unsur tersebut juga sangat mudah dibuktikan. Ketentuan pidana dalam UU Narkotika, yang didukung oleh pernyataan pemerintah bahwa kejahatan narkotika adalah kejahatan paling serius, tampaknya memang didesain untuk menjerat siapapun dalam bentuk perbuatan apapun yang berhubungan dengan narkotika. Salah satu bukti dari pernyataan ini adalah tidak adanya unsur kesengajaan yang harus dibuktikan padahal unsur tersebut penting dalam tindak pidana. Seseorang yang tidak mengetahui bahwa ia menguasai narkotika, dapat dengan </w:t>
      </w:r>
      <w:r>
        <w:rPr>
          <w:rFonts w:eastAsia="SimSun" w:asciiTheme="majorBidi" w:hAnsiTheme="majorBidi" w:cstheme="majorBidi"/>
          <w:lang w:val="en-US"/>
        </w:rPr>
        <w:t>muda</w:t>
      </w:r>
      <w:r>
        <w:rPr>
          <w:rFonts w:eastAsia="SimSun" w:asciiTheme="majorBidi" w:hAnsiTheme="majorBidi" w:cstheme="majorBidi"/>
        </w:rPr>
        <w:t>h dinyatakan bersalah.</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lang w:val="en-US"/>
        </w:rPr>
        <w:t>Alat bukti p</w:t>
      </w:r>
      <w:r>
        <w:rPr>
          <w:rFonts w:eastAsia="SimSun" w:asciiTheme="majorBidi" w:hAnsiTheme="majorBidi" w:cstheme="majorBidi"/>
        </w:rPr>
        <w:t xml:space="preserve">ada kasus </w:t>
      </w:r>
      <w:r>
        <w:rPr>
          <w:rFonts w:eastAsia="SimSun" w:asciiTheme="majorBidi" w:hAnsiTheme="majorBidi" w:cstheme="majorBidi"/>
          <w:lang w:val="en-US"/>
        </w:rPr>
        <w:t xml:space="preserve">MU </w:t>
      </w:r>
      <w:r>
        <w:rPr>
          <w:rFonts w:eastAsia="SimSun" w:asciiTheme="majorBidi" w:hAnsiTheme="majorBidi" w:cstheme="majorBidi"/>
        </w:rPr>
        <w:t xml:space="preserve">yang dihadirkan oleh </w:t>
      </w:r>
      <w:r>
        <w:rPr>
          <w:rFonts w:eastAsia="SimSun" w:asciiTheme="majorBidi" w:hAnsiTheme="majorBidi" w:cstheme="majorBidi"/>
          <w:lang w:val="en-US"/>
        </w:rPr>
        <w:t>J</w:t>
      </w:r>
      <w:r>
        <w:rPr>
          <w:rFonts w:eastAsia="SimSun" w:asciiTheme="majorBidi" w:hAnsiTheme="majorBidi" w:cstheme="majorBidi"/>
        </w:rPr>
        <w:t>aksa</w:t>
      </w:r>
      <w:r>
        <w:rPr>
          <w:rFonts w:eastAsia="SimSun" w:asciiTheme="majorBidi" w:hAnsiTheme="majorBidi" w:cstheme="majorBidi"/>
          <w:lang w:val="en-US"/>
        </w:rPr>
        <w:t xml:space="preserve"> Penuntut umum (JPU), yaitu:</w:t>
      </w:r>
    </w:p>
    <w:p>
      <w:pPr>
        <w:numPr>
          <w:ilvl w:val="0"/>
          <w:numId w:val="42"/>
        </w:numPr>
        <w:spacing w:after="0" w:line="312" w:lineRule="auto"/>
        <w:ind w:left="831" w:leftChars="200" w:right="-103" w:rightChars="-47" w:hanging="391" w:hangingChars="178"/>
        <w:contextualSpacing/>
        <w:jc w:val="both"/>
        <w:rPr>
          <w:rFonts w:eastAsia="SimSun" w:asciiTheme="majorBidi" w:hAnsiTheme="majorBidi" w:cstheme="majorBidi"/>
        </w:rPr>
      </w:pPr>
      <w:r>
        <w:rPr>
          <w:rFonts w:eastAsia="SimSun" w:asciiTheme="majorBidi" w:hAnsiTheme="majorBidi" w:cstheme="majorBidi"/>
          <w:lang w:val="en-US"/>
        </w:rPr>
        <w:t>H</w:t>
      </w:r>
      <w:r>
        <w:rPr>
          <w:rFonts w:eastAsia="SimSun" w:asciiTheme="majorBidi" w:hAnsiTheme="majorBidi" w:cstheme="majorBidi"/>
        </w:rPr>
        <w:t>eroin sebanyak 1</w:t>
      </w:r>
      <w:r>
        <w:rPr>
          <w:rFonts w:eastAsia="SimSun" w:asciiTheme="majorBidi" w:hAnsiTheme="majorBidi" w:cstheme="majorBidi"/>
          <w:lang w:val="en-US"/>
        </w:rPr>
        <w:t>,</w:t>
      </w:r>
      <w:r>
        <w:rPr>
          <w:rFonts w:eastAsia="SimSun" w:asciiTheme="majorBidi" w:hAnsiTheme="majorBidi" w:cstheme="majorBidi"/>
        </w:rPr>
        <w:t>1 Kilogram</w:t>
      </w:r>
      <w:r>
        <w:rPr>
          <w:rFonts w:eastAsia="SimSun" w:asciiTheme="majorBidi" w:hAnsiTheme="majorBidi" w:cstheme="majorBidi"/>
          <w:lang w:val="en-US"/>
        </w:rPr>
        <w:t>.</w:t>
      </w:r>
    </w:p>
    <w:p>
      <w:pPr>
        <w:numPr>
          <w:ilvl w:val="0"/>
          <w:numId w:val="42"/>
        </w:numPr>
        <w:spacing w:after="0" w:line="312" w:lineRule="auto"/>
        <w:ind w:left="831" w:leftChars="200" w:right="-103" w:rightChars="-47" w:hanging="391" w:hangingChars="178"/>
        <w:contextualSpacing/>
        <w:jc w:val="both"/>
        <w:rPr>
          <w:rFonts w:eastAsia="SimSun" w:asciiTheme="majorBidi" w:hAnsiTheme="majorBidi" w:cstheme="majorBidi"/>
        </w:rPr>
      </w:pPr>
      <w:r>
        <w:rPr>
          <w:rFonts w:eastAsia="SimSun" w:asciiTheme="majorBidi" w:hAnsiTheme="majorBidi" w:cstheme="majorBidi"/>
        </w:rPr>
        <w:t xml:space="preserve">3 (tiga) orang saksi yang menangkap </w:t>
      </w:r>
      <w:r>
        <w:rPr>
          <w:rFonts w:eastAsia="SimSun" w:asciiTheme="majorBidi" w:hAnsiTheme="majorBidi" w:cstheme="majorBidi"/>
          <w:lang w:val="en-US"/>
        </w:rPr>
        <w:t xml:space="preserve">MU </w:t>
      </w:r>
      <w:r>
        <w:rPr>
          <w:rFonts w:eastAsia="SimSun" w:asciiTheme="majorBidi" w:hAnsiTheme="majorBidi" w:cstheme="majorBidi"/>
        </w:rPr>
        <w:t>di bandara Soekarno-Hatta</w:t>
      </w:r>
    </w:p>
    <w:p>
      <w:pPr>
        <w:numPr>
          <w:ilvl w:val="0"/>
          <w:numId w:val="42"/>
        </w:numPr>
        <w:spacing w:after="0" w:line="312" w:lineRule="auto"/>
        <w:ind w:left="831" w:leftChars="200" w:right="-103" w:rightChars="-47" w:hanging="391" w:hangingChars="178"/>
        <w:contextualSpacing/>
        <w:jc w:val="both"/>
        <w:rPr>
          <w:rFonts w:eastAsia="SimSun" w:asciiTheme="majorBidi" w:hAnsiTheme="majorBidi" w:cstheme="majorBidi"/>
        </w:rPr>
      </w:pPr>
      <w:r>
        <w:rPr>
          <w:rFonts w:eastAsia="SimSun" w:asciiTheme="majorBidi" w:hAnsiTheme="majorBidi" w:cstheme="majorBidi"/>
          <w:lang w:val="en-US"/>
        </w:rPr>
        <w:t>K</w:t>
      </w:r>
      <w:r>
        <w:rPr>
          <w:rFonts w:eastAsia="SimSun" w:asciiTheme="majorBidi" w:hAnsiTheme="majorBidi" w:cstheme="majorBidi"/>
        </w:rPr>
        <w:t xml:space="preserve">eterangan dari </w:t>
      </w:r>
      <w:r>
        <w:rPr>
          <w:rFonts w:eastAsia="SimSun" w:asciiTheme="majorBidi" w:hAnsiTheme="majorBidi" w:cstheme="majorBidi"/>
          <w:lang w:val="en-US"/>
        </w:rPr>
        <w:t>MU i</w:t>
      </w:r>
      <w:r>
        <w:rPr>
          <w:rFonts w:eastAsia="SimSun" w:asciiTheme="majorBidi" w:hAnsiTheme="majorBidi" w:cstheme="majorBidi"/>
        </w:rPr>
        <w:t xml:space="preserve">tu sendiri. </w:t>
      </w:r>
    </w:p>
    <w:p>
      <w:pPr>
        <w:spacing w:after="0" w:line="312" w:lineRule="auto"/>
        <w:ind w:left="440" w:leftChars="200" w:right="-103" w:rightChars="-47" w:firstLine="358" w:firstLineChars="163"/>
        <w:contextualSpacing/>
        <w:jc w:val="both"/>
        <w:rPr>
          <w:rFonts w:eastAsia="SimSun" w:asciiTheme="majorBidi" w:hAnsiTheme="majorBidi" w:cstheme="majorBidi"/>
        </w:rPr>
      </w:pPr>
      <w:r>
        <w:rPr>
          <w:rFonts w:eastAsia="SimSun" w:asciiTheme="majorBidi" w:hAnsiTheme="majorBidi" w:cstheme="majorBidi"/>
        </w:rPr>
        <w:t xml:space="preserve">Ketiga saksi tersebut merupakan tiga orang pertama yang </w:t>
      </w:r>
      <w:r>
        <w:rPr>
          <w:rFonts w:eastAsia="SimSun" w:asciiTheme="majorBidi" w:hAnsiTheme="majorBidi" w:cstheme="majorBidi"/>
          <w:lang w:val="en-US"/>
        </w:rPr>
        <w:t>menemukan</w:t>
      </w:r>
      <w:r>
        <w:rPr>
          <w:rFonts w:eastAsia="SimSun" w:asciiTheme="majorBidi" w:hAnsiTheme="majorBidi" w:cstheme="majorBidi"/>
        </w:rPr>
        <w:t xml:space="preserve"> adanya heroin di dalam lapisan tas </w:t>
      </w:r>
      <w:r>
        <w:rPr>
          <w:rFonts w:eastAsia="SimSun" w:asciiTheme="majorBidi" w:hAnsiTheme="majorBidi" w:cstheme="majorBidi"/>
          <w:lang w:val="en-US"/>
        </w:rPr>
        <w:t>MU.</w:t>
      </w:r>
      <w:r>
        <w:rPr>
          <w:rFonts w:eastAsia="SimSun" w:asciiTheme="majorBidi" w:hAnsiTheme="majorBidi" w:cstheme="majorBidi"/>
        </w:rPr>
        <w:t xml:space="preserve"> Dalam putusan yang dikeluarkan oleh hakim Pengadilan Negeri Tangerang, tidak dijelaskan jabatan dan tugas dari ketiga saksi tersebut. Dalam putusan hanya dituliskan bahwa mereka “sedang bertugas” ketika </w:t>
      </w:r>
      <w:r>
        <w:rPr>
          <w:rFonts w:eastAsia="SimSun" w:asciiTheme="majorBidi" w:hAnsiTheme="majorBidi" w:cstheme="majorBidi"/>
          <w:lang w:val="en-US"/>
        </w:rPr>
        <w:t>menemukan</w:t>
      </w:r>
      <w:r>
        <w:rPr>
          <w:rFonts w:eastAsia="SimSun" w:asciiTheme="majorBidi" w:hAnsiTheme="majorBidi" w:cstheme="majorBidi"/>
        </w:rPr>
        <w:t xml:space="preserve"> heroin. Sedangkan MU tidak mengajukan saksi dan bukti sama sekali karena tidak mengetahui bahwa ia memiliki hak tersebut.</w:t>
      </w:r>
    </w:p>
    <w:p>
      <w:pPr>
        <w:spacing w:after="0" w:line="312" w:lineRule="auto"/>
        <w:ind w:left="455" w:leftChars="207" w:firstLine="382" w:firstLineChars="174"/>
        <w:contextualSpacing/>
        <w:jc w:val="both"/>
        <w:rPr>
          <w:rFonts w:asciiTheme="majorBidi" w:hAnsiTheme="majorBidi" w:cstheme="majorBidi"/>
        </w:rPr>
      </w:pPr>
      <w:r>
        <w:rPr>
          <w:rFonts w:asciiTheme="majorBidi" w:hAnsiTheme="majorBidi" w:cstheme="majorBidi"/>
        </w:rPr>
        <w:t>Menurut R. Atang Ranomiharjo sebagaimana dikutip Andi Sofyan dan Abd. Asis dalam buku Hukum Acara Pidana: Suatu Pengantar (h231), alat-alat bukti (yang sah) adalah alat-alat yang ada hubungannya dengan suatu tindak pidana, di mana alat-alat tersebut dapat digunakan sebagai bahan pembuktian, guna menimbulkan keyakinan bagi hakim, atas kebenaran adanya suatu tindak pidana yang telah dilakukan oleh terdakwa.</w:t>
      </w:r>
      <w:r>
        <w:rPr>
          <w:rStyle w:val="17"/>
          <w:rFonts w:asciiTheme="majorBidi" w:hAnsiTheme="majorBidi" w:cstheme="majorBidi"/>
        </w:rPr>
        <w:footnoteReference w:id="59"/>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 xml:space="preserve">Dalam KUHAP dikatakan bahwa hakim hanya dapat menjatuhkan pidana pada seseorang jika setidaknya terdapat dua alat bukti serta keyakinan hakim bahwa seseorang tersebut benar bersalah. Terdapat 4 (empat) alat bukti dalam kasus </w:t>
      </w:r>
      <w:r>
        <w:rPr>
          <w:rFonts w:eastAsia="SimSun" w:asciiTheme="majorBidi" w:hAnsiTheme="majorBidi" w:cstheme="majorBidi"/>
          <w:lang w:val="en-US"/>
        </w:rPr>
        <w:t xml:space="preserve">MU </w:t>
      </w:r>
      <w:r>
        <w:rPr>
          <w:rFonts w:eastAsia="SimSun" w:asciiTheme="majorBidi" w:hAnsiTheme="majorBidi" w:cstheme="majorBidi"/>
        </w:rPr>
        <w:t xml:space="preserve">yaitu: 1) </w:t>
      </w:r>
      <w:r>
        <w:rPr>
          <w:rFonts w:eastAsia="SimSun" w:asciiTheme="majorBidi" w:hAnsiTheme="majorBidi" w:cstheme="majorBidi"/>
          <w:lang w:val="en-US"/>
        </w:rPr>
        <w:t>K</w:t>
      </w:r>
      <w:r>
        <w:rPr>
          <w:rFonts w:eastAsia="SimSun" w:asciiTheme="majorBidi" w:hAnsiTheme="majorBidi" w:cstheme="majorBidi"/>
        </w:rPr>
        <w:t>eterangan 3 (</w:t>
      </w:r>
      <w:r>
        <w:rPr>
          <w:rFonts w:eastAsia="SimSun" w:asciiTheme="majorBidi" w:hAnsiTheme="majorBidi" w:cstheme="majorBidi"/>
          <w:lang w:val="en-US"/>
        </w:rPr>
        <w:t>T</w:t>
      </w:r>
      <w:r>
        <w:rPr>
          <w:rFonts w:eastAsia="SimSun" w:asciiTheme="majorBidi" w:hAnsiTheme="majorBidi" w:cstheme="majorBidi"/>
        </w:rPr>
        <w:t xml:space="preserve">iga) orang saksi, 2) </w:t>
      </w:r>
      <w:r>
        <w:rPr>
          <w:rFonts w:eastAsia="SimSun" w:asciiTheme="majorBidi" w:hAnsiTheme="majorBidi" w:cstheme="majorBidi"/>
          <w:lang w:val="en-US"/>
        </w:rPr>
        <w:t>K</w:t>
      </w:r>
      <w:r>
        <w:rPr>
          <w:rFonts w:eastAsia="SimSun" w:asciiTheme="majorBidi" w:hAnsiTheme="majorBidi" w:cstheme="majorBidi"/>
        </w:rPr>
        <w:t>eterangan M</w:t>
      </w:r>
      <w:r>
        <w:rPr>
          <w:rFonts w:eastAsia="SimSun" w:asciiTheme="majorBidi" w:hAnsiTheme="majorBidi" w:cstheme="majorBidi"/>
          <w:lang w:val="en-US"/>
        </w:rPr>
        <w:t>U</w:t>
      </w:r>
      <w:r>
        <w:rPr>
          <w:rFonts w:eastAsia="SimSun" w:asciiTheme="majorBidi" w:hAnsiTheme="majorBidi" w:cstheme="majorBidi"/>
        </w:rPr>
        <w:t xml:space="preserve">, 3) </w:t>
      </w:r>
      <w:r>
        <w:rPr>
          <w:rFonts w:eastAsia="SimSun" w:asciiTheme="majorBidi" w:hAnsiTheme="majorBidi" w:cstheme="majorBidi"/>
          <w:lang w:val="en-US"/>
        </w:rPr>
        <w:t>A</w:t>
      </w:r>
      <w:r>
        <w:rPr>
          <w:rFonts w:eastAsia="SimSun" w:asciiTheme="majorBidi" w:hAnsiTheme="majorBidi" w:cstheme="majorBidi"/>
        </w:rPr>
        <w:t xml:space="preserve">lat bukti </w:t>
      </w:r>
      <w:r>
        <w:rPr>
          <w:rFonts w:eastAsia="SimSun" w:asciiTheme="majorBidi" w:hAnsiTheme="majorBidi" w:cstheme="majorBidi"/>
          <w:lang w:val="en-US"/>
        </w:rPr>
        <w:t>Surat</w:t>
      </w:r>
      <w:r>
        <w:rPr>
          <w:rFonts w:eastAsia="SimSun" w:asciiTheme="majorBidi" w:hAnsiTheme="majorBidi" w:cstheme="majorBidi"/>
        </w:rPr>
        <w:t xml:space="preserve"> yaitu hasil tes laboratorium yang menunjukkan bahwa benar barang tersebut adalah heroin, dan 4) </w:t>
      </w:r>
      <w:r>
        <w:rPr>
          <w:rFonts w:eastAsia="SimSun" w:asciiTheme="majorBidi" w:hAnsiTheme="majorBidi" w:cstheme="majorBidi"/>
          <w:lang w:val="en-US"/>
        </w:rPr>
        <w:t>P</w:t>
      </w:r>
      <w:r>
        <w:rPr>
          <w:rFonts w:eastAsia="SimSun" w:asciiTheme="majorBidi" w:hAnsiTheme="majorBidi" w:cstheme="majorBidi"/>
        </w:rPr>
        <w:t xml:space="preserve">etunjuk. </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 xml:space="preserve">Ketentuan pada KUHAP membuat </w:t>
      </w:r>
      <w:r>
        <w:rPr>
          <w:rFonts w:eastAsia="SimSun" w:asciiTheme="majorBidi" w:hAnsiTheme="majorBidi" w:cstheme="majorBidi"/>
          <w:lang w:val="en-US"/>
        </w:rPr>
        <w:t xml:space="preserve">MU </w:t>
      </w:r>
      <w:r>
        <w:rPr>
          <w:rFonts w:eastAsia="SimSun" w:asciiTheme="majorBidi" w:hAnsiTheme="majorBidi" w:cstheme="majorBidi"/>
        </w:rPr>
        <w:t xml:space="preserve">dengan </w:t>
      </w:r>
      <w:r>
        <w:rPr>
          <w:rFonts w:eastAsia="SimSun" w:asciiTheme="majorBidi" w:hAnsiTheme="majorBidi" w:cstheme="majorBidi"/>
          <w:lang w:val="en-US"/>
        </w:rPr>
        <w:t>muda</w:t>
      </w:r>
      <w:r>
        <w:rPr>
          <w:rFonts w:eastAsia="SimSun" w:asciiTheme="majorBidi" w:hAnsiTheme="majorBidi" w:cstheme="majorBidi"/>
        </w:rPr>
        <w:t>h dapat dinyatakan bersalah. Berbeda halnya dengan sistem hukum di negara-negara Anglo-Saxon yang mengatakan bahwa terdakwa dapat dinyatakan bersalah jika tidak lagi ada penjelasan logis lainnya kecuali bahwa terdakwa tersebut bersalah (beyond a reasonable doubt). Seharusnya prinsip ini diterapkan terutama bagi kasus-kasus dengan ancaman pidana mati.</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 xml:space="preserve">Pertimbangan Hakim Pengadilan Negeri Tangerang mempertimbangkan unsur kesengajaan yaitu ketika ketika MU merasa aneh karena tasnya berat, ia merasa cukup dengan jawaban dari Muhammad atau Badru yang mengatakan bahwa tas tersebut terbuat dari kulit asli. Sedangkan menurut majelis hakim, “majelis berkeyakinan bahwa terdakwa </w:t>
      </w:r>
      <w:r>
        <w:rPr>
          <w:rFonts w:eastAsia="SimSun" w:asciiTheme="majorBidi" w:hAnsiTheme="majorBidi" w:cstheme="majorBidi"/>
          <w:lang w:val="en-US"/>
        </w:rPr>
        <w:t xml:space="preserve">MU </w:t>
      </w:r>
      <w:r>
        <w:rPr>
          <w:rFonts w:eastAsia="SimSun" w:asciiTheme="majorBidi" w:hAnsiTheme="majorBidi" w:cstheme="majorBidi"/>
        </w:rPr>
        <w:t xml:space="preserve">sebenarnya sudah tau dan sadar isi dari tas tangan tersebut”. </w:t>
      </w:r>
      <w:r>
        <w:rPr>
          <w:rFonts w:eastAsia="SimSun" w:asciiTheme="majorBidi" w:hAnsiTheme="majorBidi" w:cstheme="majorBidi"/>
          <w:lang w:val="en-US"/>
        </w:rPr>
        <w:t>Namun</w:t>
      </w:r>
      <w:r>
        <w:rPr>
          <w:rFonts w:eastAsia="SimSun" w:asciiTheme="majorBidi" w:hAnsiTheme="majorBidi" w:cstheme="majorBidi"/>
        </w:rPr>
        <w:t xml:space="preserve">, hakim tidak menyertakan bukti apapun untuk membuktikan pernyataannya. Pertimbangan hakim tersebut didasarkan semata-mata pada petunjuk dan keyakinan hakim tersebut. Sedangkan keterangan </w:t>
      </w:r>
      <w:r>
        <w:rPr>
          <w:rFonts w:eastAsia="SimSun" w:asciiTheme="majorBidi" w:hAnsiTheme="majorBidi" w:cstheme="majorBidi"/>
          <w:lang w:val="en-US"/>
        </w:rPr>
        <w:t xml:space="preserve">MU </w:t>
      </w:r>
      <w:r>
        <w:rPr>
          <w:rFonts w:eastAsia="SimSun" w:asciiTheme="majorBidi" w:hAnsiTheme="majorBidi" w:cstheme="majorBidi"/>
        </w:rPr>
        <w:t>tidak dipertimbangkan sama sekali oleh majelis hakim. Prinsip equality of arms tidak diaplikasikan pada kasus MU.</w:t>
      </w:r>
    </w:p>
    <w:p>
      <w:pPr>
        <w:spacing w:after="0" w:line="312" w:lineRule="auto"/>
        <w:ind w:left="455" w:leftChars="207" w:firstLine="382" w:firstLineChars="174"/>
        <w:contextualSpacing/>
        <w:jc w:val="both"/>
        <w:rPr>
          <w:rFonts w:asciiTheme="majorBidi" w:hAnsiTheme="majorBidi" w:cstheme="majorBidi"/>
        </w:rPr>
      </w:pPr>
      <w:r>
        <w:rPr>
          <w:rFonts w:asciiTheme="majorBidi" w:hAnsiTheme="majorBidi" w:cstheme="majorBidi"/>
        </w:rPr>
        <w:t>Menurut Prof. Dr. Sudikno Mertokusumo, S.H M.H, yang dimaksud dengan putusan Hakim adalah suatu pernyataan yang oleh Hakim sebagai pejabat negara yang diberi wewenang untuk itu, diucapkan di persidangan dan bertujuan untuk mengakhiri atau menyelesaikan suatu perkara atau masalah antar pihak.</w:t>
      </w:r>
      <w:r>
        <w:rPr>
          <w:rStyle w:val="17"/>
          <w:rFonts w:asciiTheme="majorBidi" w:hAnsiTheme="majorBidi" w:cstheme="majorBidi"/>
        </w:rPr>
        <w:footnoteReference w:id="60"/>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Dasar pertimbangan Hakim dalam menjatuhkan pidana terhadap perkara terdakwa disusun berdasarkan Pertimbangan Yuridis memuat fakta-fakta yuridis dalam persidangan, seperti dakwaan penuntut umum, tuntutan penuntut umum, keterangan saksi, keterangan terdakwa dan alat bukti/barang bukti. Dan</w:t>
      </w:r>
      <w:r>
        <w:rPr>
          <w:rFonts w:eastAsia="SimSun" w:asciiTheme="majorBidi" w:hAnsiTheme="majorBidi" w:cstheme="majorBidi"/>
          <w:lang w:val="en-US"/>
        </w:rPr>
        <w:t>,</w:t>
      </w:r>
      <w:r>
        <w:rPr>
          <w:rFonts w:eastAsia="SimSun" w:asciiTheme="majorBidi" w:hAnsiTheme="majorBidi" w:cstheme="majorBidi"/>
        </w:rPr>
        <w:t xml:space="preserve"> non yuridis seperti kondisi terdakwa,</w:t>
      </w:r>
      <w:r>
        <w:rPr>
          <w:rFonts w:eastAsia="SimSun" w:asciiTheme="majorBidi" w:hAnsiTheme="majorBidi" w:cstheme="majorBidi"/>
          <w:lang w:val="en-US"/>
        </w:rPr>
        <w:t xml:space="preserve"> </w:t>
      </w:r>
      <w:r>
        <w:rPr>
          <w:rFonts w:eastAsia="SimSun" w:asciiTheme="majorBidi" w:hAnsiTheme="majorBidi" w:cstheme="majorBidi"/>
        </w:rPr>
        <w:t xml:space="preserve">keadaan yang memberatkan dan meringankan terdakwa. Terhadap dasar pertimbangan hakim penulis sependapat karena hakim semata-mata tidak menilai secara subyektif dengan hanya mementingkan aspek kepastian saja </w:t>
      </w:r>
      <w:r>
        <w:rPr>
          <w:rFonts w:eastAsia="SimSun" w:asciiTheme="majorBidi" w:hAnsiTheme="majorBidi" w:cstheme="majorBidi"/>
          <w:lang w:val="en-US"/>
        </w:rPr>
        <w:t>Namun</w:t>
      </w:r>
      <w:r>
        <w:rPr>
          <w:rFonts w:eastAsia="SimSun" w:asciiTheme="majorBidi" w:hAnsiTheme="majorBidi" w:cstheme="majorBidi"/>
        </w:rPr>
        <w:t xml:space="preserve"> memperhatikan kem</w:t>
      </w:r>
      <w:r>
        <w:rPr>
          <w:rFonts w:eastAsia="SimSun" w:asciiTheme="majorBidi" w:hAnsiTheme="majorBidi" w:cstheme="majorBidi"/>
          <w:lang w:val="en-US"/>
        </w:rPr>
        <w:t>an</w:t>
      </w:r>
      <w:r>
        <w:rPr>
          <w:rFonts w:eastAsia="SimSun" w:asciiTheme="majorBidi" w:hAnsiTheme="majorBidi" w:cstheme="majorBidi"/>
        </w:rPr>
        <w:t>faatan terhadap terdakwa.</w:t>
      </w:r>
      <w:r>
        <w:rPr>
          <w:rStyle w:val="17"/>
          <w:rFonts w:eastAsia="SimSun" w:asciiTheme="majorBidi" w:hAnsiTheme="majorBidi" w:cstheme="majorBidi"/>
        </w:rPr>
        <w:footnoteReference w:id="61"/>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 xml:space="preserve">Upaya hukum </w:t>
      </w:r>
      <w:r>
        <w:rPr>
          <w:rFonts w:eastAsia="SimSun" w:asciiTheme="majorBidi" w:hAnsiTheme="majorBidi" w:cstheme="majorBidi"/>
          <w:lang w:val="en-US"/>
        </w:rPr>
        <w:t xml:space="preserve">MU </w:t>
      </w:r>
      <w:r>
        <w:rPr>
          <w:rFonts w:eastAsia="SimSun" w:asciiTheme="majorBidi" w:hAnsiTheme="majorBidi" w:cstheme="majorBidi"/>
        </w:rPr>
        <w:t>L</w:t>
      </w:r>
      <w:r>
        <w:rPr>
          <w:rFonts w:eastAsia="SimSun" w:asciiTheme="majorBidi" w:hAnsiTheme="majorBidi" w:cstheme="majorBidi"/>
          <w:lang w:val="en-US"/>
        </w:rPr>
        <w:t>BH</w:t>
      </w:r>
      <w:r>
        <w:rPr>
          <w:rFonts w:eastAsia="SimSun" w:asciiTheme="majorBidi" w:hAnsiTheme="majorBidi" w:cstheme="majorBidi"/>
        </w:rPr>
        <w:t xml:space="preserve"> </w:t>
      </w:r>
      <w:r>
        <w:rPr>
          <w:rFonts w:eastAsia="SimSun" w:asciiTheme="majorBidi" w:hAnsiTheme="majorBidi" w:cstheme="majorBidi"/>
          <w:lang w:val="en-US"/>
        </w:rPr>
        <w:t>M</w:t>
      </w:r>
      <w:r>
        <w:rPr>
          <w:rFonts w:eastAsia="SimSun" w:asciiTheme="majorBidi" w:hAnsiTheme="majorBidi" w:cstheme="majorBidi"/>
        </w:rPr>
        <w:t>asyaraka (</w:t>
      </w:r>
      <w:r>
        <w:rPr>
          <w:rFonts w:eastAsia="SimSun" w:asciiTheme="majorBidi" w:hAnsiTheme="majorBidi" w:cstheme="majorBidi"/>
          <w:lang w:val="en-US"/>
        </w:rPr>
        <w:t>LBHM</w:t>
      </w:r>
      <w:r>
        <w:rPr>
          <w:rFonts w:eastAsia="SimSun" w:asciiTheme="majorBidi" w:hAnsiTheme="majorBidi" w:cstheme="majorBidi"/>
        </w:rPr>
        <w:t xml:space="preserve">) adalah lembaga yang memberikan bantuan hukum secara cuma-cuma krpada penerima bantuan hukum yang membutuhkan. Sejak awal menjalani persidangan sampai grasi LBHM mendampingi </w:t>
      </w:r>
      <w:r>
        <w:rPr>
          <w:rFonts w:eastAsia="SimSun" w:asciiTheme="majorBidi" w:hAnsiTheme="majorBidi" w:cstheme="majorBidi"/>
          <w:lang w:val="en-US"/>
        </w:rPr>
        <w:t>MU,</w:t>
      </w:r>
      <w:r>
        <w:rPr>
          <w:rFonts w:eastAsia="SimSun" w:asciiTheme="majorBidi" w:hAnsiTheme="majorBidi" w:cstheme="majorBidi"/>
        </w:rPr>
        <w:t xml:space="preserve"> karena </w:t>
      </w:r>
      <w:r>
        <w:rPr>
          <w:rFonts w:eastAsia="SimSun" w:asciiTheme="majorBidi" w:hAnsiTheme="majorBidi" w:cstheme="majorBidi"/>
          <w:lang w:val="en-US"/>
        </w:rPr>
        <w:t xml:space="preserve">MU </w:t>
      </w:r>
      <w:r>
        <w:rPr>
          <w:rFonts w:eastAsia="SimSun" w:asciiTheme="majorBidi" w:hAnsiTheme="majorBidi" w:cstheme="majorBidi"/>
        </w:rPr>
        <w:t xml:space="preserve">tidak mampu untuk membayar kuasa hukum. </w:t>
      </w:r>
    </w:p>
    <w:p>
      <w:pPr>
        <w:spacing w:after="0" w:line="312" w:lineRule="auto"/>
        <w:ind w:left="455" w:leftChars="207" w:right="-103" w:rightChars="-47" w:firstLine="382" w:firstLineChars="174"/>
        <w:contextualSpacing/>
        <w:jc w:val="both"/>
        <w:rPr>
          <w:rFonts w:eastAsia="SimSun" w:asciiTheme="majorBidi" w:hAnsiTheme="majorBidi" w:cstheme="majorBidi"/>
        </w:rPr>
      </w:pPr>
      <w:r>
        <w:rPr>
          <w:rFonts w:eastAsia="SimSun" w:asciiTheme="majorBidi" w:hAnsiTheme="majorBidi" w:cstheme="majorBidi"/>
        </w:rPr>
        <w:t xml:space="preserve">Upaya hukum adalah upaya yang diberikan oleh </w:t>
      </w:r>
      <w:r>
        <w:rPr>
          <w:rFonts w:eastAsia="SimSun" w:asciiTheme="majorBidi" w:hAnsiTheme="majorBidi" w:cstheme="majorBidi"/>
          <w:lang w:val="en-US"/>
        </w:rPr>
        <w:t>Undang-Undang</w:t>
      </w:r>
      <w:r>
        <w:rPr>
          <w:rFonts w:eastAsia="SimSun" w:asciiTheme="majorBidi" w:hAnsiTheme="majorBidi" w:cstheme="majorBidi"/>
        </w:rPr>
        <w:t xml:space="preserve"> kepada seseorang atau badan hukum untuk dalam hal tertentu melawan putusan hakim. Dalam hal ini berkaitan dengan hak asasi manusia yang mengaju kepada hak bagi seseorang yang dikenai oleh putusan hakim tersebut.</w:t>
      </w:r>
      <w:r>
        <w:rPr>
          <w:rStyle w:val="17"/>
          <w:rFonts w:eastAsia="SimSun" w:asciiTheme="majorBidi" w:hAnsiTheme="majorBidi" w:cstheme="majorBidi"/>
        </w:rPr>
        <w:footnoteReference w:id="62"/>
      </w:r>
      <w:r>
        <w:rPr>
          <w:rFonts w:eastAsia="SimSun" w:asciiTheme="majorBidi" w:hAnsiTheme="majorBidi" w:cstheme="majorBidi"/>
        </w:rPr>
        <w:t xml:space="preserve"> </w:t>
      </w:r>
      <w:r>
        <w:rPr>
          <w:rFonts w:eastAsia="SimSun" w:asciiTheme="majorBidi" w:hAnsiTheme="majorBidi" w:cstheme="majorBidi"/>
          <w:lang w:val="en-US"/>
        </w:rPr>
        <w:t xml:space="preserve">MU </w:t>
      </w:r>
      <w:r>
        <w:rPr>
          <w:rFonts w:eastAsia="SimSun" w:asciiTheme="majorBidi" w:hAnsiTheme="majorBidi" w:cstheme="majorBidi"/>
        </w:rPr>
        <w:t>mengajukan upaya hukum dari banding sampai kasasi akan tetapi hasilnya nihil tetap sama yaitu tetap dijatuhi hukuman mati</w:t>
      </w:r>
      <w:r>
        <w:rPr>
          <w:rFonts w:eastAsia="SimSun" w:asciiTheme="majorBidi" w:hAnsiTheme="majorBidi" w:cstheme="majorBidi"/>
          <w:lang w:val="en-US"/>
        </w:rPr>
        <w:t xml:space="preserve">. Berikut upaya hukum yang dijalani MU : </w:t>
      </w:r>
    </w:p>
    <w:p>
      <w:pPr>
        <w:numPr>
          <w:ilvl w:val="0"/>
          <w:numId w:val="43"/>
        </w:numPr>
        <w:tabs>
          <w:tab w:val="clear" w:pos="425"/>
        </w:tabs>
        <w:spacing w:after="0" w:line="312" w:lineRule="auto"/>
        <w:ind w:left="831" w:leftChars="200" w:right="-103" w:rightChars="-47" w:hanging="391" w:hangingChars="178"/>
        <w:contextualSpacing/>
        <w:jc w:val="both"/>
        <w:rPr>
          <w:rFonts w:eastAsia="SimSun" w:asciiTheme="majorBidi" w:hAnsiTheme="majorBidi" w:cstheme="majorBidi"/>
        </w:rPr>
      </w:pPr>
      <w:r>
        <w:rPr>
          <w:rFonts w:eastAsia="SimSun" w:asciiTheme="majorBidi" w:hAnsiTheme="majorBidi" w:cstheme="majorBidi"/>
        </w:rPr>
        <w:t xml:space="preserve">Banding </w:t>
      </w:r>
      <w:r>
        <w:rPr>
          <w:rFonts w:eastAsia="SimSun" w:asciiTheme="majorBidi" w:hAnsiTheme="majorBidi" w:cstheme="majorBidi"/>
          <w:lang w:val="en-US"/>
        </w:rPr>
        <w:t xml:space="preserve">Pengadilan </w:t>
      </w:r>
      <w:r>
        <w:rPr>
          <w:rFonts w:asciiTheme="majorBidi" w:hAnsiTheme="majorBidi" w:cstheme="majorBidi"/>
        </w:rPr>
        <w:t xml:space="preserve">Tinggi Jawa Barat Di Bandung </w:t>
      </w:r>
      <w:r>
        <w:rPr>
          <w:rFonts w:asciiTheme="majorBidi" w:hAnsiTheme="majorBidi" w:cstheme="majorBidi"/>
          <w:lang w:val="en-US"/>
        </w:rPr>
        <w:t xml:space="preserve">Dengan Putusan </w:t>
      </w:r>
      <w:r>
        <w:rPr>
          <w:rFonts w:asciiTheme="majorBidi" w:hAnsiTheme="majorBidi" w:cstheme="majorBidi"/>
        </w:rPr>
        <w:t xml:space="preserve">Nomor 175/Pid/2002/PT.BDG </w:t>
      </w:r>
    </w:p>
    <w:p>
      <w:pPr>
        <w:spacing w:after="0" w:line="312" w:lineRule="auto"/>
        <w:ind w:left="832" w:right="-103" w:rightChars="-47" w:firstLine="586"/>
        <w:contextualSpacing/>
        <w:jc w:val="both"/>
        <w:rPr>
          <w:rFonts w:eastAsia="SimSun" w:asciiTheme="majorBidi" w:hAnsiTheme="majorBidi" w:cstheme="majorBidi"/>
          <w:lang w:val="en-US"/>
        </w:rPr>
      </w:pPr>
      <w:r>
        <w:rPr>
          <w:rFonts w:eastAsia="Times New Roman" w:asciiTheme="majorBidi" w:hAnsiTheme="majorBidi" w:cstheme="majorBidi"/>
        </w:rPr>
        <w:t>Banding adalah upaya hukum biasa yang dapat diajukan oleh salah satu atau kedua pihak yang bersengketa terhadap putusan Pengadilan Negeri.</w:t>
      </w:r>
    </w:p>
    <w:p>
      <w:pPr>
        <w:tabs>
          <w:tab w:val="left" w:pos="800"/>
        </w:tabs>
        <w:spacing w:after="0" w:line="312" w:lineRule="auto"/>
        <w:ind w:left="898" w:leftChars="408" w:right="-103" w:rightChars="-47" w:firstLine="382" w:firstLineChars="174"/>
        <w:contextualSpacing/>
        <w:jc w:val="both"/>
        <w:rPr>
          <w:rFonts w:asciiTheme="majorBidi" w:hAnsiTheme="majorBidi" w:cstheme="majorBidi"/>
        </w:rPr>
      </w:pPr>
      <w:r>
        <w:rPr>
          <w:rFonts w:eastAsia="SimSun" w:asciiTheme="majorBidi" w:hAnsiTheme="majorBidi" w:cstheme="majorBidi"/>
        </w:rPr>
        <w:t xml:space="preserve">Para pihak mengajukan banding bila merasa tidak puas dengan isi putusan Pengadilan Negeri kepada Pengadilan Tinggi melalui Pengadilan Negeri dimana putusan tersebut dijatuhkan. </w:t>
      </w:r>
      <w:r>
        <w:rPr>
          <w:rFonts w:eastAsia="SimSun" w:asciiTheme="majorBidi" w:hAnsiTheme="majorBidi" w:cstheme="majorBidi"/>
          <w:lang w:val="en-US"/>
        </w:rPr>
        <w:t xml:space="preserve">MU </w:t>
      </w:r>
      <w:r>
        <w:rPr>
          <w:rFonts w:eastAsia="SimSun" w:asciiTheme="majorBidi" w:hAnsiTheme="majorBidi" w:cstheme="majorBidi"/>
        </w:rPr>
        <w:t xml:space="preserve">yang tidak terima dengan putusan hukuman meti, </w:t>
      </w:r>
      <w:r>
        <w:rPr>
          <w:rFonts w:eastAsia="SimSun" w:asciiTheme="majorBidi" w:hAnsiTheme="majorBidi" w:cstheme="majorBidi"/>
          <w:lang w:val="en-US"/>
        </w:rPr>
        <w:t>kemudian</w:t>
      </w:r>
      <w:r>
        <w:rPr>
          <w:rFonts w:eastAsia="SimSun" w:asciiTheme="majorBidi" w:hAnsiTheme="majorBidi" w:cstheme="majorBidi"/>
        </w:rPr>
        <w:t xml:space="preserve"> </w:t>
      </w:r>
      <w:r>
        <w:rPr>
          <w:rFonts w:eastAsia="SimSun" w:asciiTheme="majorBidi" w:hAnsiTheme="majorBidi" w:cstheme="majorBidi"/>
          <w:lang w:val="en-US"/>
        </w:rPr>
        <w:t xml:space="preserve">MU </w:t>
      </w:r>
      <w:r>
        <w:rPr>
          <w:rFonts w:eastAsia="SimSun" w:asciiTheme="majorBidi" w:hAnsiTheme="majorBidi" w:cstheme="majorBidi"/>
        </w:rPr>
        <w:t>mengajukan bandin</w:t>
      </w:r>
      <w:r>
        <w:rPr>
          <w:rFonts w:eastAsia="SimSun" w:asciiTheme="majorBidi" w:hAnsiTheme="majorBidi" w:cstheme="majorBidi"/>
          <w:lang w:val="en-US"/>
        </w:rPr>
        <w:t>g</w:t>
      </w:r>
      <w:r>
        <w:rPr>
          <w:rFonts w:eastAsia="SimSun" w:asciiTheme="majorBidi" w:hAnsiTheme="majorBidi" w:cstheme="majorBidi"/>
        </w:rPr>
        <w:t xml:space="preserve">. </w:t>
      </w:r>
      <w:r>
        <w:rPr>
          <w:rFonts w:eastAsia="SimSun" w:asciiTheme="majorBidi" w:hAnsiTheme="majorBidi" w:cstheme="majorBidi"/>
          <w:lang w:val="en-US"/>
        </w:rPr>
        <w:t>Namun</w:t>
      </w:r>
      <w:r>
        <w:rPr>
          <w:rFonts w:eastAsia="SimSun" w:asciiTheme="majorBidi" w:hAnsiTheme="majorBidi" w:cstheme="majorBidi"/>
        </w:rPr>
        <w:t xml:space="preserve">, </w:t>
      </w:r>
      <w:r>
        <w:rPr>
          <w:rFonts w:eastAsia="SimSun" w:asciiTheme="majorBidi" w:hAnsiTheme="majorBidi" w:cstheme="majorBidi"/>
          <w:lang w:val="en-US"/>
        </w:rPr>
        <w:t>P</w:t>
      </w:r>
      <w:r>
        <w:rPr>
          <w:rFonts w:eastAsia="SimSun" w:asciiTheme="majorBidi" w:hAnsiTheme="majorBidi" w:cstheme="majorBidi"/>
        </w:rPr>
        <w:t xml:space="preserve">engadilan </w:t>
      </w:r>
      <w:r>
        <w:rPr>
          <w:rFonts w:eastAsia="SimSun" w:asciiTheme="majorBidi" w:hAnsiTheme="majorBidi" w:cstheme="majorBidi"/>
          <w:lang w:val="en-US"/>
        </w:rPr>
        <w:t>T</w:t>
      </w:r>
      <w:r>
        <w:rPr>
          <w:rFonts w:eastAsia="SimSun" w:asciiTheme="majorBidi" w:hAnsiTheme="majorBidi" w:cstheme="majorBidi"/>
        </w:rPr>
        <w:t xml:space="preserve">inggi </w:t>
      </w:r>
      <w:r>
        <w:rPr>
          <w:rFonts w:eastAsia="SimSun" w:asciiTheme="majorBidi" w:hAnsiTheme="majorBidi" w:cstheme="majorBidi"/>
          <w:lang w:val="en-US"/>
        </w:rPr>
        <w:t>T</w:t>
      </w:r>
      <w:r>
        <w:rPr>
          <w:rFonts w:eastAsia="SimSun" w:asciiTheme="majorBidi" w:hAnsiTheme="majorBidi" w:cstheme="majorBidi"/>
        </w:rPr>
        <w:t xml:space="preserve">angerang tetap meguatkan </w:t>
      </w:r>
      <w:r>
        <w:rPr>
          <w:rFonts w:eastAsia="SimSun" w:asciiTheme="majorBidi" w:hAnsiTheme="majorBidi" w:cstheme="majorBidi"/>
          <w:lang w:val="en-US"/>
        </w:rPr>
        <w:t>P</w:t>
      </w:r>
      <w:r>
        <w:rPr>
          <w:rFonts w:eastAsia="SimSun" w:asciiTheme="majorBidi" w:hAnsiTheme="majorBidi" w:cstheme="majorBidi"/>
        </w:rPr>
        <w:t xml:space="preserve">utusan </w:t>
      </w:r>
      <w:r>
        <w:rPr>
          <w:rFonts w:eastAsia="SimSun" w:asciiTheme="majorBidi" w:hAnsiTheme="majorBidi" w:cstheme="majorBidi"/>
          <w:lang w:val="en-US"/>
        </w:rPr>
        <w:t>P</w:t>
      </w:r>
      <w:r>
        <w:rPr>
          <w:rFonts w:eastAsia="SimSun" w:asciiTheme="majorBidi" w:hAnsiTheme="majorBidi" w:cstheme="majorBidi"/>
        </w:rPr>
        <w:t xml:space="preserve">engadilan </w:t>
      </w:r>
      <w:r>
        <w:rPr>
          <w:rFonts w:eastAsia="SimSun" w:asciiTheme="majorBidi" w:hAnsiTheme="majorBidi" w:cstheme="majorBidi"/>
          <w:lang w:val="en-US"/>
        </w:rPr>
        <w:t>N</w:t>
      </w:r>
      <w:r>
        <w:rPr>
          <w:rFonts w:eastAsia="SimSun" w:asciiTheme="majorBidi" w:hAnsiTheme="majorBidi" w:cstheme="majorBidi"/>
        </w:rPr>
        <w:t xml:space="preserve">egeri </w:t>
      </w:r>
      <w:r>
        <w:rPr>
          <w:rFonts w:eastAsia="SimSun" w:asciiTheme="majorBidi" w:hAnsiTheme="majorBidi" w:cstheme="majorBidi"/>
          <w:lang w:val="en-US"/>
        </w:rPr>
        <w:t>T</w:t>
      </w:r>
      <w:r>
        <w:rPr>
          <w:rFonts w:eastAsia="SimSun" w:asciiTheme="majorBidi" w:hAnsiTheme="majorBidi" w:cstheme="majorBidi"/>
        </w:rPr>
        <w:t>anger</w:t>
      </w:r>
      <w:r>
        <w:rPr>
          <w:rFonts w:eastAsia="SimSun" w:asciiTheme="majorBidi" w:hAnsiTheme="majorBidi" w:cstheme="majorBidi"/>
          <w:lang w:val="en-US"/>
        </w:rPr>
        <w:t>a</w:t>
      </w:r>
      <w:r>
        <w:rPr>
          <w:rFonts w:eastAsia="SimSun" w:asciiTheme="majorBidi" w:hAnsiTheme="majorBidi" w:cstheme="majorBidi"/>
        </w:rPr>
        <w:t>ng dengan</w:t>
      </w:r>
      <w:r>
        <w:rPr>
          <w:rFonts w:eastAsia="SimSun" w:asciiTheme="majorBidi" w:hAnsiTheme="majorBidi" w:cstheme="majorBidi"/>
          <w:lang w:val="en-US"/>
        </w:rPr>
        <w:t xml:space="preserve"> P</w:t>
      </w:r>
      <w:r>
        <w:rPr>
          <w:rFonts w:asciiTheme="majorBidi" w:hAnsiTheme="majorBidi" w:cstheme="majorBidi"/>
        </w:rPr>
        <w:t>utusan Pengadilan Tinggi Jawa Barat di Bandung Nomor 175/Pid/2002/PT.BDG</w:t>
      </w:r>
    </w:p>
    <w:p>
      <w:pPr>
        <w:tabs>
          <w:tab w:val="left" w:pos="800"/>
        </w:tabs>
        <w:spacing w:after="0" w:line="312" w:lineRule="auto"/>
        <w:ind w:left="898" w:leftChars="408" w:right="-103" w:rightChars="-47" w:firstLine="382" w:firstLineChars="174"/>
        <w:contextualSpacing/>
        <w:jc w:val="both"/>
        <w:rPr>
          <w:rFonts w:asciiTheme="majorBidi" w:hAnsiTheme="majorBidi" w:cstheme="majorBidi"/>
        </w:rPr>
      </w:pPr>
    </w:p>
    <w:p>
      <w:pPr>
        <w:numPr>
          <w:ilvl w:val="0"/>
          <w:numId w:val="43"/>
        </w:numPr>
        <w:tabs>
          <w:tab w:val="left" w:pos="800"/>
          <w:tab w:val="clear" w:pos="425"/>
        </w:tabs>
        <w:spacing w:after="0" w:line="312" w:lineRule="auto"/>
        <w:ind w:left="834" w:leftChars="200" w:right="-103" w:rightChars="-47" w:hanging="394"/>
        <w:contextualSpacing/>
        <w:jc w:val="both"/>
        <w:rPr>
          <w:rFonts w:eastAsia="SimSun" w:asciiTheme="majorBidi" w:hAnsiTheme="majorBidi" w:cstheme="majorBidi"/>
        </w:rPr>
      </w:pPr>
      <w:r>
        <w:rPr>
          <w:rFonts w:eastAsia="SimSun" w:asciiTheme="majorBidi" w:hAnsiTheme="majorBidi" w:cstheme="majorBidi"/>
        </w:rPr>
        <w:t xml:space="preserve">Kasasi </w:t>
      </w:r>
      <w:r>
        <w:rPr>
          <w:rFonts w:eastAsia="SimSun" w:asciiTheme="majorBidi" w:hAnsiTheme="majorBidi" w:cstheme="majorBidi"/>
          <w:lang w:val="en-US"/>
        </w:rPr>
        <w:t xml:space="preserve">(Mahkamah Agung Dengan Putusan Nomor </w:t>
      </w:r>
      <w:r>
        <w:rPr>
          <w:rFonts w:eastAsia="SimSun" w:asciiTheme="majorBidi" w:hAnsiTheme="majorBidi" w:cstheme="majorBidi"/>
        </w:rPr>
        <w:t>1771 K/Pid/2002</w:t>
      </w:r>
      <w:r>
        <w:rPr>
          <w:rFonts w:eastAsia="SimSun" w:asciiTheme="majorBidi" w:hAnsiTheme="majorBidi" w:cstheme="majorBidi"/>
          <w:lang w:val="en-US"/>
        </w:rPr>
        <w:t>)</w:t>
      </w:r>
    </w:p>
    <w:p>
      <w:pPr>
        <w:tabs>
          <w:tab w:val="left" w:pos="800"/>
        </w:tabs>
        <w:spacing w:after="0" w:line="312" w:lineRule="auto"/>
        <w:ind w:left="834" w:right="-103" w:rightChars="-47" w:firstLine="584"/>
        <w:contextualSpacing/>
        <w:jc w:val="both"/>
        <w:rPr>
          <w:rFonts w:eastAsia="SimSun" w:asciiTheme="majorBidi" w:hAnsiTheme="majorBidi" w:cstheme="majorBidi"/>
        </w:rPr>
      </w:pPr>
      <w:r>
        <w:rPr>
          <w:rFonts w:eastAsia="Times New Roman" w:asciiTheme="majorBidi" w:hAnsiTheme="majorBidi" w:cstheme="majorBidi"/>
          <w:kern w:val="0"/>
          <w:lang w:val="en-US"/>
          <w14:ligatures w14:val="none"/>
        </w:rPr>
        <w:t>Kasasi adalah upaya hukum biasa yang dapat dimohonkan oleh salah satu atau kedua pihak yang berperkara terhadap putusan Pengadilan Tinggi.</w:t>
      </w:r>
      <w:r>
        <w:rPr>
          <w:rFonts w:eastAsia="SimSun" w:asciiTheme="majorBidi" w:hAnsiTheme="majorBidi" w:cstheme="majorBidi"/>
          <w:lang w:val="en-US"/>
        </w:rPr>
        <w:t xml:space="preserve"> </w:t>
      </w:r>
      <w:r>
        <w:rPr>
          <w:rFonts w:eastAsia="SimSun" w:asciiTheme="majorBidi" w:hAnsiTheme="majorBidi" w:cstheme="majorBidi"/>
        </w:rPr>
        <w:t xml:space="preserve">Kasasi yang diajukan </w:t>
      </w:r>
      <w:r>
        <w:rPr>
          <w:rFonts w:eastAsia="SimSun" w:asciiTheme="majorBidi" w:hAnsiTheme="majorBidi" w:cstheme="majorBidi"/>
          <w:lang w:val="en-US"/>
        </w:rPr>
        <w:t xml:space="preserve">MU </w:t>
      </w:r>
      <w:r>
        <w:rPr>
          <w:rFonts w:eastAsia="SimSun" w:asciiTheme="majorBidi" w:hAnsiTheme="majorBidi" w:cstheme="majorBidi"/>
        </w:rPr>
        <w:t xml:space="preserve">juga ditolak oleh Hakim Mahkamah Agung, German Hoediarto (Hakim Ketua) dan Soedarno dan Arbijoto sebagai hakim anggota pada 27 januari 2007 dengan perkara Kasasi Mahkamah Agung (Nomor 1771 K/Pid/2002). </w:t>
      </w:r>
      <w:r>
        <w:rPr>
          <w:rFonts w:eastAsia="SimSun" w:asciiTheme="majorBidi" w:hAnsiTheme="majorBidi" w:cstheme="majorBidi"/>
          <w:lang w:val="en-US"/>
        </w:rPr>
        <w:t>Hasilnya tetap sama dengan hasil perkara Pengadilan Pertama dan Banding.</w:t>
      </w:r>
      <w:r>
        <w:rPr>
          <w:rFonts w:eastAsia="SimSun" w:asciiTheme="majorBidi" w:hAnsiTheme="majorBidi" w:cstheme="majorBidi"/>
        </w:rPr>
        <w:t xml:space="preserve">  </w:t>
      </w:r>
    </w:p>
    <w:p>
      <w:pPr>
        <w:numPr>
          <w:ilvl w:val="0"/>
          <w:numId w:val="43"/>
        </w:numPr>
        <w:tabs>
          <w:tab w:val="left" w:pos="800"/>
          <w:tab w:val="clear" w:pos="425"/>
        </w:tabs>
        <w:spacing w:after="0" w:line="312" w:lineRule="auto"/>
        <w:ind w:left="834" w:leftChars="200" w:right="-103" w:rightChars="-47" w:hanging="394"/>
        <w:contextualSpacing/>
        <w:jc w:val="both"/>
        <w:rPr>
          <w:rFonts w:eastAsia="SimSun" w:asciiTheme="majorBidi" w:hAnsiTheme="majorBidi" w:cstheme="majorBidi"/>
        </w:rPr>
      </w:pPr>
      <w:r>
        <w:rPr>
          <w:rFonts w:eastAsia="SimSun" w:asciiTheme="majorBidi" w:hAnsiTheme="majorBidi" w:cstheme="majorBidi"/>
          <w:lang w:val="en-US"/>
        </w:rPr>
        <w:t xml:space="preserve">Dua Kali </w:t>
      </w:r>
      <w:r>
        <w:rPr>
          <w:rFonts w:eastAsia="SimSun" w:asciiTheme="majorBidi" w:hAnsiTheme="majorBidi" w:cstheme="majorBidi"/>
        </w:rPr>
        <w:t>Peninjauan Kembali</w:t>
      </w:r>
      <w:r>
        <w:rPr>
          <w:rFonts w:eastAsia="SimSun" w:asciiTheme="majorBidi" w:hAnsiTheme="majorBidi" w:cstheme="majorBidi"/>
          <w:lang w:val="en-US"/>
        </w:rPr>
        <w:t xml:space="preserve"> MU </w:t>
      </w:r>
    </w:p>
    <w:p>
      <w:pPr>
        <w:tabs>
          <w:tab w:val="left" w:pos="800"/>
        </w:tabs>
        <w:spacing w:after="0" w:line="312" w:lineRule="auto"/>
        <w:ind w:left="834" w:right="-103" w:rightChars="-47" w:firstLine="584"/>
        <w:contextualSpacing/>
        <w:jc w:val="both"/>
        <w:rPr>
          <w:rFonts w:eastAsia="SimSun" w:asciiTheme="majorBidi" w:hAnsiTheme="majorBidi" w:cstheme="majorBidi"/>
        </w:rPr>
      </w:pPr>
      <w:r>
        <w:rPr>
          <w:rFonts w:eastAsia="Times New Roman" w:asciiTheme="majorBidi" w:hAnsiTheme="majorBidi" w:cstheme="majorBidi"/>
          <w:kern w:val="0"/>
          <w14:ligatures w14:val="none"/>
        </w:rPr>
        <w:t>Peninjauan Kembali (PK) adalah upaya hukum yang dapat dilakukan oleh terpidana dalam suatu perkara hukum terhadap putusan pengadilan yang telah berkekuatan hukum tetap, baik dalam perkara perdata maupun pidana, di sistem peradilan Indonesia</w:t>
      </w:r>
      <w:r>
        <w:rPr>
          <w:rFonts w:eastAsia="SimSun" w:asciiTheme="majorBidi" w:hAnsiTheme="majorBidi" w:cstheme="majorBidi"/>
          <w:shd w:val="clear" w:color="auto" w:fill="FFFFFF"/>
        </w:rPr>
        <w:t>.</w:t>
      </w:r>
      <w:r>
        <w:rPr>
          <w:rStyle w:val="17"/>
          <w:rFonts w:eastAsia="SimSun" w:asciiTheme="majorBidi" w:hAnsiTheme="majorBidi" w:cstheme="majorBidi"/>
          <w:shd w:val="clear" w:color="auto" w:fill="FFFFFF"/>
        </w:rPr>
        <w:footnoteReference w:id="63"/>
      </w:r>
    </w:p>
    <w:p>
      <w:pPr>
        <w:tabs>
          <w:tab w:val="left" w:pos="1200"/>
          <w:tab w:val="left" w:pos="3119"/>
        </w:tabs>
        <w:spacing w:after="0" w:line="312" w:lineRule="auto"/>
        <w:ind w:left="880" w:leftChars="400" w:right="-103" w:rightChars="-47" w:firstLine="380" w:firstLineChars="173"/>
        <w:contextualSpacing/>
        <w:jc w:val="both"/>
        <w:rPr>
          <w:rFonts w:eastAsia="SimSun" w:asciiTheme="majorBidi" w:hAnsiTheme="majorBidi" w:cstheme="majorBidi"/>
        </w:rPr>
      </w:pPr>
      <w:r>
        <w:rPr>
          <w:rFonts w:eastAsia="SimSun" w:asciiTheme="majorBidi" w:hAnsiTheme="majorBidi" w:cstheme="majorBidi"/>
        </w:rPr>
        <w:t xml:space="preserve">Kuasa hukum MU mengajukan peninjuan kembali sebanyak 2 kali yang pertama dengan Peninjauan Kembali Mahkamah Agung Nomor 66/PK/Pid.Sus/2014 (15 Agustus 2014). pengajuan permohonan peninjauan kembali ke-2 pada 7 Oktober 2022 oleh LBH Masyarakat sebagai kuasa hukum MU. </w:t>
      </w:r>
      <w:r>
        <w:rPr>
          <w:rFonts w:eastAsia="SimSun" w:asciiTheme="majorBidi" w:hAnsiTheme="majorBidi" w:cstheme="majorBidi"/>
          <w:lang w:val="en-US"/>
        </w:rPr>
        <w:t>Namun,</w:t>
      </w:r>
      <w:r>
        <w:rPr>
          <w:rFonts w:eastAsia="SimSun" w:asciiTheme="majorBidi" w:hAnsiTheme="majorBidi" w:cstheme="majorBidi"/>
        </w:rPr>
        <w:t xml:space="preserve"> pengajuan permohonan ke-2 tidak dapat diterima karena tidak memeuhi syarat formal. Sehingga </w:t>
      </w:r>
      <w:r>
        <w:rPr>
          <w:rFonts w:eastAsia="SimSun" w:asciiTheme="majorBidi" w:hAnsiTheme="majorBidi" w:cstheme="majorBidi"/>
          <w:lang w:val="en-US"/>
        </w:rPr>
        <w:t>K</w:t>
      </w:r>
      <w:r>
        <w:rPr>
          <w:rFonts w:eastAsia="SimSun" w:asciiTheme="majorBidi" w:hAnsiTheme="majorBidi" w:cstheme="majorBidi"/>
        </w:rPr>
        <w:t xml:space="preserve">etua </w:t>
      </w:r>
      <w:r>
        <w:rPr>
          <w:rFonts w:eastAsia="SimSun" w:asciiTheme="majorBidi" w:hAnsiTheme="majorBidi" w:cstheme="majorBidi"/>
          <w:lang w:val="en-US"/>
        </w:rPr>
        <w:t>P</w:t>
      </w:r>
      <w:r>
        <w:rPr>
          <w:rFonts w:eastAsia="SimSun" w:asciiTheme="majorBidi" w:hAnsiTheme="majorBidi" w:cstheme="majorBidi"/>
        </w:rPr>
        <w:t xml:space="preserve">engadilan </w:t>
      </w:r>
      <w:r>
        <w:rPr>
          <w:rFonts w:eastAsia="SimSun" w:asciiTheme="majorBidi" w:hAnsiTheme="majorBidi" w:cstheme="majorBidi"/>
          <w:lang w:val="en-US"/>
        </w:rPr>
        <w:t>N</w:t>
      </w:r>
      <w:r>
        <w:rPr>
          <w:rFonts w:eastAsia="SimSun" w:asciiTheme="majorBidi" w:hAnsiTheme="majorBidi" w:cstheme="majorBidi"/>
        </w:rPr>
        <w:t xml:space="preserve">egeri </w:t>
      </w:r>
      <w:r>
        <w:rPr>
          <w:rFonts w:eastAsia="SimSun" w:asciiTheme="majorBidi" w:hAnsiTheme="majorBidi" w:cstheme="majorBidi"/>
          <w:lang w:val="en-US"/>
        </w:rPr>
        <w:t>T</w:t>
      </w:r>
      <w:r>
        <w:rPr>
          <w:rFonts w:eastAsia="SimSun" w:asciiTheme="majorBidi" w:hAnsiTheme="majorBidi" w:cstheme="majorBidi"/>
        </w:rPr>
        <w:t xml:space="preserve">angerang memerintahkan kepada panitera untuk tidak mengirimkan berkas perkara </w:t>
      </w:r>
      <w:r>
        <w:rPr>
          <w:rFonts w:eastAsia="SimSun" w:asciiTheme="majorBidi" w:hAnsiTheme="majorBidi" w:cstheme="majorBidi"/>
          <w:lang w:val="en-US"/>
        </w:rPr>
        <w:t>PK</w:t>
      </w:r>
      <w:r>
        <w:rPr>
          <w:rFonts w:eastAsia="SimSun" w:asciiTheme="majorBidi" w:hAnsiTheme="majorBidi" w:cstheme="majorBidi"/>
        </w:rPr>
        <w:t xml:space="preserve"> </w:t>
      </w:r>
      <w:r>
        <w:rPr>
          <w:rFonts w:eastAsia="SimSun" w:asciiTheme="majorBidi" w:hAnsiTheme="majorBidi" w:cstheme="majorBidi"/>
          <w:lang w:val="en-US"/>
        </w:rPr>
        <w:t>P</w:t>
      </w:r>
      <w:r>
        <w:rPr>
          <w:rFonts w:eastAsia="SimSun" w:asciiTheme="majorBidi" w:hAnsiTheme="majorBidi" w:cstheme="majorBidi"/>
        </w:rPr>
        <w:t xml:space="preserve">eninjauan </w:t>
      </w:r>
      <w:r>
        <w:rPr>
          <w:rFonts w:eastAsia="SimSun" w:asciiTheme="majorBidi" w:hAnsiTheme="majorBidi" w:cstheme="majorBidi"/>
          <w:lang w:val="en-US"/>
        </w:rPr>
        <w:t>K</w:t>
      </w:r>
      <w:r>
        <w:rPr>
          <w:rFonts w:eastAsia="SimSun" w:asciiTheme="majorBidi" w:hAnsiTheme="majorBidi" w:cstheme="majorBidi"/>
        </w:rPr>
        <w:t xml:space="preserve">embali ke-2 ke Mahkamah Agung. </w:t>
      </w:r>
    </w:p>
    <w:p>
      <w:pPr>
        <w:spacing w:after="0" w:line="312" w:lineRule="auto"/>
        <w:ind w:left="440" w:leftChars="200" w:right="-103" w:rightChars="-47" w:firstLine="398" w:firstLineChars="181"/>
        <w:contextualSpacing/>
        <w:jc w:val="both"/>
        <w:rPr>
          <w:rFonts w:eastAsia="SimSun" w:asciiTheme="majorBidi" w:hAnsiTheme="majorBidi" w:cstheme="majorBidi"/>
        </w:rPr>
      </w:pPr>
      <w:r>
        <w:rPr>
          <w:rFonts w:asciiTheme="majorBidi" w:hAnsiTheme="majorBidi" w:cstheme="majorBidi"/>
        </w:rPr>
        <w:t xml:space="preserve">Pada 26 Juli 2016, LBH Masyarakat selaku tim kuasa hukum MU telah mengajukan grasi melalui Pengadilan Negeri Tangerang yang tertuang dalam akta permohonan </w:t>
      </w:r>
      <w:r>
        <w:rPr>
          <w:rFonts w:eastAsia="SimSun" w:asciiTheme="majorBidi" w:hAnsiTheme="majorBidi" w:cstheme="majorBidi"/>
        </w:rPr>
        <w:t>Nomor: 02/Pid.2016/PN.TNG, saat MU masih mendekam dalam sel isolasi dilapas Batu, Nusakambangan pada saat itu yang akan melaksanakan eksekusi mati. Adapun pada 29 Juli 2016, Mahkamah Agung telah meerima berkas tersebut dan dicatat pada Registrasi Perkara Nomor: 19 Sus/MA/2016. setelah permohonan grasi itu diterima oleh Mahkamah Agung, akhirnya eksekusi mati MU ditangguhkan sampai waktu yang tidak ditentukan.</w:t>
      </w:r>
    </w:p>
    <w:p>
      <w:pPr>
        <w:spacing w:after="0" w:line="312" w:lineRule="auto"/>
        <w:ind w:left="440" w:leftChars="200" w:right="-103" w:rightChars="-47" w:firstLine="398" w:firstLineChars="181"/>
        <w:contextualSpacing/>
        <w:jc w:val="both"/>
        <w:rPr>
          <w:rFonts w:eastAsia="SimSun" w:asciiTheme="majorBidi" w:hAnsiTheme="majorBidi" w:cstheme="majorBidi"/>
          <w:lang w:val="en-US"/>
        </w:rPr>
      </w:pPr>
      <w:r>
        <w:rPr>
          <w:rFonts w:eastAsia="SimSun" w:asciiTheme="majorBidi" w:hAnsiTheme="majorBidi" w:cstheme="majorBidi"/>
          <w:lang w:val="en-US"/>
        </w:rPr>
        <w:t>Setelah penantian yang cukup lama, akhirnya pada 24 Maret 2023, keputusan grasi turun dari Presiden Jokowi dengan Keputusan Presiden Nomor 1/G/2023 yang mengubah hukuman mati menjadi penjara seumur hidup.</w:t>
      </w:r>
    </w:p>
    <w:p>
      <w:pPr>
        <w:pStyle w:val="2"/>
      </w:pPr>
      <w:bookmarkStart w:id="33" w:name="_Toc199801679"/>
    </w:p>
    <w:p>
      <w:pPr>
        <w:pStyle w:val="2"/>
      </w:pPr>
    </w:p>
    <w:p>
      <w:pPr>
        <w:pStyle w:val="2"/>
      </w:pPr>
    </w:p>
    <w:p>
      <w:pPr>
        <w:pStyle w:val="2"/>
        <w:jc w:val="both"/>
      </w:pPr>
    </w:p>
    <w:p>
      <w:pPr>
        <w:pStyle w:val="2"/>
        <w:jc w:val="both"/>
        <w:sectPr>
          <w:headerReference r:id="rId14" w:type="first"/>
          <w:footerReference r:id="rId15" w:type="first"/>
          <w:headerReference r:id="rId13" w:type="default"/>
          <w:footnotePr>
            <w:numFmt w:val="decimal"/>
            <w:numRestart w:val="eachSect"/>
          </w:footnotePr>
          <w:pgSz w:w="8335" w:h="11850"/>
          <w:pgMar w:top="1418" w:right="1134" w:bottom="1134" w:left="1418" w:header="720" w:footer="720" w:gutter="0"/>
          <w:cols w:space="720" w:num="1"/>
          <w:titlePg/>
          <w:docGrid w:linePitch="299" w:charSpace="0"/>
        </w:sectPr>
      </w:pPr>
    </w:p>
    <w:p>
      <w:pPr>
        <w:pStyle w:val="2"/>
      </w:pPr>
      <w:r>
        <w:t>BAB IV</w:t>
      </w:r>
      <w:bookmarkEnd w:id="33"/>
    </w:p>
    <w:p>
      <w:pPr>
        <w:pStyle w:val="2"/>
      </w:pPr>
      <w:bookmarkStart w:id="34" w:name="_Toc199801680"/>
      <w:r>
        <w:t>HASIL ANALISIS KEPUTUSAN PRESIDEN NOMOR 1/G/2023</w:t>
      </w:r>
      <w:bookmarkEnd w:id="34"/>
    </w:p>
    <w:p>
      <w:pPr>
        <w:spacing w:after="0" w:line="312" w:lineRule="auto"/>
        <w:contextualSpacing/>
        <w:jc w:val="both"/>
        <w:rPr>
          <w:rFonts w:asciiTheme="majorBidi" w:hAnsiTheme="majorBidi" w:cstheme="majorBidi"/>
          <w:b/>
          <w:bCs/>
        </w:rPr>
      </w:pPr>
    </w:p>
    <w:p>
      <w:pPr>
        <w:pStyle w:val="5"/>
        <w:numPr>
          <w:ilvl w:val="0"/>
          <w:numId w:val="44"/>
        </w:numPr>
        <w:ind w:left="284" w:hanging="284"/>
      </w:pPr>
      <w:bookmarkStart w:id="35" w:name="_Toc199801681"/>
      <w:r>
        <w:t>Narkotika dan Pengampunan Dalam Hukum Pidana Islam</w:t>
      </w:r>
      <w:bookmarkEnd w:id="35"/>
    </w:p>
    <w:p>
      <w:pPr>
        <w:spacing w:after="0" w:line="312" w:lineRule="auto"/>
        <w:ind w:left="440" w:leftChars="200" w:firstLine="411" w:firstLineChars="187"/>
        <w:contextualSpacing/>
        <w:jc w:val="both"/>
        <w:rPr>
          <w:rFonts w:asciiTheme="majorBidi" w:hAnsiTheme="majorBidi" w:cstheme="majorBidi"/>
          <w:lang w:val="en-US"/>
        </w:rPr>
      </w:pPr>
      <w:r>
        <w:rPr>
          <w:rFonts w:asciiTheme="majorBidi" w:hAnsiTheme="majorBidi" w:cstheme="majorBidi"/>
          <w:lang w:val="en-US"/>
        </w:rPr>
        <w:t>Pada zaman Nabi dahulu belum ada istilah narkotika. Hal ini menjadi perdebatan kalangan Ulama’ mengenai keharaman narkotika. Di dalam Al Qur’an tidak dijelaskan mengenai narotika, karena dampak yang ditimbulkan dari penggunaan nakotika, para Ulama’ sepakat hukum narkotika diqiyaskan dengan minuman khamr.</w:t>
      </w:r>
    </w:p>
    <w:p>
      <w:pPr>
        <w:spacing w:after="0" w:line="312" w:lineRule="auto"/>
        <w:ind w:left="440" w:leftChars="200" w:firstLine="411" w:firstLineChars="187"/>
        <w:contextualSpacing/>
        <w:jc w:val="both"/>
        <w:rPr>
          <w:rFonts w:asciiTheme="majorBidi" w:hAnsiTheme="majorBidi" w:cstheme="majorBidi"/>
          <w:lang w:val="en-US"/>
        </w:rPr>
      </w:pPr>
      <w:r>
        <w:rPr>
          <w:rFonts w:ascii="Times New Roman" w:hAnsi="Times New Roman" w:eastAsia="Times New Roman" w:cs="Times New Roman"/>
          <w:kern w:val="0"/>
          <w:lang w:val="en-US"/>
          <w14:ligatures w14:val="none"/>
        </w:rPr>
        <w:t>Dalam ajaran Islam, zat terlarang seperti narkotika (ganja, heroin, dsb.) dikenal sebagai</w:t>
      </w:r>
      <w:r>
        <w:rPr>
          <w:rFonts w:ascii="Times New Roman" w:hAnsi="Times New Roman" w:eastAsia="Times New Roman" w:cs="Times New Roman"/>
          <w:i/>
          <w:iCs/>
          <w:kern w:val="0"/>
          <w:lang w:val="en-US"/>
          <w14:ligatures w14:val="none"/>
        </w:rPr>
        <w:t xml:space="preserve"> mukhaddirat</w:t>
      </w:r>
      <w:r>
        <w:rPr>
          <w:rFonts w:ascii="Times New Roman" w:hAnsi="Times New Roman" w:eastAsia="Times New Roman" w:cs="Times New Roman"/>
          <w:kern w:val="0"/>
          <w:lang w:val="en-US"/>
          <w14:ligatures w14:val="none"/>
        </w:rPr>
        <w:t>. Para ulama sepakat bahwa mengonsumsi zat ini, dalam bentuk apa pun, hukumnya haram tanpa ada perbedaan pendapat. Dr. Yusuf Qardhawi menjelaskan dalam fatwa kontemporernya bahwa dampak penggunaan narkotika sama seperti mabuk akibat khamar. Kecelakaan lalu lintas sering terjadi karena pengaruh zat memabukkan ini, yang menunjukkan hilangnya kesadaran akibat nark</w:t>
      </w:r>
      <w:r>
        <w:rPr>
          <w:rFonts w:eastAsia="sans-serif" w:asciiTheme="majorBidi" w:hAnsiTheme="majorBidi" w:cstheme="majorBidi"/>
          <w:spacing w:val="-3"/>
        </w:rPr>
        <w:t>otika.</w:t>
      </w:r>
      <w:r>
        <w:rPr>
          <w:rStyle w:val="17"/>
          <w:rFonts w:eastAsia="sans-serif" w:asciiTheme="majorBidi" w:hAnsiTheme="majorBidi" w:cstheme="majorBidi"/>
          <w:spacing w:val="-3"/>
        </w:rPr>
        <w:footnoteReference w:id="64"/>
      </w:r>
    </w:p>
    <w:p>
      <w:pPr>
        <w:spacing w:after="0" w:line="312" w:lineRule="auto"/>
        <w:ind w:left="440" w:leftChars="200" w:firstLine="411" w:firstLineChars="187"/>
        <w:contextualSpacing/>
        <w:jc w:val="both"/>
        <w:rPr>
          <w:rFonts w:asciiTheme="majorBidi" w:hAnsiTheme="majorBidi" w:cstheme="majorBidi"/>
          <w:lang w:val="en-US"/>
        </w:rPr>
      </w:pPr>
      <w:r>
        <w:rPr>
          <w:rFonts w:asciiTheme="majorBidi" w:hAnsiTheme="majorBidi" w:cstheme="majorBidi"/>
          <w:lang w:val="en-US"/>
        </w:rPr>
        <w:t>Para Ulama’ sepakat narkotika diqiyaskan dengan minuman khamr. Adapun s</w:t>
      </w:r>
      <w:r>
        <w:rPr>
          <w:rFonts w:asciiTheme="majorBidi" w:hAnsiTheme="majorBidi" w:cstheme="majorBidi"/>
        </w:rPr>
        <w:t>ecara bahasa, kata</w:t>
      </w:r>
      <w:r>
        <w:rPr>
          <w:rFonts w:asciiTheme="majorBidi" w:hAnsiTheme="majorBidi" w:cstheme="majorBidi"/>
          <w:i/>
          <w:iCs/>
        </w:rPr>
        <w:t xml:space="preserve"> qiyas</w:t>
      </w:r>
      <w:r>
        <w:rPr>
          <w:rFonts w:asciiTheme="majorBidi" w:hAnsiTheme="majorBidi" w:cstheme="majorBidi"/>
        </w:rPr>
        <w:t xml:space="preserve"> (</w:t>
      </w:r>
      <w:r>
        <w:rPr>
          <w:rFonts w:cs="Times New Roman" w:asciiTheme="majorBidi" w:hAnsiTheme="majorBidi"/>
          <w:rtl/>
        </w:rPr>
        <w:t>قياس</w:t>
      </w:r>
      <w:r>
        <w:rPr>
          <w:rFonts w:asciiTheme="majorBidi" w:hAnsiTheme="majorBidi" w:cstheme="majorBidi"/>
        </w:rPr>
        <w:t xml:space="preserve">) berasal dari akar kata </w:t>
      </w:r>
      <w:r>
        <w:rPr>
          <w:rFonts w:asciiTheme="majorBidi" w:hAnsiTheme="majorBidi" w:cstheme="majorBidi"/>
          <w:i/>
          <w:iCs/>
        </w:rPr>
        <w:t>qaasa-yaqishu-qiyaasan</w:t>
      </w:r>
      <w:r>
        <w:rPr>
          <w:rFonts w:asciiTheme="majorBidi" w:hAnsiTheme="majorBidi" w:cstheme="majorBidi"/>
        </w:rPr>
        <w:t xml:space="preserve"> (</w:t>
      </w:r>
      <w:r>
        <w:rPr>
          <w:rFonts w:cs="Times New Roman" w:asciiTheme="majorBidi" w:hAnsiTheme="majorBidi"/>
          <w:rtl/>
        </w:rPr>
        <w:t>قياسا</w:t>
      </w:r>
      <w:r>
        <w:rPr>
          <w:rFonts w:asciiTheme="majorBidi" w:hAnsiTheme="majorBidi" w:cstheme="majorBidi"/>
        </w:rPr>
        <w:t xml:space="preserve"> </w:t>
      </w:r>
      <w:r>
        <w:rPr>
          <w:rFonts w:cs="Times New Roman" w:asciiTheme="majorBidi" w:hAnsiTheme="majorBidi"/>
          <w:rtl/>
        </w:rPr>
        <w:t>يقيس</w:t>
      </w:r>
      <w:r>
        <w:rPr>
          <w:rFonts w:asciiTheme="majorBidi" w:hAnsiTheme="majorBidi" w:cstheme="majorBidi"/>
        </w:rPr>
        <w:t xml:space="preserve"> </w:t>
      </w:r>
      <w:r>
        <w:rPr>
          <w:rFonts w:cs="Times New Roman" w:asciiTheme="majorBidi" w:hAnsiTheme="majorBidi"/>
          <w:rtl/>
        </w:rPr>
        <w:t>قاس</w:t>
      </w:r>
      <w:r>
        <w:rPr>
          <w:rFonts w:asciiTheme="majorBidi" w:hAnsiTheme="majorBidi" w:cstheme="majorBidi"/>
        </w:rPr>
        <w:t xml:space="preserve">) yang artinya pengukuran. Para Ulama’ ushul fiqih mendefinisikan </w:t>
      </w:r>
      <w:r>
        <w:rPr>
          <w:rFonts w:asciiTheme="majorBidi" w:hAnsiTheme="majorBidi" w:cstheme="majorBidi"/>
          <w:i/>
          <w:iCs/>
        </w:rPr>
        <w:t>qiyas</w:t>
      </w:r>
      <w:r>
        <w:rPr>
          <w:rFonts w:asciiTheme="majorBidi" w:hAnsiTheme="majorBidi" w:cstheme="majorBidi"/>
        </w:rPr>
        <w:t xml:space="preserve"> dalam redaksi yang beragam </w:t>
      </w:r>
      <w:r>
        <w:rPr>
          <w:rFonts w:asciiTheme="majorBidi" w:hAnsiTheme="majorBidi" w:cstheme="majorBidi"/>
          <w:lang w:val="en-US"/>
        </w:rPr>
        <w:t>Namun</w:t>
      </w:r>
      <w:r>
        <w:rPr>
          <w:rFonts w:asciiTheme="majorBidi" w:hAnsiTheme="majorBidi" w:cstheme="majorBidi"/>
        </w:rPr>
        <w:t xml:space="preserve"> memiliki makna yang sama. Menurut istilah</w:t>
      </w:r>
      <w:r>
        <w:rPr>
          <w:rFonts w:asciiTheme="majorBidi" w:hAnsiTheme="majorBidi" w:cstheme="majorBidi"/>
          <w:i/>
          <w:iCs/>
        </w:rPr>
        <w:t xml:space="preserve"> qiyas</w:t>
      </w:r>
      <w:r>
        <w:rPr>
          <w:rFonts w:asciiTheme="majorBidi" w:hAnsiTheme="majorBidi" w:cstheme="majorBidi"/>
        </w:rPr>
        <w:t xml:space="preserve"> adalah menyamakan sesuatu yang tidak memiliki nash hukum dengan sesuatu yang ada nash hukum berdasarkan kesamaan illat atau kemaslahatan yang diperhatikan syara. </w:t>
      </w:r>
      <w:r>
        <w:rPr>
          <w:rFonts w:asciiTheme="majorBidi" w:hAnsiTheme="majorBidi" w:cstheme="majorBidi"/>
          <w:i/>
          <w:iCs/>
        </w:rPr>
        <w:t>Qiyas</w:t>
      </w:r>
      <w:r>
        <w:rPr>
          <w:rFonts w:asciiTheme="majorBidi" w:hAnsiTheme="majorBidi" w:cstheme="majorBidi"/>
        </w:rPr>
        <w:t xml:space="preserve"> juga dapat diartikan sebagai kegiatan melakukan padanan suatu hukum terhadap hukum lain.</w:t>
      </w:r>
      <w:r>
        <w:rPr>
          <w:rStyle w:val="17"/>
          <w:rFonts w:asciiTheme="majorBidi" w:hAnsiTheme="majorBidi" w:cstheme="majorBidi"/>
        </w:rPr>
        <w:footnoteReference w:id="65"/>
      </w:r>
    </w:p>
    <w:p>
      <w:pPr>
        <w:spacing w:after="0" w:line="312" w:lineRule="auto"/>
        <w:ind w:left="440" w:leftChars="200" w:firstLine="411" w:firstLineChars="187"/>
        <w:contextualSpacing/>
        <w:jc w:val="both"/>
        <w:rPr>
          <w:rFonts w:asciiTheme="majorBidi" w:hAnsiTheme="majorBidi" w:cstheme="majorBidi"/>
          <w:lang w:val="en-US"/>
        </w:rPr>
      </w:pPr>
      <w:r>
        <w:rPr>
          <w:rFonts w:ascii="Times New Roman" w:hAnsi="Times New Roman" w:eastAsia="Times New Roman" w:cs="Times New Roman"/>
          <w:kern w:val="0"/>
          <w:lang w:val="en-US"/>
          <w14:ligatures w14:val="none"/>
        </w:rPr>
        <w:t>Rukun qiyas terdiri dari empat unsur, yaitu:</w:t>
      </w:r>
    </w:p>
    <w:p>
      <w:pPr>
        <w:numPr>
          <w:ilvl w:val="0"/>
          <w:numId w:val="45"/>
        </w:numPr>
        <w:tabs>
          <w:tab w:val="left" w:pos="880"/>
          <w:tab w:val="clear" w:pos="425"/>
        </w:tabs>
        <w:spacing w:after="0" w:line="312" w:lineRule="auto"/>
        <w:ind w:left="880" w:leftChars="300" w:hanging="220" w:hangingChars="100"/>
        <w:contextualSpacing/>
        <w:jc w:val="both"/>
        <w:rPr>
          <w:rFonts w:ascii="Times New Roman" w:hAnsi="Times New Roman" w:eastAsia="sans-serif" w:cs="Times New Roman"/>
          <w:spacing w:val="-3"/>
          <w:lang w:val="en-US"/>
        </w:rPr>
      </w:pPr>
      <w:r>
        <w:rPr>
          <w:rFonts w:ascii="Times New Roman" w:hAnsi="Times New Roman" w:eastAsia="Times New Roman" w:cs="Times New Roman"/>
          <w:i/>
          <w:iCs/>
          <w:kern w:val="0"/>
          <w:lang w:val="en-US"/>
          <w14:ligatures w14:val="none"/>
        </w:rPr>
        <w:t>Ashal</w:t>
      </w:r>
      <w:r>
        <w:rPr>
          <w:rFonts w:ascii="Times New Roman" w:hAnsi="Times New Roman" w:eastAsia="Times New Roman" w:cs="Times New Roman"/>
          <w:kern w:val="0"/>
          <w:lang w:val="en-US"/>
          <w14:ligatures w14:val="none"/>
        </w:rPr>
        <w:t xml:space="preserve"> (pokok) adalah peristiwa yang hukumnya telah ditetapkan berdasarkan nash, disebut juga maqis ‘alaih (dasar perbandingan) atau MU </w:t>
      </w:r>
      <w:r>
        <w:rPr>
          <w:rFonts w:ascii="Times New Roman" w:hAnsi="Times New Roman" w:eastAsia="Times New Roman" w:cs="Times New Roman"/>
          <w:i/>
          <w:iCs/>
          <w:kern w:val="0"/>
          <w:lang w:val="en-US"/>
          <w14:ligatures w14:val="none"/>
        </w:rPr>
        <w:t>syabbah bih</w:t>
      </w:r>
      <w:r>
        <w:rPr>
          <w:rFonts w:ascii="Times New Roman" w:hAnsi="Times New Roman" w:eastAsia="Times New Roman" w:cs="Times New Roman"/>
          <w:kern w:val="0"/>
          <w:lang w:val="en-US"/>
          <w14:ligatures w14:val="none"/>
        </w:rPr>
        <w:t xml:space="preserve"> (tempat penyerupaan). Contoh ashal adalah khamar.</w:t>
      </w:r>
    </w:p>
    <w:p>
      <w:pPr>
        <w:numPr>
          <w:ilvl w:val="0"/>
          <w:numId w:val="45"/>
        </w:numPr>
        <w:tabs>
          <w:tab w:val="left" w:pos="880"/>
          <w:tab w:val="clear" w:pos="425"/>
        </w:tabs>
        <w:spacing w:after="0" w:line="312" w:lineRule="auto"/>
        <w:ind w:left="880" w:leftChars="300" w:hanging="220" w:hangingChars="100"/>
        <w:contextualSpacing/>
        <w:jc w:val="both"/>
        <w:rPr>
          <w:rFonts w:ascii="Times New Roman" w:hAnsi="Times New Roman" w:eastAsia="sans-serif" w:cs="Times New Roman"/>
          <w:spacing w:val="-3"/>
          <w:lang w:val="en-US"/>
        </w:rPr>
      </w:pPr>
      <w:r>
        <w:rPr>
          <w:rFonts w:ascii="Times New Roman" w:hAnsi="Times New Roman" w:eastAsia="Times New Roman" w:cs="Times New Roman"/>
          <w:kern w:val="0"/>
          <w:lang w:val="en-US"/>
          <w14:ligatures w14:val="none"/>
        </w:rPr>
        <w:t>Hukum</w:t>
      </w:r>
      <w:r>
        <w:rPr>
          <w:rFonts w:ascii="Times New Roman" w:hAnsi="Times New Roman" w:eastAsia="Times New Roman" w:cs="Times New Roman"/>
          <w:i/>
          <w:iCs/>
          <w:kern w:val="0"/>
          <w:lang w:val="en-US"/>
          <w14:ligatures w14:val="none"/>
        </w:rPr>
        <w:t xml:space="preserve"> ashal </w:t>
      </w:r>
      <w:r>
        <w:rPr>
          <w:rFonts w:ascii="Times New Roman" w:hAnsi="Times New Roman" w:eastAsia="Times New Roman" w:cs="Times New Roman"/>
          <w:kern w:val="0"/>
          <w:lang w:val="en-US"/>
          <w14:ligatures w14:val="none"/>
        </w:rPr>
        <w:t xml:space="preserve">adalah hukum yang telah ditetapkan berdasarkan </w:t>
      </w:r>
      <w:r>
        <w:rPr>
          <w:rFonts w:ascii="Times New Roman" w:hAnsi="Times New Roman" w:eastAsia="Times New Roman" w:cs="Times New Roman"/>
          <w:i/>
          <w:iCs/>
          <w:kern w:val="0"/>
          <w:lang w:val="en-US"/>
          <w14:ligatures w14:val="none"/>
        </w:rPr>
        <w:t>nash</w:t>
      </w:r>
      <w:r>
        <w:rPr>
          <w:rFonts w:ascii="Times New Roman" w:hAnsi="Times New Roman" w:eastAsia="Times New Roman" w:cs="Times New Roman"/>
          <w:kern w:val="0"/>
          <w:lang w:val="en-US"/>
          <w14:ligatures w14:val="none"/>
        </w:rPr>
        <w:t xml:space="preserve"> untuk ashal dan akan diterapkan pada </w:t>
      </w:r>
      <w:r>
        <w:rPr>
          <w:rFonts w:ascii="Times New Roman" w:hAnsi="Times New Roman" w:eastAsia="Times New Roman" w:cs="Times New Roman"/>
          <w:i/>
          <w:iCs/>
          <w:kern w:val="0"/>
          <w:lang w:val="en-US"/>
          <w14:ligatures w14:val="none"/>
        </w:rPr>
        <w:t>furu’</w:t>
      </w:r>
      <w:r>
        <w:rPr>
          <w:rFonts w:ascii="Times New Roman" w:hAnsi="Times New Roman" w:eastAsia="Times New Roman" w:cs="Times New Roman"/>
          <w:kern w:val="0"/>
          <w:lang w:val="en-US"/>
          <w14:ligatures w14:val="none"/>
        </w:rPr>
        <w:t xml:space="preserve"> jika memiliki</w:t>
      </w:r>
      <w:r>
        <w:rPr>
          <w:rFonts w:ascii="Times New Roman" w:hAnsi="Times New Roman" w:eastAsia="Times New Roman" w:cs="Times New Roman"/>
          <w:i/>
          <w:iCs/>
          <w:kern w:val="0"/>
          <w:lang w:val="en-US"/>
          <w14:ligatures w14:val="none"/>
        </w:rPr>
        <w:t xml:space="preserve"> illat</w:t>
      </w:r>
      <w:r>
        <w:rPr>
          <w:rFonts w:ascii="Times New Roman" w:hAnsi="Times New Roman" w:eastAsia="Times New Roman" w:cs="Times New Roman"/>
          <w:kern w:val="0"/>
          <w:lang w:val="en-US"/>
          <w14:ligatures w14:val="none"/>
        </w:rPr>
        <w:t xml:space="preserve"> (sebab hukum) yang sama. Narkotika dan khamar sama-sama merusak akal, menyebabkan penurunan kesadaran, hilangnya perasaan, dan ketergantungan, sehingga hukumnya haram. Hukum khamar sebagai ashal adalah haram, berdasarkan hadis:</w:t>
      </w:r>
    </w:p>
    <w:p>
      <w:pPr>
        <w:tabs>
          <w:tab w:val="left" w:pos="1600"/>
        </w:tabs>
        <w:spacing w:after="0" w:line="312" w:lineRule="auto"/>
        <w:ind w:left="440" w:leftChars="200"/>
        <w:contextualSpacing/>
        <w:jc w:val="both"/>
        <w:rPr>
          <w:rFonts w:ascii="Times New Roman" w:hAnsi="Times New Roman" w:eastAsia="sans-serif" w:cs="Times New Roman"/>
          <w:spacing w:val="-3"/>
          <w:lang w:val="en-US"/>
        </w:rPr>
      </w:pPr>
    </w:p>
    <w:p>
      <w:pPr>
        <w:tabs>
          <w:tab w:val="left" w:pos="1600"/>
        </w:tabs>
        <w:bidi/>
        <w:spacing w:after="0" w:line="240" w:lineRule="auto"/>
        <w:ind w:left="-27" w:leftChars="-13" w:right="992" w:rightChars="451" w:hanging="2"/>
        <w:contextualSpacing/>
        <w:jc w:val="both"/>
        <w:rPr>
          <w:rFonts w:ascii="Traditional Arabic" w:hAnsi="Traditional Arabic" w:eastAsia="SimSun" w:cs="Traditional Arabic"/>
          <w:i/>
          <w:iCs/>
          <w:sz w:val="32"/>
          <w:szCs w:val="32"/>
        </w:rPr>
      </w:pPr>
      <w:r>
        <w:rPr>
          <w:rFonts w:ascii="Traditional Arabic" w:hAnsi="Traditional Arabic" w:eastAsia="sans-serif" w:cs="Traditional Arabic"/>
          <w:spacing w:val="-3"/>
          <w:sz w:val="32"/>
          <w:szCs w:val="32"/>
          <w:lang w:val="en-US"/>
        </w:rPr>
        <w:t>حَدَّثَنَا يَحْيَى بْنُ يَحْيَى قَالَ قَرَأْتُ عَلَى مَالِكٍ عَنْ ابْنِ شِهَابٍ عَنْ أَبِي سَلَمَةَ بْنِ عَبْدِ الرَّحْمَنِ عَنْ عَائِشَةَ قَالَتْ سُئِلَ رَسُولُ اللَّهِ صَلَّى اللَّهُ عَلَيْهِ وَسَلَّمَ عَنْ الْبِتْعِ فَقَالَ كُلُّ شَرَابٍ أَسْكَرَ فَهُوَ حَرَامٌ</w:t>
      </w:r>
    </w:p>
    <w:p>
      <w:pPr>
        <w:tabs>
          <w:tab w:val="left" w:pos="1600"/>
        </w:tabs>
        <w:spacing w:after="0" w:line="240" w:lineRule="auto"/>
        <w:ind w:left="1417" w:leftChars="644" w:firstLine="1"/>
        <w:contextualSpacing/>
        <w:jc w:val="both"/>
        <w:rPr>
          <w:rFonts w:eastAsia="SimSun" w:asciiTheme="majorBidi" w:hAnsiTheme="majorBidi" w:cstheme="majorBidi"/>
        </w:rPr>
      </w:pPr>
      <w:r>
        <w:rPr>
          <w:rFonts w:eastAsia="SimSun" w:asciiTheme="majorBidi" w:hAnsiTheme="majorBidi" w:cstheme="majorBidi"/>
          <w:i/>
          <w:iCs/>
        </w:rPr>
        <w:t xml:space="preserve">“Telah menceritakan kepada kami [Yahya bin Yahya] dia berkata: saya bacakan di hadapan [Malik]: dari [Ibnu Syihab] dari [Abu Salamah bin Abdurrahman] dari ['Aisyah] dia berkata: "Rasulullah shallAllahu 'alaihi wa sallam ditanya mengenai bit'u (yaitu minuman yang terbuat dari madu) maka beliau bersabda: "Setiap minuman yang memabukkan adalah haram.”. </w:t>
      </w:r>
      <w:r>
        <w:rPr>
          <w:rFonts w:eastAsia="SimSun" w:asciiTheme="majorBidi" w:hAnsiTheme="majorBidi" w:cstheme="majorBidi"/>
        </w:rPr>
        <w:t xml:space="preserve">(HR. </w:t>
      </w:r>
      <w:r>
        <w:rPr>
          <w:rFonts w:eastAsia="SimSun" w:asciiTheme="majorBidi" w:hAnsiTheme="majorBidi" w:cstheme="majorBidi"/>
          <w:lang w:val="en-US"/>
        </w:rPr>
        <w:t>Muslim</w:t>
      </w:r>
      <w:r>
        <w:rPr>
          <w:rFonts w:eastAsia="SimSun" w:asciiTheme="majorBidi" w:hAnsiTheme="majorBidi" w:cstheme="majorBidi"/>
        </w:rPr>
        <w:t>)</w:t>
      </w:r>
      <w:r>
        <w:rPr>
          <w:rStyle w:val="17"/>
          <w:rFonts w:eastAsia="SimSun" w:asciiTheme="majorBidi" w:hAnsiTheme="majorBidi" w:cstheme="majorBidi"/>
        </w:rPr>
        <w:footnoteReference w:id="66"/>
      </w:r>
    </w:p>
    <w:p>
      <w:pPr>
        <w:tabs>
          <w:tab w:val="left" w:pos="425"/>
        </w:tabs>
        <w:spacing w:after="0" w:line="312" w:lineRule="auto"/>
        <w:ind w:left="880"/>
        <w:contextualSpacing/>
        <w:jc w:val="both"/>
        <w:rPr>
          <w:rFonts w:ascii="Times New Roman" w:hAnsi="Times New Roman" w:eastAsia="Times New Roman" w:cs="Times New Roman"/>
          <w:kern w:val="0"/>
          <w:lang w:val="en-US"/>
          <w14:ligatures w14:val="none"/>
        </w:rPr>
      </w:pPr>
    </w:p>
    <w:p>
      <w:pPr>
        <w:tabs>
          <w:tab w:val="left" w:pos="425"/>
        </w:tabs>
        <w:spacing w:after="0" w:line="312" w:lineRule="auto"/>
        <w:ind w:left="880" w:firstLine="538"/>
        <w:contextualSpacing/>
        <w:jc w:val="both"/>
        <w:rPr>
          <w:rFonts w:eastAsia="SimSun" w:asciiTheme="majorBidi" w:hAnsiTheme="majorBidi" w:cstheme="majorBidi"/>
          <w:lang w:val="en-US"/>
        </w:rPr>
      </w:pPr>
      <w:r>
        <w:rPr>
          <w:rFonts w:ascii="Times New Roman" w:hAnsi="Times New Roman" w:eastAsia="Times New Roman" w:cs="Times New Roman"/>
          <w:kern w:val="0"/>
          <w:lang w:val="en-US"/>
          <w14:ligatures w14:val="none"/>
        </w:rPr>
        <w:t>Hadis ini menegaskan bahwa segala minuman memabukkan adalah haram.</w:t>
      </w:r>
    </w:p>
    <w:p>
      <w:pPr>
        <w:numPr>
          <w:ilvl w:val="0"/>
          <w:numId w:val="45"/>
        </w:numPr>
        <w:tabs>
          <w:tab w:val="clear" w:pos="425"/>
        </w:tabs>
        <w:spacing w:after="0" w:line="312" w:lineRule="auto"/>
        <w:ind w:left="880" w:leftChars="300" w:hanging="220" w:hangingChars="100"/>
        <w:contextualSpacing/>
        <w:jc w:val="both"/>
        <w:rPr>
          <w:rFonts w:eastAsia="sans-serif" w:asciiTheme="majorBidi" w:hAnsiTheme="majorBidi" w:cstheme="majorBidi"/>
          <w:spacing w:val="-3"/>
        </w:rPr>
      </w:pPr>
      <w:r>
        <w:rPr>
          <w:rFonts w:ascii="Times New Roman" w:hAnsi="Times New Roman" w:eastAsia="Times New Roman" w:cs="Times New Roman"/>
          <w:i/>
          <w:iCs/>
          <w:kern w:val="0"/>
          <w:lang w:val="en-US"/>
          <w14:ligatures w14:val="none"/>
        </w:rPr>
        <w:t xml:space="preserve"> Furu</w:t>
      </w:r>
      <w:r>
        <w:rPr>
          <w:rFonts w:ascii="Times New Roman" w:hAnsi="Times New Roman" w:eastAsia="Times New Roman" w:cs="Times New Roman"/>
          <w:kern w:val="0"/>
          <w:lang w:val="en-US"/>
          <w14:ligatures w14:val="none"/>
        </w:rPr>
        <w:t xml:space="preserve">’ (cabang) adalah peristiwa yang tidak memiliki nash langsung, yang hukumnya disamakan dengan </w:t>
      </w:r>
      <w:r>
        <w:rPr>
          <w:rFonts w:ascii="Times New Roman" w:hAnsi="Times New Roman" w:eastAsia="Times New Roman" w:cs="Times New Roman"/>
          <w:i/>
          <w:iCs/>
          <w:kern w:val="0"/>
          <w:lang w:val="en-US"/>
          <w14:ligatures w14:val="none"/>
        </w:rPr>
        <w:t>ashal</w:t>
      </w:r>
      <w:r>
        <w:rPr>
          <w:rFonts w:ascii="Times New Roman" w:hAnsi="Times New Roman" w:eastAsia="Times New Roman" w:cs="Times New Roman"/>
          <w:kern w:val="0"/>
          <w:lang w:val="en-US"/>
          <w14:ligatures w14:val="none"/>
        </w:rPr>
        <w:t xml:space="preserve"> melalui </w:t>
      </w:r>
      <w:r>
        <w:rPr>
          <w:rFonts w:ascii="Times New Roman" w:hAnsi="Times New Roman" w:eastAsia="Times New Roman" w:cs="Times New Roman"/>
          <w:i/>
          <w:iCs/>
          <w:kern w:val="0"/>
          <w:lang w:val="en-US"/>
          <w14:ligatures w14:val="none"/>
        </w:rPr>
        <w:t>qiyas.</w:t>
      </w:r>
      <w:r>
        <w:rPr>
          <w:rFonts w:ascii="Times New Roman" w:hAnsi="Times New Roman" w:eastAsia="Times New Roman" w:cs="Times New Roman"/>
          <w:kern w:val="0"/>
          <w:lang w:val="en-US"/>
          <w14:ligatures w14:val="none"/>
        </w:rPr>
        <w:t xml:space="preserve"> Dalam hal ini, </w:t>
      </w:r>
      <w:r>
        <w:rPr>
          <w:rFonts w:ascii="Times New Roman" w:hAnsi="Times New Roman" w:eastAsia="Times New Roman" w:cs="Times New Roman"/>
          <w:i/>
          <w:iCs/>
          <w:kern w:val="0"/>
          <w:lang w:val="en-US"/>
          <w14:ligatures w14:val="none"/>
        </w:rPr>
        <w:t>furu’</w:t>
      </w:r>
      <w:r>
        <w:rPr>
          <w:rFonts w:ascii="Times New Roman" w:hAnsi="Times New Roman" w:eastAsia="Times New Roman" w:cs="Times New Roman"/>
          <w:kern w:val="0"/>
          <w:lang w:val="en-US"/>
          <w14:ligatures w14:val="none"/>
        </w:rPr>
        <w:t xml:space="preserve"> adalah narkotika.</w:t>
      </w:r>
    </w:p>
    <w:p>
      <w:pPr>
        <w:numPr>
          <w:ilvl w:val="0"/>
          <w:numId w:val="45"/>
        </w:numPr>
        <w:tabs>
          <w:tab w:val="clear" w:pos="425"/>
        </w:tabs>
        <w:spacing w:after="0" w:line="312" w:lineRule="auto"/>
        <w:ind w:left="880" w:leftChars="300" w:hanging="220" w:hangingChars="100"/>
        <w:contextualSpacing/>
        <w:jc w:val="both"/>
        <w:rPr>
          <w:rFonts w:eastAsia="sans-serif" w:asciiTheme="majorBidi" w:hAnsiTheme="majorBidi" w:cstheme="majorBidi"/>
          <w:spacing w:val="-3"/>
        </w:rPr>
      </w:pPr>
      <w:r>
        <w:rPr>
          <w:rFonts w:eastAsia="SimSun" w:asciiTheme="majorBidi" w:hAnsiTheme="majorBidi" w:cstheme="majorBidi"/>
          <w:i/>
          <w:iCs/>
          <w:lang w:val="en-US"/>
        </w:rPr>
        <w:t xml:space="preserve"> </w:t>
      </w:r>
      <w:r>
        <w:rPr>
          <w:rFonts w:eastAsia="SimSun" w:asciiTheme="majorBidi" w:hAnsiTheme="majorBidi" w:cstheme="majorBidi"/>
          <w:i/>
          <w:iCs/>
        </w:rPr>
        <w:t>Illat</w:t>
      </w:r>
      <w:r>
        <w:rPr>
          <w:rFonts w:eastAsia="SimSun" w:asciiTheme="majorBidi" w:hAnsiTheme="majorBidi" w:cstheme="majorBidi"/>
        </w:rPr>
        <w:t xml:space="preserve"> adalah suatu sifat yang terdapat pada ashal, dengan adanya sifat tersebut ashal mempunyai suatu hukum. Dan dengan sifat itulah terdapat cabang, sehingga hukum cabang itu disamakan dengan hukum as</w:t>
      </w:r>
      <w:r>
        <w:rPr>
          <w:rFonts w:eastAsia="SimSun" w:asciiTheme="majorBidi" w:hAnsiTheme="majorBidi" w:cstheme="majorBidi"/>
          <w:lang w:val="en-US"/>
        </w:rPr>
        <w:t>h</w:t>
      </w:r>
      <w:r>
        <w:rPr>
          <w:rFonts w:eastAsia="SimSun" w:asciiTheme="majorBidi" w:hAnsiTheme="majorBidi" w:cstheme="majorBidi"/>
        </w:rPr>
        <w:t xml:space="preserve"> </w:t>
      </w:r>
      <w:r>
        <w:rPr>
          <w:rFonts w:eastAsia="SimSun" w:asciiTheme="majorBidi" w:hAnsiTheme="majorBidi" w:cstheme="majorBidi"/>
          <w:i/>
          <w:iCs/>
        </w:rPr>
        <w:t>Illat</w:t>
      </w:r>
      <w:r>
        <w:rPr>
          <w:rFonts w:eastAsia="SimSun" w:asciiTheme="majorBidi" w:hAnsiTheme="majorBidi" w:cstheme="majorBidi"/>
        </w:rPr>
        <w:t xml:space="preserve"> dari Narkotika itu sendiri adalah sama-sama memabukkan. Oleh karena khamr diqiyaskan dengan Narkotika maka hukumannya tetap haram, yaitu sama sama memabukkan mengganggu akal pikiran, perubahan kesadaran dan menyebabkan ketergantungan.</w:t>
      </w:r>
      <w:r>
        <w:rPr>
          <w:rStyle w:val="17"/>
          <w:rFonts w:eastAsia="SimSun" w:asciiTheme="majorBidi" w:hAnsiTheme="majorBidi" w:cstheme="majorBidi"/>
        </w:rPr>
        <w:footnoteReference w:id="67"/>
      </w:r>
    </w:p>
    <w:p>
      <w:pPr>
        <w:tabs>
          <w:tab w:val="left" w:pos="1200"/>
        </w:tabs>
        <w:spacing w:after="0" w:line="312" w:lineRule="auto"/>
        <w:ind w:left="440" w:leftChars="200" w:firstLine="440" w:firstLineChars="200"/>
        <w:contextualSpacing/>
        <w:jc w:val="both"/>
        <w:rPr>
          <w:rFonts w:asciiTheme="majorBidi" w:hAnsiTheme="majorBidi" w:cstheme="majorBidi"/>
        </w:rPr>
      </w:pPr>
      <w:r>
        <w:rPr>
          <w:rFonts w:eastAsia="SimSun" w:asciiTheme="majorBidi" w:hAnsiTheme="majorBidi" w:cstheme="majorBidi"/>
          <w:lang w:val="en-US"/>
        </w:rPr>
        <w:t xml:space="preserve">Dalam hal ini analogi narkotika adalah minuman khamar, hukumnya haram karena sama-sama memabukan dan merusak akal. </w:t>
      </w:r>
      <w:r>
        <w:rPr>
          <w:rFonts w:asciiTheme="majorBidi" w:hAnsiTheme="majorBidi" w:cstheme="majorBidi"/>
          <w:lang w:val="en-US"/>
        </w:rPr>
        <w:t>Ayat mengenai keharaman minuman khamr di dalam Al qur’an yang memabukan dan merusak akal.</w:t>
      </w:r>
    </w:p>
    <w:p>
      <w:pPr>
        <w:numPr>
          <w:ilvl w:val="0"/>
          <w:numId w:val="46"/>
        </w:numPr>
        <w:tabs>
          <w:tab w:val="left" w:pos="660"/>
          <w:tab w:val="clear" w:pos="425"/>
        </w:tabs>
        <w:spacing w:after="0" w:line="312" w:lineRule="auto"/>
        <w:ind w:left="660" w:hanging="220"/>
        <w:contextualSpacing/>
        <w:jc w:val="both"/>
        <w:rPr>
          <w:rFonts w:asciiTheme="majorBidi" w:hAnsiTheme="majorBidi" w:cstheme="majorBidi"/>
        </w:rPr>
      </w:pPr>
      <w:r>
        <w:rPr>
          <w:rFonts w:asciiTheme="majorBidi" w:hAnsiTheme="majorBidi" w:cstheme="majorBidi"/>
          <w:lang w:val="en-US"/>
        </w:rPr>
        <w:t>Surat Al Maidah 90</w:t>
      </w:r>
    </w:p>
    <w:p>
      <w:pPr>
        <w:bidi/>
        <w:spacing w:after="0" w:line="240" w:lineRule="auto"/>
        <w:ind w:left="-28" w:leftChars="-13" w:right="709" w:hanging="1"/>
        <w:contextualSpacing/>
        <w:jc w:val="both"/>
        <w:rPr>
          <w:rFonts w:asciiTheme="majorBidi" w:hAnsiTheme="majorBidi" w:cstheme="majorBidi"/>
          <w:i/>
          <w:iCs/>
          <w:lang w:val="en-US"/>
        </w:rPr>
      </w:pPr>
      <w:r>
        <w:rPr>
          <w:rFonts w:ascii="Times New Roman" w:hAnsi="Times New Roman" w:cs="Times New Roman"/>
          <w:lang w:val="en-US"/>
        </w:rPr>
        <w:t>يَ</w:t>
      </w:r>
      <w:r>
        <w:rPr>
          <w:rFonts w:ascii="Traditional Arabic" w:hAnsi="Traditional Arabic" w:cs="Traditional Arabic"/>
          <w:sz w:val="32"/>
          <w:szCs w:val="32"/>
          <w:lang w:val="en-US"/>
        </w:rPr>
        <w:t>آأَيُّهَا ٱلَّذِينَ ءَامَنُوٓاْ إِنَّمَا ٱلۡخَمۡرُ وَٱلۡمَيۡسِرُ وَٱلۡأَنصَابُ وَٱلۡأَزۡلَٰمُ رِجۡسࣱ مِّنۡ عَمَلِ ٱلشَّيۡطَٰنِ فَٱجۡتَنِبُوهُ لَعَلَّكُمۡ تُفۡلِحُونَ</w:t>
      </w:r>
    </w:p>
    <w:p>
      <w:pPr>
        <w:spacing w:after="0" w:line="240" w:lineRule="auto"/>
        <w:ind w:left="1133" w:leftChars="515" w:firstLine="1"/>
        <w:contextualSpacing/>
        <w:jc w:val="both"/>
        <w:rPr>
          <w:rFonts w:asciiTheme="majorBidi" w:hAnsiTheme="majorBidi" w:cstheme="majorBidi"/>
          <w:lang w:val="en-US"/>
        </w:rPr>
      </w:pPr>
      <w:r>
        <w:rPr>
          <w:rFonts w:asciiTheme="majorBidi" w:hAnsiTheme="majorBidi" w:cstheme="majorBidi"/>
          <w:i/>
          <w:iCs/>
          <w:lang w:val="en-US"/>
        </w:rPr>
        <w:t>“Wahai orang-orang yang beriman! Sesungguhnya minuman keras, berjudi, (berkurban untuk) berhala, dan mengundi nasib dengan anak panah, adalah perbuatan keji dan termasuk perbuatan setan. Maka jauhilah (perbuatan-perbuatan) itu agar kamu beruntung”.</w:t>
      </w:r>
      <w:r>
        <w:rPr>
          <w:rFonts w:asciiTheme="majorBidi" w:hAnsiTheme="majorBidi" w:cstheme="majorBidi"/>
          <w:lang w:val="en-US"/>
        </w:rPr>
        <w:t xml:space="preserve"> (Al Maidah:5:90)</w:t>
      </w:r>
      <w:r>
        <w:rPr>
          <w:rStyle w:val="17"/>
          <w:rFonts w:asciiTheme="majorBidi" w:hAnsiTheme="majorBidi" w:cstheme="majorBidi"/>
          <w:lang w:val="en-US"/>
        </w:rPr>
        <w:footnoteReference w:id="68"/>
      </w:r>
    </w:p>
    <w:p>
      <w:pPr>
        <w:spacing w:after="0" w:line="312" w:lineRule="auto"/>
        <w:ind w:left="673" w:leftChars="306" w:firstLine="424" w:firstLineChars="193"/>
        <w:contextualSpacing/>
        <w:jc w:val="both"/>
        <w:rPr>
          <w:rFonts w:asciiTheme="majorBidi" w:hAnsiTheme="majorBidi" w:cstheme="majorBidi"/>
          <w:lang w:val="en-US"/>
        </w:rPr>
      </w:pPr>
    </w:p>
    <w:p>
      <w:pPr>
        <w:numPr>
          <w:ilvl w:val="0"/>
          <w:numId w:val="46"/>
        </w:numPr>
        <w:tabs>
          <w:tab w:val="clear" w:pos="425"/>
        </w:tabs>
        <w:spacing w:after="0" w:line="312" w:lineRule="auto"/>
        <w:ind w:left="665" w:hanging="225"/>
        <w:contextualSpacing/>
        <w:jc w:val="both"/>
        <w:rPr>
          <w:rFonts w:asciiTheme="majorBidi" w:hAnsiTheme="majorBidi" w:cstheme="majorBidi"/>
        </w:rPr>
      </w:pPr>
      <w:r>
        <w:rPr>
          <w:rFonts w:asciiTheme="majorBidi" w:hAnsiTheme="majorBidi" w:cstheme="majorBidi"/>
          <w:lang w:val="en-US"/>
        </w:rPr>
        <w:t>Surat Al Baqarah Ayat 219</w:t>
      </w:r>
    </w:p>
    <w:p>
      <w:pPr>
        <w:spacing w:after="0" w:line="312" w:lineRule="auto"/>
        <w:ind w:left="665"/>
        <w:contextualSpacing/>
        <w:jc w:val="both"/>
        <w:rPr>
          <w:rFonts w:asciiTheme="majorBidi" w:hAnsiTheme="majorBidi" w:cstheme="majorBidi"/>
        </w:rPr>
      </w:pPr>
    </w:p>
    <w:p>
      <w:pPr>
        <w:bidi/>
        <w:spacing w:after="0" w:line="240" w:lineRule="auto"/>
        <w:ind w:left="-29" w:leftChars="-13" w:right="709" w:firstLine="1"/>
        <w:contextualSpacing/>
        <w:jc w:val="both"/>
        <w:rPr>
          <w:rFonts w:ascii="Traditional Arabic" w:hAnsi="Traditional Arabic" w:cs="Traditional Arabic"/>
          <w:sz w:val="32"/>
          <w:szCs w:val="32"/>
          <w:lang w:val="en-US"/>
        </w:rPr>
      </w:pPr>
      <w:r>
        <w:rPr>
          <w:rFonts w:ascii="Traditional Arabic" w:hAnsi="Traditional Arabic" w:cs="Traditional Arabic"/>
          <w:sz w:val="32"/>
          <w:szCs w:val="32"/>
          <w:lang w:val="en-US"/>
        </w:rPr>
        <w:t>يَسۡئَلُونَكَ عَنِ ٱلۡخَمۡرِ وَٱلۡمَيۡسِرِۖ قُلۡ فِيهِمَآ إِثۡمࣱ كَبِيرࣱ وَمَنَٰفِعُ لِلنَّاسِ وَإِثۡمُهُمَآ أَكۡبَرُ مِن نَّفۡعِهِمَاۗ وَيَسۡئَلُونَكَ مَاذَا يُنفِقُونَۖ قُلِ ٱلۡعَفۡوَۗ كَذَٰلِكَ يُبَيِّنُ ٱللَّهُ لَكُمُ ٱلۡأٓيَٰتِ لَعَلَّكُمۡ تَتَفَكَّرُونَ</w:t>
      </w:r>
    </w:p>
    <w:p>
      <w:pPr>
        <w:spacing w:after="0" w:line="240" w:lineRule="auto"/>
        <w:ind w:left="1417" w:leftChars="644" w:firstLine="1"/>
        <w:contextualSpacing/>
        <w:jc w:val="both"/>
        <w:rPr>
          <w:rFonts w:asciiTheme="majorBidi" w:hAnsiTheme="majorBidi" w:cstheme="majorBidi"/>
        </w:rPr>
      </w:pPr>
      <w:r>
        <w:rPr>
          <w:rFonts w:asciiTheme="majorBidi" w:hAnsiTheme="majorBidi" w:cstheme="majorBidi"/>
          <w:lang w:val="en-US"/>
        </w:rPr>
        <w:t>“</w:t>
      </w:r>
      <w:r>
        <w:rPr>
          <w:rFonts w:asciiTheme="majorBidi" w:hAnsiTheme="majorBidi" w:cstheme="majorBidi"/>
          <w:i/>
          <w:iCs/>
          <w:lang w:val="en-US"/>
        </w:rPr>
        <w:t>Mereka menanyakan kepadamu (Muhammad) tentang khamar dan judi. Katakanlah, “Pada keduanya terdapat dosa besar dan beberapa manfaat bagi manusia. Tetapi dosanya lebih besar daripada manfaatnya.” Dan mereka menanyakan kepadamu (tentang) apa yang (harus) mereka infakkan. Katakanlah, “Kelebihan (dari apa yang diperlukan).” Demikianlah Allah menerangkan Ayat-Ayat-Nya kepadamu agar kamu memikirkan”.</w:t>
      </w:r>
      <w:r>
        <w:rPr>
          <w:rFonts w:asciiTheme="majorBidi" w:hAnsiTheme="majorBidi" w:cstheme="majorBidi"/>
          <w:lang w:val="en-US"/>
        </w:rPr>
        <w:t xml:space="preserve"> (Al Baqarah:2:219)</w:t>
      </w:r>
      <w:r>
        <w:rPr>
          <w:rStyle w:val="17"/>
          <w:rFonts w:asciiTheme="majorBidi" w:hAnsiTheme="majorBidi" w:cstheme="majorBidi"/>
          <w:lang w:val="en-US"/>
        </w:rPr>
        <w:footnoteReference w:id="69"/>
      </w:r>
    </w:p>
    <w:p>
      <w:pPr>
        <w:spacing w:after="0" w:line="312" w:lineRule="auto"/>
        <w:ind w:left="1417" w:leftChars="644" w:firstLine="1"/>
        <w:contextualSpacing/>
        <w:jc w:val="both"/>
        <w:rPr>
          <w:rFonts w:asciiTheme="majorBidi" w:hAnsiTheme="majorBidi" w:cstheme="majorBidi"/>
        </w:rPr>
      </w:pPr>
    </w:p>
    <w:p>
      <w:pPr>
        <w:spacing w:after="0" w:line="312" w:lineRule="auto"/>
        <w:ind w:left="440" w:leftChars="200" w:firstLine="411" w:firstLineChars="187"/>
        <w:contextualSpacing/>
        <w:jc w:val="both"/>
        <w:rPr>
          <w:rFonts w:asciiTheme="majorBidi" w:hAnsiTheme="majorBidi" w:cstheme="majorBidi"/>
        </w:rPr>
      </w:pPr>
      <w:r>
        <w:rPr>
          <w:rFonts w:asciiTheme="majorBidi" w:hAnsiTheme="majorBidi" w:cstheme="majorBidi"/>
          <w:lang w:val="en-US"/>
        </w:rPr>
        <w:t>Ke-2 Ayat tersebut menjelaskan mengenai keharaman minuman khamr, terdapat dosa besar apabila yang mengonsumsinya. Perkara tersebut merupakan perbuatan keji dan termasuk perbuatan setan.</w:t>
      </w:r>
    </w:p>
    <w:p>
      <w:pPr>
        <w:spacing w:after="0" w:line="312" w:lineRule="auto"/>
        <w:ind w:left="440" w:leftChars="200" w:firstLine="411" w:firstLineChars="187"/>
        <w:contextualSpacing/>
        <w:jc w:val="both"/>
        <w:rPr>
          <w:rFonts w:asciiTheme="majorBidi" w:hAnsiTheme="majorBidi" w:cstheme="majorBidi"/>
          <w:lang w:val="en-US"/>
        </w:rPr>
      </w:pPr>
      <w:r>
        <w:rPr>
          <w:rFonts w:asciiTheme="majorBidi" w:hAnsiTheme="majorBidi" w:cstheme="majorBidi"/>
        </w:rPr>
        <w:t xml:space="preserve">Penjalasan dalam </w:t>
      </w:r>
      <w:r>
        <w:rPr>
          <w:rFonts w:asciiTheme="majorBidi" w:hAnsiTheme="majorBidi" w:cstheme="majorBidi"/>
          <w:lang w:val="en-US"/>
        </w:rPr>
        <w:t xml:space="preserve">Kitab </w:t>
      </w:r>
      <w:r>
        <w:rPr>
          <w:rFonts w:asciiTheme="majorBidi" w:hAnsiTheme="majorBidi" w:cstheme="majorBidi"/>
        </w:rPr>
        <w:t xml:space="preserve">Tafsir Jalalain, </w:t>
      </w:r>
      <w:r>
        <w:rPr>
          <w:rFonts w:asciiTheme="majorBidi" w:hAnsiTheme="majorBidi" w:cstheme="majorBidi"/>
          <w:lang w:val="en-US"/>
        </w:rPr>
        <w:t>Kitab</w:t>
      </w:r>
      <w:r>
        <w:rPr>
          <w:rFonts w:asciiTheme="majorBidi" w:hAnsiTheme="majorBidi" w:cstheme="majorBidi"/>
        </w:rPr>
        <w:t xml:space="preserve"> Tafsir karangan Imam Jalaluddin Al Mahalli dan Imam Jalaladin Al Suyuti dijelaskan dalam kalimat </w:t>
      </w:r>
      <w:r>
        <w:rPr>
          <w:rFonts w:cs="Times New Roman" w:asciiTheme="majorBidi" w:hAnsiTheme="majorBidi"/>
          <w:rtl/>
          <w:lang w:val="en-US"/>
        </w:rPr>
        <w:t>یَـٰۤأَیُّهَا</w:t>
      </w:r>
      <w:r>
        <w:rPr>
          <w:rFonts w:asciiTheme="majorBidi" w:hAnsiTheme="majorBidi" w:cstheme="majorBidi"/>
        </w:rPr>
        <w:t xml:space="preserve"> </w:t>
      </w:r>
      <w:r>
        <w:rPr>
          <w:rFonts w:cs="Times New Roman" w:asciiTheme="majorBidi" w:hAnsiTheme="majorBidi"/>
          <w:rtl/>
          <w:lang w:val="en-US"/>
        </w:rPr>
        <w:t>ٱلَّذِینَ</w:t>
      </w:r>
      <w:r>
        <w:rPr>
          <w:rFonts w:asciiTheme="majorBidi" w:hAnsiTheme="majorBidi" w:cstheme="majorBidi"/>
        </w:rPr>
        <w:t xml:space="preserve"> </w:t>
      </w:r>
      <w:r>
        <w:rPr>
          <w:rFonts w:cs="Times New Roman" w:asciiTheme="majorBidi" w:hAnsiTheme="majorBidi"/>
          <w:rtl/>
          <w:lang w:val="en-US"/>
        </w:rPr>
        <w:t>ءَامَنُوۤا۟</w:t>
      </w:r>
      <w:r>
        <w:rPr>
          <w:rFonts w:asciiTheme="majorBidi" w:hAnsiTheme="majorBidi" w:cstheme="majorBidi"/>
        </w:rPr>
        <w:t xml:space="preserve"> </w:t>
      </w:r>
      <w:r>
        <w:rPr>
          <w:rFonts w:cs="Times New Roman" w:asciiTheme="majorBidi" w:hAnsiTheme="majorBidi"/>
          <w:rtl/>
          <w:lang w:val="en-US"/>
        </w:rPr>
        <w:t>إِنَّمَا</w:t>
      </w:r>
      <w:r>
        <w:rPr>
          <w:rFonts w:asciiTheme="majorBidi" w:hAnsiTheme="majorBidi" w:cstheme="majorBidi"/>
        </w:rPr>
        <w:t xml:space="preserve"> </w:t>
      </w:r>
      <w:r>
        <w:rPr>
          <w:rFonts w:cs="Times New Roman" w:asciiTheme="majorBidi" w:hAnsiTheme="majorBidi"/>
          <w:rtl/>
          <w:lang w:val="en-US"/>
        </w:rPr>
        <w:t>ٱلۡخَمۡرُ</w:t>
      </w:r>
      <w:r>
        <w:rPr>
          <w:rFonts w:asciiTheme="majorBidi" w:hAnsiTheme="majorBidi" w:cstheme="majorBidi"/>
        </w:rPr>
        <w:t xml:space="preserve"> yang ditafsiri dalam kalimat tersebut yaitu dengan kalimat </w:t>
      </w:r>
      <w:r>
        <w:rPr>
          <w:rFonts w:cs="Times New Roman" w:asciiTheme="majorBidi" w:hAnsiTheme="majorBidi"/>
          <w:rtl/>
          <w:lang w:val="en-US"/>
        </w:rPr>
        <w:t>الْمُسْكِر</w:t>
      </w:r>
      <w:r>
        <w:rPr>
          <w:rFonts w:asciiTheme="majorBidi" w:hAnsiTheme="majorBidi" w:cstheme="majorBidi"/>
        </w:rPr>
        <w:t xml:space="preserve"> </w:t>
      </w:r>
      <w:r>
        <w:rPr>
          <w:rFonts w:cs="Times New Roman" w:asciiTheme="majorBidi" w:hAnsiTheme="majorBidi"/>
          <w:rtl/>
          <w:lang w:val="en-US"/>
        </w:rPr>
        <w:t>الَّذِي</w:t>
      </w:r>
      <w:r>
        <w:rPr>
          <w:rFonts w:asciiTheme="majorBidi" w:hAnsiTheme="majorBidi" w:cstheme="majorBidi"/>
        </w:rPr>
        <w:t xml:space="preserve"> </w:t>
      </w:r>
      <w:r>
        <w:rPr>
          <w:rFonts w:cs="Times New Roman" w:asciiTheme="majorBidi" w:hAnsiTheme="majorBidi"/>
          <w:rtl/>
          <w:lang w:val="en-US"/>
        </w:rPr>
        <w:t>يُخَامِر</w:t>
      </w:r>
      <w:r>
        <w:rPr>
          <w:rFonts w:asciiTheme="majorBidi" w:hAnsiTheme="majorBidi" w:cstheme="majorBidi"/>
        </w:rPr>
        <w:t xml:space="preserve"> </w:t>
      </w:r>
      <w:r>
        <w:rPr>
          <w:rFonts w:cs="Times New Roman" w:asciiTheme="majorBidi" w:hAnsiTheme="majorBidi"/>
          <w:rtl/>
          <w:lang w:val="en-US"/>
        </w:rPr>
        <w:t>الْعَقْل</w:t>
      </w:r>
      <w:r>
        <w:rPr>
          <w:rFonts w:asciiTheme="majorBidi" w:hAnsiTheme="majorBidi" w:cstheme="majorBidi"/>
        </w:rPr>
        <w:t xml:space="preserve"> yang artinya sesunggunya minuman khamar maksudnya minuman yang memabukkan yang dapat merusak akal. </w:t>
      </w:r>
      <w:r>
        <w:rPr>
          <w:rFonts w:asciiTheme="majorBidi" w:hAnsiTheme="majorBidi" w:cstheme="majorBidi"/>
          <w:lang w:val="en-US"/>
        </w:rPr>
        <w:t xml:space="preserve">Hal ini menjadi analogi atau persamaan narkotika dengan minuman khamar yang sama-sama memabukkan dan merusak akal bagi siapa saja yang mengonsumsi. Sehingga hukumnya sama yaitu haram dikonsumsi. </w:t>
      </w:r>
    </w:p>
    <w:p>
      <w:pPr>
        <w:spacing w:after="0" w:line="312" w:lineRule="auto"/>
        <w:ind w:left="440" w:leftChars="200" w:firstLine="411" w:firstLineChars="187"/>
        <w:contextualSpacing/>
        <w:jc w:val="both"/>
        <w:rPr>
          <w:rFonts w:asciiTheme="majorBidi" w:hAnsiTheme="majorBidi" w:cstheme="majorBidi"/>
          <w:lang w:val="en-US"/>
        </w:rPr>
      </w:pPr>
      <w:r>
        <w:rPr>
          <w:rFonts w:asciiTheme="majorBidi" w:hAnsiTheme="majorBidi" w:cstheme="majorBidi"/>
          <w:lang w:val="en-US"/>
        </w:rPr>
        <w:t>Dalam penelitian ada beberapa yang perlu dianalisis antara lain sebagai berikut:</w:t>
      </w:r>
    </w:p>
    <w:p>
      <w:pPr>
        <w:numPr>
          <w:ilvl w:val="0"/>
          <w:numId w:val="47"/>
        </w:numPr>
        <w:spacing w:after="0" w:line="312" w:lineRule="auto"/>
        <w:ind w:left="710" w:leftChars="200" w:hanging="270" w:hangingChars="123"/>
        <w:contextualSpacing/>
        <w:jc w:val="both"/>
        <w:rPr>
          <w:rFonts w:asciiTheme="majorBidi" w:hAnsiTheme="majorBidi" w:cstheme="majorBidi"/>
        </w:rPr>
      </w:pPr>
      <w:r>
        <w:rPr>
          <w:rFonts w:asciiTheme="majorBidi" w:hAnsiTheme="majorBidi" w:cstheme="majorBidi"/>
          <w:lang w:val="en-US"/>
        </w:rPr>
        <w:t>Hukuman Narkotika MU dalam Hukum Pidana Islam</w:t>
      </w:r>
    </w:p>
    <w:p>
      <w:pPr>
        <w:spacing w:after="0" w:line="312" w:lineRule="auto"/>
        <w:ind w:left="711" w:firstLine="565"/>
        <w:contextualSpacing/>
        <w:jc w:val="both"/>
        <w:rPr>
          <w:rFonts w:asciiTheme="majorBidi" w:hAnsiTheme="majorBidi" w:cstheme="majorBidi"/>
        </w:rPr>
      </w:pPr>
      <w:r>
        <w:rPr>
          <w:rFonts w:ascii="Times New Roman" w:hAnsi="Times New Roman" w:eastAsia="Times New Roman" w:cs="Times New Roman"/>
          <w:kern w:val="0"/>
          <w:lang w:val="en-US"/>
          <w14:ligatures w14:val="none"/>
        </w:rPr>
        <w:t>Istilah narkotika dalam Islam berasal dari kata khaddara-yukhaddiru-takhdirun, yang berarti kehilangan perasaan, mabuk, tidak sadar, atau gelap. Secara istilah, narkotika adalah obat yang memengaruhi tubuh dan pikiran, menyebabkan mabuk atau gangguan jiwa setelah dikonsumsi</w:t>
      </w:r>
      <w:r>
        <w:rPr>
          <w:rFonts w:eastAsia="SimSun" w:asciiTheme="majorBidi" w:hAnsiTheme="majorBidi" w:cstheme="majorBidi"/>
        </w:rPr>
        <w:t>.</w:t>
      </w:r>
      <w:r>
        <w:rPr>
          <w:rStyle w:val="17"/>
          <w:rFonts w:eastAsia="SimSun" w:asciiTheme="majorBidi" w:hAnsiTheme="majorBidi" w:cstheme="majorBidi"/>
          <w:lang w:val="en-US"/>
        </w:rPr>
        <w:footnoteReference w:id="70"/>
      </w:r>
    </w:p>
    <w:p>
      <w:pPr>
        <w:spacing w:after="0" w:line="312" w:lineRule="auto"/>
        <w:ind w:left="660" w:leftChars="300" w:firstLine="440" w:firstLineChars="200"/>
        <w:contextualSpacing/>
        <w:jc w:val="both"/>
        <w:rPr>
          <w:rFonts w:eastAsia="SimSun" w:asciiTheme="majorBidi" w:hAnsiTheme="majorBidi" w:cstheme="majorBidi"/>
          <w:lang w:val="en-US"/>
        </w:rPr>
      </w:pPr>
      <w:r>
        <w:rPr>
          <w:rFonts w:eastAsia="SimSun" w:asciiTheme="majorBidi" w:hAnsiTheme="majorBidi" w:cstheme="majorBidi"/>
        </w:rPr>
        <w:t xml:space="preserve">Dalam hukum Islam hukuman narkotika menjadi pembahasan beberapa para Ulama’, karena efek yang memabukan dan merusak akal, para Ulama’ sepakat narkotika diqiyaskan dengan minuman khamr karena efek memabukan, merusak akal dan kesehatan. </w:t>
      </w:r>
      <w:r>
        <w:rPr>
          <w:rFonts w:eastAsia="SimSun" w:asciiTheme="majorBidi" w:hAnsiTheme="majorBidi" w:cstheme="majorBidi"/>
          <w:lang w:val="en-US"/>
        </w:rPr>
        <w:t>Rujukan Ayat mengenai narkotika di qiyaskan dengan khamr salah satunya diambil dari Surat Al Maidah Ayat 90 yang berbunyi:</w:t>
      </w:r>
    </w:p>
    <w:p>
      <w:pPr>
        <w:bidi/>
        <w:spacing w:after="0" w:line="240" w:lineRule="auto"/>
        <w:ind w:left="-29" w:leftChars="-13" w:right="709"/>
        <w:contextualSpacing/>
        <w:jc w:val="both"/>
        <w:rPr>
          <w:rFonts w:ascii="Traditional Arabic" w:hAnsi="Traditional Arabic" w:eastAsia="SimSun" w:cs="Traditional Arabic"/>
          <w:sz w:val="32"/>
          <w:szCs w:val="32"/>
        </w:rPr>
      </w:pPr>
      <w:r>
        <w:rPr>
          <w:rFonts w:eastAsia="SimSun" w:asciiTheme="majorBidi" w:hAnsiTheme="majorBidi" w:cstheme="majorBidi"/>
          <w:lang w:val="en-US"/>
        </w:rPr>
        <w:t>يَآ</w:t>
      </w:r>
      <w:r>
        <w:rPr>
          <w:rFonts w:ascii="Traditional Arabic" w:hAnsi="Traditional Arabic" w:eastAsia="SimSun" w:cs="Traditional Arabic"/>
          <w:sz w:val="32"/>
          <w:szCs w:val="32"/>
          <w:lang w:val="en-US"/>
        </w:rPr>
        <w:t>أَيُّهَا ٱلَّذِينَ ءَامَنُوٓاْ إِنَّمَا ٱلۡخَمۡرُ وَٱلۡمَيۡسِرُ وَٱلۡأَنصَابُ وَٱلۡأَزۡلَٰمُ رِجۡسࣱ مِّنۡ عَمَلِ ٱلشَّيۡطَٰنِ فَٱجۡتَنِبُوهُ لَعَلَّكُمۡ تُفۡلِحُونَ</w:t>
      </w:r>
    </w:p>
    <w:p>
      <w:pPr>
        <w:spacing w:after="0" w:line="240" w:lineRule="auto"/>
        <w:ind w:left="1133" w:leftChars="515" w:firstLine="1"/>
        <w:contextualSpacing/>
        <w:jc w:val="both"/>
        <w:rPr>
          <w:rFonts w:eastAsia="__Inter_Fallback_9d3317" w:asciiTheme="majorBidi" w:hAnsiTheme="majorBidi" w:cstheme="majorBidi"/>
          <w:shd w:val="clear" w:color="auto" w:fill="FFFFFF"/>
        </w:rPr>
      </w:pPr>
      <w:r>
        <w:rPr>
          <w:rFonts w:eastAsia="SimSun" w:asciiTheme="majorBidi" w:hAnsiTheme="majorBidi" w:cstheme="majorBidi"/>
          <w:i/>
          <w:iCs/>
          <w:lang w:val="en-US"/>
        </w:rPr>
        <w:t xml:space="preserve"> “</w:t>
      </w:r>
      <w:r>
        <w:rPr>
          <w:rFonts w:eastAsia="__Inter_Fallback_9d3317" w:asciiTheme="majorBidi" w:hAnsiTheme="majorBidi" w:cstheme="majorBidi"/>
          <w:i/>
          <w:iCs/>
          <w:shd w:val="clear" w:color="auto" w:fill="FFFFFF"/>
        </w:rPr>
        <w:t xml:space="preserve">Wahai orang-orang yang beriman, sesungguhnya minuman keras, berjudi, (berkurban untuk) berhala, dan mengundi nasib dengan anak panah adalah perbuatan keji (dan) termasuk perbuatan setan. Maka, jauhilah (perbuatan-perbuatan) itu agar </w:t>
      </w:r>
      <w:r>
        <w:rPr>
          <w:rFonts w:eastAsia="__Inter_Fallback_9d3317" w:asciiTheme="majorBidi" w:hAnsiTheme="majorBidi" w:cstheme="majorBidi"/>
          <w:i/>
          <w:iCs/>
          <w:shd w:val="clear" w:color="auto" w:fill="FFFFFF"/>
          <w:lang w:val="en-US"/>
        </w:rPr>
        <w:t xml:space="preserve">kamu </w:t>
      </w:r>
      <w:r>
        <w:rPr>
          <w:rFonts w:eastAsia="__Inter_Fallback_9d3317" w:asciiTheme="majorBidi" w:hAnsiTheme="majorBidi" w:cstheme="majorBidi"/>
          <w:i/>
          <w:iCs/>
          <w:shd w:val="clear" w:color="auto" w:fill="FFFFFF"/>
        </w:rPr>
        <w:t>beruntung.</w:t>
      </w:r>
      <w:r>
        <w:rPr>
          <w:rFonts w:eastAsia="__Inter_Fallback_9d3317" w:asciiTheme="majorBidi" w:hAnsiTheme="majorBidi" w:cstheme="majorBidi"/>
          <w:i/>
          <w:iCs/>
          <w:shd w:val="clear" w:color="auto" w:fill="FFFFFF"/>
          <w:lang w:val="en-US"/>
        </w:rPr>
        <w:t xml:space="preserve"> </w:t>
      </w:r>
      <w:r>
        <w:rPr>
          <w:rFonts w:eastAsia="__Inter_Fallback_9d3317" w:asciiTheme="majorBidi" w:hAnsiTheme="majorBidi" w:cstheme="majorBidi"/>
          <w:shd w:val="clear" w:color="auto" w:fill="FFFFFF"/>
          <w:lang w:val="en-US"/>
        </w:rPr>
        <w:t>(Al Maidah:5:90)</w:t>
      </w:r>
      <w:r>
        <w:rPr>
          <w:rStyle w:val="17"/>
          <w:rFonts w:eastAsia="__Inter_Fallback_9d3317" w:asciiTheme="majorBidi" w:hAnsiTheme="majorBidi" w:cstheme="majorBidi"/>
          <w:shd w:val="clear" w:color="auto" w:fill="FFFFFF"/>
          <w:lang w:val="en-US"/>
        </w:rPr>
        <w:footnoteReference w:id="71"/>
      </w:r>
    </w:p>
    <w:p>
      <w:pPr>
        <w:spacing w:after="0" w:line="312" w:lineRule="auto"/>
        <w:ind w:left="660" w:leftChars="300" w:firstLine="440" w:firstLineChars="200"/>
        <w:contextualSpacing/>
        <w:jc w:val="both"/>
        <w:rPr>
          <w:rFonts w:eastAsia="__Inter_Fallback_9d3317" w:asciiTheme="majorBidi" w:hAnsiTheme="majorBidi" w:cstheme="majorBidi"/>
          <w:shd w:val="clear" w:color="auto" w:fill="FFFFFF"/>
        </w:rPr>
      </w:pPr>
    </w:p>
    <w:p>
      <w:pPr>
        <w:spacing w:after="0" w:line="312" w:lineRule="auto"/>
        <w:ind w:left="660" w:leftChars="300" w:firstLine="440" w:firstLineChars="200"/>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rPr>
        <w:t>Dalam Ayat di atas para Ulama’ menganalogikan (</w:t>
      </w:r>
      <w:r>
        <w:rPr>
          <w:rFonts w:eastAsia="__Inter_Fallback_9d3317" w:asciiTheme="majorBidi" w:hAnsiTheme="majorBidi" w:cstheme="majorBidi"/>
          <w:i/>
          <w:iCs/>
          <w:shd w:val="clear" w:color="auto" w:fill="FFFFFF"/>
        </w:rPr>
        <w:t>qiyas</w:t>
      </w:r>
      <w:r>
        <w:rPr>
          <w:rFonts w:eastAsia="__Inter_Fallback_9d3317" w:asciiTheme="majorBidi" w:hAnsiTheme="majorBidi" w:cstheme="majorBidi"/>
          <w:shd w:val="clear" w:color="auto" w:fill="FFFFFF"/>
        </w:rPr>
        <w:t xml:space="preserve">) narkotika dengan khamr karena efek yang memabukan dan menimbulkan efek yang lebih parah dari khamr. </w:t>
      </w:r>
      <w:r>
        <w:rPr>
          <w:rFonts w:eastAsia="__Inter_Fallback_9d3317" w:asciiTheme="majorBidi" w:hAnsiTheme="majorBidi" w:cstheme="majorBidi"/>
          <w:shd w:val="clear" w:color="auto" w:fill="FFFFFF"/>
          <w:lang w:val="en-US"/>
        </w:rPr>
        <w:t xml:space="preserve">Untuk itu hukum narkotika adalah haram kecuali dipergunakan untuk medis kesehatan. </w:t>
      </w:r>
    </w:p>
    <w:p>
      <w:pPr>
        <w:spacing w:after="0" w:line="312" w:lineRule="auto"/>
        <w:ind w:left="660" w:leftChars="300" w:firstLine="440" w:firstLineChars="200"/>
        <w:contextualSpacing/>
        <w:jc w:val="both"/>
        <w:rPr>
          <w:rFonts w:eastAsia="SimSun" w:asciiTheme="majorBidi" w:hAnsiTheme="majorBidi" w:cstheme="majorBidi"/>
        </w:rPr>
      </w:pPr>
      <w:r>
        <w:rPr>
          <w:rFonts w:eastAsia="SimSun" w:asciiTheme="majorBidi" w:hAnsiTheme="majorBidi" w:cstheme="majorBidi"/>
        </w:rPr>
        <w:t>Terkait minuman yang memabukkan, mazhab jumhur ulama’ muslim yang terdiri dari sahabat, Tabi’in, dan seluruh Ulama’ saat ini menyatakan bahwa sesungguhnya setiap yang memabukkan itu disebut khamr, sedangkan setiap khamr itu haram hukumnya meskipun kadarnya sedikit. Yang berpendapat demikian adalah Ulama’ Malikiyah, Syafi’iyah, dan Hanabilah.</w:t>
      </w:r>
      <w:r>
        <w:rPr>
          <w:rStyle w:val="17"/>
          <w:rFonts w:eastAsia="SimSun" w:asciiTheme="majorBidi" w:hAnsiTheme="majorBidi" w:cstheme="majorBidi"/>
        </w:rPr>
        <w:footnoteReference w:id="72"/>
      </w:r>
    </w:p>
    <w:p>
      <w:pPr>
        <w:pStyle w:val="11"/>
        <w:tabs>
          <w:tab w:val="left" w:pos="440"/>
        </w:tabs>
        <w:spacing w:beforeAutospacing="0" w:afterAutospacing="0" w:line="312" w:lineRule="auto"/>
        <w:ind w:left="660" w:leftChars="300" w:firstLine="440" w:firstLineChars="200"/>
        <w:jc w:val="both"/>
        <w:rPr>
          <w:sz w:val="22"/>
          <w:szCs w:val="22"/>
        </w:rPr>
      </w:pPr>
      <w:r>
        <w:rPr>
          <w:sz w:val="22"/>
          <w:szCs w:val="22"/>
          <w:lang w:val="id-ID"/>
        </w:rPr>
        <w:t xml:space="preserve">Dalam perspektif </w:t>
      </w:r>
      <w:r>
        <w:rPr>
          <w:rStyle w:val="16"/>
          <w:sz w:val="22"/>
          <w:szCs w:val="22"/>
          <w:lang w:val="id-ID"/>
        </w:rPr>
        <w:t>fikih muamalah</w:t>
      </w:r>
      <w:r>
        <w:rPr>
          <w:sz w:val="22"/>
          <w:szCs w:val="22"/>
          <w:lang w:val="id-ID"/>
        </w:rPr>
        <w:t xml:space="preserve">, suatu barang yang hukumnya haram karena menyebabkan kerusakan besar terhadap akal, agama, jiwa, harta, atau keturunan, tidak boleh diproduksi maupun diperjualbelikan. </w:t>
      </w:r>
      <w:r>
        <w:rPr>
          <w:sz w:val="22"/>
          <w:szCs w:val="22"/>
        </w:rPr>
        <w:t>Islam melarang berbagai bentuk usaha yang berkaitan dengan hal-hal haram, seperti:</w:t>
      </w:r>
    </w:p>
    <w:p>
      <w:pPr>
        <w:pStyle w:val="11"/>
        <w:numPr>
          <w:ilvl w:val="0"/>
          <w:numId w:val="48"/>
        </w:numPr>
        <w:tabs>
          <w:tab w:val="clear" w:pos="425"/>
        </w:tabs>
        <w:spacing w:beforeAutospacing="0" w:afterAutospacing="0" w:line="312" w:lineRule="auto"/>
        <w:ind w:left="885" w:hanging="225"/>
        <w:jc w:val="both"/>
        <w:rPr>
          <w:sz w:val="22"/>
          <w:szCs w:val="22"/>
        </w:rPr>
      </w:pPr>
      <w:r>
        <w:rPr>
          <w:rStyle w:val="19"/>
          <w:b w:val="0"/>
          <w:bCs w:val="0"/>
          <w:sz w:val="22"/>
          <w:szCs w:val="22"/>
        </w:rPr>
        <w:t>Perdagangan minuman keras (khamr)</w:t>
      </w:r>
      <w:r>
        <w:rPr>
          <w:sz w:val="22"/>
          <w:szCs w:val="22"/>
        </w:rPr>
        <w:t>: Larangan ini berlaku tidak hanya bagi penjual dan peminum, tetapi juga semua pihak yang terlibat seperti pengangkut, pemesan, pelayan, dan lainnya. Umat Islam tidak diperbolehkan mengelola usaha yang memproduksi, mengimpor, mengekspor, atau menjual alkohol.</w:t>
      </w:r>
    </w:p>
    <w:p>
      <w:pPr>
        <w:pStyle w:val="11"/>
        <w:numPr>
          <w:ilvl w:val="0"/>
          <w:numId w:val="48"/>
        </w:numPr>
        <w:tabs>
          <w:tab w:val="clear" w:pos="425"/>
        </w:tabs>
        <w:spacing w:beforeAutospacing="0" w:afterAutospacing="0" w:line="312" w:lineRule="auto"/>
        <w:ind w:left="885" w:hanging="225"/>
        <w:jc w:val="both"/>
        <w:rPr>
          <w:rFonts w:asciiTheme="majorBidi" w:hAnsiTheme="majorBidi" w:cstheme="majorBidi"/>
        </w:rPr>
      </w:pPr>
      <w:r>
        <w:rPr>
          <w:rStyle w:val="19"/>
          <w:b w:val="0"/>
          <w:bCs w:val="0"/>
          <w:sz w:val="22"/>
          <w:szCs w:val="22"/>
        </w:rPr>
        <w:t>Perdagangan narkotika dan obat-obatan terlarang</w:t>
      </w:r>
      <w:r>
        <w:rPr>
          <w:sz w:val="22"/>
          <w:szCs w:val="22"/>
        </w:rPr>
        <w:t xml:space="preserve">: Termasuk di dalamnya ganja, kokain, opium, morfin, dan sejenisnya. Termasuk pendapat </w:t>
      </w:r>
      <w:r>
        <w:fldChar w:fldCharType="begin"/>
      </w:r>
      <w:r>
        <w:instrText xml:space="preserve"> HYPERLINK "https://chatgpt.com?q=Ibnu%20Taimiyah" </w:instrText>
      </w:r>
      <w:r>
        <w:fldChar w:fldCharType="separate"/>
      </w:r>
      <w:r>
        <w:rPr>
          <w:rStyle w:val="18"/>
          <w:color w:val="auto"/>
          <w:sz w:val="22"/>
          <w:szCs w:val="22"/>
          <w:u w:val="none"/>
        </w:rPr>
        <w:t>Ibnu Taimiyah</w:t>
      </w:r>
      <w:r>
        <w:rPr>
          <w:rStyle w:val="18"/>
          <w:color w:val="auto"/>
          <w:sz w:val="22"/>
          <w:szCs w:val="22"/>
          <w:u w:val="none"/>
        </w:rPr>
        <w:fldChar w:fldCharType="end"/>
      </w:r>
      <w:r>
        <w:rPr>
          <w:sz w:val="22"/>
          <w:szCs w:val="22"/>
        </w:rPr>
        <w:t>, dengan tegas mengharamkan jenis-jenis zat ini karena efek memabukkan dan bahayanya terhadap akal dan kesehatan.</w:t>
      </w:r>
      <w:r>
        <w:rPr>
          <w:rStyle w:val="17"/>
          <w:sz w:val="22"/>
          <w:szCs w:val="22"/>
        </w:rPr>
        <w:footnoteReference w:id="73"/>
      </w:r>
    </w:p>
    <w:p>
      <w:pPr>
        <w:pStyle w:val="11"/>
        <w:bidi/>
        <w:spacing w:line="240" w:lineRule="auto"/>
        <w:ind w:left="-29" w:leftChars="-13" w:right="851" w:firstLine="2"/>
        <w:jc w:val="both"/>
        <w:rPr>
          <w:rFonts w:ascii="Traditional Arabic" w:hAnsi="Traditional Arabic" w:cs="Traditional Arabic"/>
          <w:sz w:val="32"/>
          <w:szCs w:val="32"/>
        </w:rPr>
      </w:pPr>
      <w:r>
        <w:rPr>
          <w:rFonts w:ascii="Traditional Arabic" w:hAnsi="Traditional Arabic" w:cs="Traditional Arabic"/>
          <w:sz w:val="32"/>
          <w:szCs w:val="32"/>
        </w:rPr>
        <w:t>ٱلْـحَشِيشَةُ أَشَدُّ تَحْرِيمًا مِـنَ ٱلْـخَمْرِ، وَهِيَ أَخْبَثُ مِـنَ ٱلْـخَمْرِ، وَهِيَ أَفْسَدُ لِلْعَقْلِ وَٱلدِّينِ مِـنَ ٱلْـخَمْرِ، حَتَّى قَالَ مَنْ قَالَ مِنَ ٱلْفُقَهَاءِ: إِنَّهَا تُورِثُ ٱلنِّفَاقَ</w:t>
      </w:r>
    </w:p>
    <w:p>
      <w:pPr>
        <w:pStyle w:val="11"/>
        <w:spacing w:beforeAutospacing="0" w:afterAutospacing="0" w:line="312" w:lineRule="auto"/>
        <w:ind w:left="1320" w:leftChars="600"/>
        <w:jc w:val="both"/>
        <w:rPr>
          <w:i/>
          <w:iCs/>
          <w:sz w:val="22"/>
          <w:szCs w:val="22"/>
        </w:rPr>
      </w:pPr>
      <w:r>
        <w:rPr>
          <w:i/>
          <w:iCs/>
          <w:sz w:val="22"/>
          <w:szCs w:val="22"/>
        </w:rPr>
        <w:t>“Ḥasyisyah lebih haram dari khamr, lebih buruk dari khamr, dan lebih merusak akal dan agama daripada khamr. Bahkan ada di antara fuqaha yang mengatakan bahwa ia menyebabkan kemunafikan.”</w:t>
      </w:r>
      <w:r>
        <w:rPr>
          <w:rStyle w:val="17"/>
          <w:i/>
          <w:iCs/>
          <w:sz w:val="22"/>
          <w:szCs w:val="22"/>
        </w:rPr>
        <w:footnoteReference w:id="74"/>
      </w:r>
    </w:p>
    <w:p>
      <w:pPr>
        <w:pStyle w:val="11"/>
        <w:spacing w:beforeAutospacing="0" w:afterAutospacing="0" w:line="312" w:lineRule="auto"/>
        <w:ind w:left="880" w:leftChars="400" w:firstLine="440" w:firstLineChars="200"/>
        <w:jc w:val="both"/>
        <w:rPr>
          <w:sz w:val="22"/>
          <w:szCs w:val="22"/>
        </w:rPr>
      </w:pPr>
      <w:r>
        <w:rPr>
          <w:sz w:val="22"/>
          <w:szCs w:val="22"/>
        </w:rPr>
        <w:t>Penggunaan narkotika dapat memicu tindakan kriminal dan memberikan dampak negatif yang serius bagi penggunanya, seperti gangguan kesehatan hingga mengakibatkan kematian. Hal ini tergolong sebagai perbuatan yang merusak serta termasuk tindakan membinasakan diri sendiri. Oleh karena itu, aktivitas bisnis dalam bentuk peredaran narkoba secara ilegal hukumnya haram.</w:t>
      </w:r>
    </w:p>
    <w:p>
      <w:pPr>
        <w:spacing w:after="0" w:line="312" w:lineRule="auto"/>
        <w:ind w:left="660" w:leftChars="300" w:firstLine="440" w:firstLineChars="200"/>
        <w:contextualSpacing/>
        <w:jc w:val="both"/>
        <w:rPr>
          <w:rFonts w:eastAsia="__Inter_Fallback_9d3317" w:asciiTheme="majorBidi" w:hAnsiTheme="majorBidi" w:cstheme="majorBidi"/>
          <w:i/>
          <w:iCs/>
          <w:shd w:val="clear" w:color="auto" w:fill="FFFFFF"/>
          <w:lang w:val="en-US"/>
        </w:rPr>
      </w:pPr>
      <w:r>
        <w:rPr>
          <w:rFonts w:eastAsia="__Inter_Fallback_9d3317" w:asciiTheme="majorBidi" w:hAnsiTheme="majorBidi" w:cstheme="majorBidi"/>
          <w:shd w:val="clear" w:color="auto" w:fill="FFFFFF"/>
          <w:lang w:val="en-US"/>
        </w:rPr>
        <w:t>sanksi pidana narkotika dalam hukum Islam ada 2 pendapat yaitu dikenai hukuman had dan</w:t>
      </w:r>
      <w:r>
        <w:rPr>
          <w:rFonts w:eastAsia="__Inter_Fallback_9d3317" w:asciiTheme="majorBidi" w:hAnsiTheme="majorBidi" w:cstheme="majorBidi"/>
          <w:i/>
          <w:iCs/>
          <w:shd w:val="clear" w:color="auto" w:fill="FFFFFF"/>
          <w:lang w:val="en-US"/>
        </w:rPr>
        <w:t xml:space="preserve"> ta’zir.</w:t>
      </w:r>
    </w:p>
    <w:p>
      <w:pPr>
        <w:numPr>
          <w:ilvl w:val="0"/>
          <w:numId w:val="49"/>
        </w:numPr>
        <w:spacing w:after="0" w:line="312" w:lineRule="auto"/>
        <w:ind w:left="875" w:leftChars="300" w:hanging="215" w:hangingChars="98"/>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lang w:val="en-US"/>
        </w:rPr>
        <w:t xml:space="preserve">Hukuman </w:t>
      </w:r>
      <w:r>
        <w:rPr>
          <w:rFonts w:eastAsia="__Inter_Fallback_9d3317" w:asciiTheme="majorBidi" w:hAnsiTheme="majorBidi" w:cstheme="majorBidi"/>
          <w:i/>
          <w:iCs/>
          <w:shd w:val="clear" w:color="auto" w:fill="FFFFFF"/>
          <w:lang w:val="en-US"/>
        </w:rPr>
        <w:t>Had</w:t>
      </w:r>
      <w:r>
        <w:rPr>
          <w:rFonts w:eastAsia="__Inter_Fallback_9d3317" w:asciiTheme="majorBidi" w:hAnsiTheme="majorBidi" w:cstheme="majorBidi"/>
          <w:shd w:val="clear" w:color="auto" w:fill="FFFFFF"/>
          <w:lang w:val="en-US"/>
        </w:rPr>
        <w:t xml:space="preserve"> Bagi Pengonsumsi Narkotika</w:t>
      </w:r>
    </w:p>
    <w:p>
      <w:pPr>
        <w:spacing w:after="0" w:line="312" w:lineRule="auto"/>
        <w:ind w:left="871" w:leftChars="396" w:firstLine="446" w:firstLineChars="20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lang w:val="en-US"/>
        </w:rPr>
        <w:t xml:space="preserve">Hukuman </w:t>
      </w:r>
      <w:r>
        <w:rPr>
          <w:rFonts w:eastAsia="__Inter_Fallback_9d3317" w:asciiTheme="majorBidi" w:hAnsiTheme="majorBidi" w:cstheme="majorBidi"/>
          <w:i/>
          <w:iCs/>
          <w:shd w:val="clear" w:color="auto" w:fill="FFFFFF"/>
          <w:lang w:val="en-US"/>
        </w:rPr>
        <w:t>had</w:t>
      </w:r>
      <w:r>
        <w:rPr>
          <w:rFonts w:eastAsia="__Inter_Fallback_9d3317" w:asciiTheme="majorBidi" w:hAnsiTheme="majorBidi" w:cstheme="majorBidi"/>
          <w:shd w:val="clear" w:color="auto" w:fill="FFFFFF"/>
          <w:lang w:val="en-US"/>
        </w:rPr>
        <w:t xml:space="preserve"> adalah hukuman yang sudah di atur dalam Al Qur’an dan Hadis terkait tindak pidana tertentu yang telah melanggar aturan jarimah hudud. Seperti jarimah zina, menuduh orang baik-baik melakukan zina, minuman keras, mencuri dan lain sebagainya.</w:t>
      </w:r>
    </w:p>
    <w:p>
      <w:pPr>
        <w:spacing w:after="0" w:line="312" w:lineRule="auto"/>
        <w:ind w:left="871" w:leftChars="396" w:firstLine="446" w:firstLineChars="20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rPr>
        <w:t xml:space="preserve">Pendapat hukuman had terhadap tindak pidana narkotika di dalam Islam dikemukakan oleh beberapa para Ulama’ diantaranya pendapat yang paling sering muncul adalah pendapat dari Ibn Taimiyah yaitu: </w:t>
      </w:r>
    </w:p>
    <w:p>
      <w:pPr>
        <w:pStyle w:val="11"/>
        <w:bidi/>
        <w:spacing w:line="240" w:lineRule="auto"/>
        <w:ind w:right="880" w:rightChars="400"/>
        <w:jc w:val="both"/>
        <w:rPr>
          <w:rFonts w:ascii="Traditional Arabic" w:hAnsi="Traditional Arabic" w:eastAsia="__Inter_Fallback_9d3317" w:cs="Traditional Arabic"/>
          <w:sz w:val="32"/>
          <w:szCs w:val="32"/>
          <w:shd w:val="clear" w:color="auto" w:fill="FFFFFF"/>
        </w:rPr>
      </w:pPr>
      <w:r>
        <w:rPr>
          <w:rFonts w:ascii="Traditional Arabic" w:hAnsi="Traditional Arabic" w:cs="Traditional Arabic"/>
          <w:sz w:val="32"/>
          <w:szCs w:val="32"/>
        </w:rPr>
        <w:t>فَالْحَشِيشَةُ حَرَامٌ، وَيُحَدُّ مُسْتَعْمِلُهَا كَمَا يُحَدُّ شَارِبُ الْخَمْرِ</w:t>
      </w:r>
    </w:p>
    <w:p>
      <w:pPr>
        <w:spacing w:after="0" w:line="240" w:lineRule="auto"/>
        <w:ind w:left="1309" w:leftChars="595" w:firstLine="6"/>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i/>
          <w:iCs/>
          <w:shd w:val="clear" w:color="auto" w:fill="FFFFFF"/>
        </w:rPr>
        <w:t>“Sesungguhnya ganja itu haram, dijatuhkan sanksi had orang yang menyalahgunakannya, sebagaimana dijatuhkan had bagi peminum khamr”</w:t>
      </w:r>
      <w:r>
        <w:rPr>
          <w:rFonts w:eastAsia="__Inter_Fallback_9d3317" w:asciiTheme="majorBidi" w:hAnsiTheme="majorBidi" w:cstheme="majorBidi"/>
          <w:shd w:val="clear" w:color="auto" w:fill="FFFFFF"/>
        </w:rPr>
        <w:t>.</w:t>
      </w:r>
      <w:r>
        <w:rPr>
          <w:rStyle w:val="17"/>
          <w:rFonts w:eastAsia="__Inter_Fallback_9d3317" w:asciiTheme="majorBidi" w:hAnsiTheme="majorBidi" w:cstheme="majorBidi"/>
          <w:shd w:val="clear" w:color="auto" w:fill="FFFFFF"/>
        </w:rPr>
        <w:footnoteReference w:id="75"/>
      </w:r>
      <w:r>
        <w:rPr>
          <w:rFonts w:eastAsia="__Inter_Fallback_9d3317" w:asciiTheme="majorBidi" w:hAnsiTheme="majorBidi" w:cstheme="majorBidi"/>
          <w:shd w:val="clear" w:color="auto" w:fill="FFFFFF"/>
        </w:rPr>
        <w:t xml:space="preserve"> </w:t>
      </w:r>
    </w:p>
    <w:p>
      <w:pPr>
        <w:spacing w:after="0" w:line="240" w:lineRule="auto"/>
        <w:ind w:left="1309" w:leftChars="595" w:firstLine="6"/>
        <w:contextualSpacing/>
        <w:jc w:val="both"/>
        <w:rPr>
          <w:rFonts w:eastAsia="__Inter_Fallback_9d3317" w:asciiTheme="majorBidi" w:hAnsiTheme="majorBidi" w:cstheme="majorBidi"/>
          <w:shd w:val="clear" w:color="auto" w:fill="FFFFFF"/>
        </w:rPr>
      </w:pPr>
    </w:p>
    <w:p>
      <w:pPr>
        <w:spacing w:after="0" w:line="312" w:lineRule="auto"/>
        <w:ind w:left="871" w:leftChars="396" w:firstLine="446" w:firstLineChars="20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rPr>
        <w:t>Menurut pendapat Azt Husni:</w:t>
      </w:r>
    </w:p>
    <w:p>
      <w:pPr>
        <w:pStyle w:val="11"/>
        <w:bidi/>
        <w:spacing w:line="240" w:lineRule="auto"/>
        <w:jc w:val="both"/>
        <w:rPr>
          <w:rFonts w:ascii="Traditional Arabic" w:hAnsi="Traditional Arabic" w:eastAsia="__Inter_Fallback_9d3317" w:cs="Traditional Arabic"/>
          <w:sz w:val="32"/>
          <w:szCs w:val="32"/>
          <w:shd w:val="clear" w:color="auto" w:fill="FFFFFF"/>
        </w:rPr>
      </w:pPr>
      <w:r>
        <w:rPr>
          <w:rFonts w:ascii="Traditional Arabic" w:hAnsi="Traditional Arabic" w:cs="Traditional Arabic"/>
          <w:sz w:val="32"/>
          <w:szCs w:val="32"/>
        </w:rPr>
        <w:t>يُحَدُّ مُتَنَاوِلُ الْمُخَدِّرَاتِ كَمَا يُحَدُّ شَارِبُ الْخَمْرِ</w:t>
      </w:r>
    </w:p>
    <w:p>
      <w:pPr>
        <w:spacing w:after="0" w:line="240" w:lineRule="auto"/>
        <w:ind w:left="1309" w:leftChars="595" w:firstLine="6"/>
        <w:contextualSpacing/>
        <w:jc w:val="both"/>
        <w:rPr>
          <w:rFonts w:eastAsia="__Inter_Fallback_9d3317" w:asciiTheme="majorBidi" w:hAnsiTheme="majorBidi" w:cstheme="majorBidi"/>
          <w:i/>
          <w:iCs/>
          <w:shd w:val="clear" w:color="auto" w:fill="FFFFFF"/>
        </w:rPr>
      </w:pPr>
      <w:r>
        <w:rPr>
          <w:rFonts w:eastAsia="__Inter_Fallback_9d3317" w:asciiTheme="majorBidi" w:hAnsiTheme="majorBidi" w:cstheme="majorBidi"/>
          <w:i/>
          <w:iCs/>
          <w:shd w:val="clear" w:color="auto" w:fill="FFFFFF"/>
        </w:rPr>
        <w:t>”Dijatuhkan sanksi had orang yang menyalahgunakan narkotika sebagai dijatuhkan bagi peminum khamr”.</w:t>
      </w:r>
      <w:r>
        <w:rPr>
          <w:rStyle w:val="17"/>
          <w:rFonts w:eastAsia="__Inter_Fallback_9d3317" w:asciiTheme="majorBidi" w:hAnsiTheme="majorBidi" w:cstheme="majorBidi"/>
          <w:shd w:val="clear" w:color="auto" w:fill="FFFFFF"/>
          <w:lang w:val="en-US"/>
        </w:rPr>
        <w:footnoteReference w:id="76"/>
      </w:r>
    </w:p>
    <w:p>
      <w:pPr>
        <w:spacing w:after="0" w:line="240" w:lineRule="auto"/>
        <w:ind w:left="1309" w:leftChars="595" w:firstLine="6"/>
        <w:contextualSpacing/>
        <w:jc w:val="both"/>
        <w:rPr>
          <w:rFonts w:eastAsia="__Inter_Fallback_9d3317" w:asciiTheme="majorBidi" w:hAnsiTheme="majorBidi" w:cstheme="majorBidi"/>
          <w:shd w:val="clear" w:color="auto" w:fill="FFFFFF"/>
        </w:rPr>
      </w:pPr>
    </w:p>
    <w:p>
      <w:pPr>
        <w:spacing w:after="0" w:line="312" w:lineRule="auto"/>
        <w:ind w:left="871" w:leftChars="396" w:firstLine="446" w:firstLineChars="203"/>
        <w:contextualSpacing/>
        <w:jc w:val="both"/>
        <w:rPr>
          <w:rFonts w:eastAsia="__Inter_Fallback_9d3317" w:asciiTheme="majorBidi" w:hAnsiTheme="majorBidi" w:cstheme="majorBidi"/>
          <w:shd w:val="clear" w:color="auto" w:fill="FFFFFF"/>
          <w:lang w:val="en-US"/>
        </w:rPr>
      </w:pPr>
      <w:r>
        <w:rPr>
          <w:rFonts w:eastAsia="__Inter_Fallback_9d3317" w:asciiTheme="majorBidi" w:hAnsiTheme="majorBidi" w:cstheme="majorBidi"/>
          <w:shd w:val="clear" w:color="auto" w:fill="FFFFFF"/>
          <w:lang w:val="en-US"/>
        </w:rPr>
        <w:t xml:space="preserve">Menurut pendapat keduanya sanksi khamar dianalogikan dengan minuman khamr karena akibat yang diperoleh dari mengonsumsi keduanya yaitu, dapat memabukan, merusak akal dan kesehatan. </w:t>
      </w:r>
    </w:p>
    <w:p>
      <w:pPr>
        <w:pStyle w:val="11"/>
        <w:spacing w:beforeAutospacing="0" w:afterAutospacing="0" w:line="312" w:lineRule="auto"/>
        <w:ind w:left="880" w:leftChars="400" w:firstLine="440" w:firstLineChars="200"/>
        <w:jc w:val="both"/>
        <w:rPr>
          <w:sz w:val="22"/>
          <w:szCs w:val="22"/>
        </w:rPr>
      </w:pPr>
      <w:r>
        <w:rPr>
          <w:sz w:val="22"/>
          <w:szCs w:val="22"/>
        </w:rPr>
        <w:t xml:space="preserve">Hukuman bagi pengguna narkotika dalam Islam disamakan dengan hukuman yang diberikan kepada peminum khamr. Hal ini karena, menurut pandangan Islam, mengonsumsi khamr merupakan bentuk kemaksiatan yang mengundang dua jenis hukuman: hukuman akhirat berupa dosa, dan hukuman dunia berupa sanksi </w:t>
      </w:r>
      <w:r>
        <w:rPr>
          <w:rStyle w:val="16"/>
          <w:sz w:val="22"/>
          <w:szCs w:val="22"/>
        </w:rPr>
        <w:t>hudud</w:t>
      </w:r>
      <w:r>
        <w:rPr>
          <w:sz w:val="22"/>
          <w:szCs w:val="22"/>
        </w:rPr>
        <w:t>.</w:t>
      </w:r>
    </w:p>
    <w:p>
      <w:pPr>
        <w:pStyle w:val="11"/>
        <w:spacing w:beforeAutospacing="0" w:afterAutospacing="0" w:line="312" w:lineRule="auto"/>
        <w:ind w:left="880" w:leftChars="400" w:firstLine="440" w:firstLineChars="200"/>
        <w:jc w:val="both"/>
        <w:rPr>
          <w:sz w:val="22"/>
          <w:szCs w:val="22"/>
        </w:rPr>
      </w:pPr>
      <w:r>
        <w:rPr>
          <w:sz w:val="22"/>
          <w:szCs w:val="22"/>
        </w:rPr>
        <w:t>Agar hukuman dapat ditegakkan, diperlukan syarat-syarat atau unsur-unsur yang jelas. Menurut Abdul Qadir Audah, para ulama telah merumuskan beberapa kriteria utama, di antaranya</w:t>
      </w:r>
    </w:p>
    <w:p>
      <w:pPr>
        <w:pStyle w:val="11"/>
        <w:numPr>
          <w:ilvl w:val="0"/>
          <w:numId w:val="50"/>
        </w:numPr>
        <w:spacing w:beforeAutospacing="0" w:afterAutospacing="0" w:line="312" w:lineRule="auto"/>
        <w:ind w:left="1320" w:leftChars="400" w:hanging="440" w:hangingChars="200"/>
        <w:jc w:val="both"/>
        <w:rPr>
          <w:sz w:val="22"/>
          <w:szCs w:val="22"/>
        </w:rPr>
      </w:pPr>
      <w:r>
        <w:rPr>
          <w:sz w:val="22"/>
          <w:szCs w:val="22"/>
        </w:rPr>
        <w:t>Perbuatan tersebut merupakan tindakan mengonsumsi, dan zat yang dikonsumsi termasuk dalam kategori khamr. Karena definisi khamr diperluas menjadi segala sesuatu yang mengganggu fungsi akal, maka segala bentuk cara yang memasukkan zat tersebut ke dalam tubuh—baik diminum, dimakan, dihisap lewat hidung, atau disuntikkan—termasuk dalam perbuatan yang dilarang.</w:t>
      </w:r>
    </w:p>
    <w:p>
      <w:pPr>
        <w:pStyle w:val="11"/>
        <w:numPr>
          <w:ilvl w:val="0"/>
          <w:numId w:val="50"/>
        </w:numPr>
        <w:spacing w:beforeAutospacing="0" w:afterAutospacing="0" w:line="312" w:lineRule="auto"/>
        <w:ind w:left="1320" w:leftChars="400" w:hanging="440" w:hangingChars="200"/>
        <w:jc w:val="both"/>
        <w:rPr>
          <w:rFonts w:eastAsia="__Inter_Fallback_9d3317" w:asciiTheme="majorBidi" w:hAnsiTheme="majorBidi" w:cstheme="majorBidi"/>
          <w:shd w:val="clear" w:color="auto" w:fill="FFFFFF"/>
        </w:rPr>
      </w:pPr>
      <w:r>
        <w:rPr>
          <w:sz w:val="22"/>
          <w:szCs w:val="22"/>
        </w:rPr>
        <w:t>Tindakan itu harus dilakukan secara sadar dan disengaja, serta pelakunya mengetahui bahwa hal tersebut dilarang. Dalam istilah hukum, ini dikenal dengan unsur “sengaja dan melawan hukum.” Dengan demikian, orang yang melakukannya tanpa sengaja, dalam kondisi terpaksa, keliru, atau tidak tahu bahwa zat tersebut terlarang, tidak termasuk dalam kategori pelaku yang dikenai hukuman.</w:t>
      </w:r>
      <w:r>
        <w:rPr>
          <w:rStyle w:val="17"/>
          <w:sz w:val="22"/>
          <w:szCs w:val="22"/>
        </w:rPr>
        <w:footnoteReference w:id="77"/>
      </w:r>
    </w:p>
    <w:p>
      <w:pPr>
        <w:spacing w:after="0" w:line="312" w:lineRule="auto"/>
        <w:ind w:left="871" w:leftChars="396" w:firstLine="446" w:firstLineChars="203"/>
        <w:contextualSpacing/>
        <w:jc w:val="both"/>
        <w:rPr>
          <w:rFonts w:eastAsia="SimSun" w:asciiTheme="majorBidi" w:hAnsiTheme="majorBidi" w:cstheme="majorBidi"/>
          <w:lang w:val="en-US"/>
        </w:rPr>
      </w:pPr>
      <w:r>
        <w:rPr>
          <w:rFonts w:eastAsia="__Inter_Fallback_9d3317" w:asciiTheme="majorBidi" w:hAnsiTheme="majorBidi" w:cstheme="majorBidi"/>
          <w:shd w:val="clear" w:color="auto" w:fill="FFFFFF"/>
          <w:lang w:val="en-US"/>
        </w:rPr>
        <w:t>Dalam Hadis juga dijelaskan mengenai hukuman bagi pemabuk, yaitu</w:t>
      </w:r>
      <w:r>
        <w:rPr>
          <w:rFonts w:eastAsia="SimSun" w:asciiTheme="majorBidi" w:hAnsiTheme="majorBidi" w:cstheme="majorBidi"/>
          <w:lang w:val="en-US"/>
        </w:rPr>
        <w:t xml:space="preserve">: </w:t>
      </w:r>
    </w:p>
    <w:p>
      <w:pPr>
        <w:bidi/>
        <w:spacing w:after="0" w:line="312" w:lineRule="auto"/>
        <w:ind w:left="-29" w:leftChars="-13" w:right="851"/>
        <w:contextualSpacing/>
        <w:jc w:val="both"/>
        <w:rPr>
          <w:rFonts w:eastAsia="SimSun" w:asciiTheme="majorBidi" w:hAnsiTheme="majorBidi" w:cstheme="majorBidi"/>
          <w:lang w:val="en-US"/>
        </w:rPr>
      </w:pPr>
    </w:p>
    <w:p>
      <w:pPr>
        <w:tabs>
          <w:tab w:val="left" w:pos="851"/>
        </w:tabs>
        <w:bidi/>
        <w:spacing w:line="240" w:lineRule="auto"/>
        <w:ind w:left="-29" w:leftChars="-13" w:right="851"/>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حَدَّثَنَا حَفْصُ بْنُ عُمَرَ حَدَّثَنَا هِشَامٌ عَنْ قِتَادَهُ عَنْ أَنَسٍ أَنَّ النَّبِيَّ صَلَّى اللهُ عَلَيْهِ وَسَلَّمَ حٍ حَدَّثَنَا آدَمُ بْنُ أَبِي إِيَاسٍ حَدَّثَنَا شُعْبَةُ حَدَّثَنَا قُتَادَةُ عَنْ أَنَسِ بْنِ مَالِكٍ رَضِيَ اللهُ عَنْهُ أَنَّ النَّبِيَّ صَلَّى اللهُ عَلَيْهِ وَسَلَّمَ ضَرَبَ فِي الْخَمْرِ بِالْجَرِيدِ وَالنِّعَالِ وَجَلَدَ أَبُو بَكْرٍ أَرْبَعِينَ</w:t>
      </w:r>
    </w:p>
    <w:p>
      <w:pPr>
        <w:spacing w:after="0" w:line="240" w:lineRule="auto"/>
        <w:ind w:left="1417" w:leftChars="644" w:firstLine="1"/>
        <w:contextualSpacing/>
        <w:jc w:val="both"/>
        <w:rPr>
          <w:rFonts w:asciiTheme="majorBidi" w:hAnsiTheme="majorBidi" w:cstheme="majorBidi"/>
        </w:rPr>
      </w:pPr>
      <w:r>
        <w:rPr>
          <w:rFonts w:asciiTheme="majorBidi" w:hAnsiTheme="majorBidi" w:cstheme="majorBidi"/>
          <w:i/>
          <w:iCs/>
        </w:rPr>
        <w:t xml:space="preserve"> “Telah menceritakan kepada kami Hafsh bin Umar telah menceritakan kepada kami Hisyam dari Qatadah dari Anas bahwasasannya Nabi shallAllahu 'alaihi wasallam -sedang lewat jalur periwayatan lain-Telah menceritakan kepada kami Adam bin Abi Iyas telah menceritakan kepada kami Syu'bah telah menceritakan kepada kami Qatadah dari Anas bin Malik radliAllahu 'anhu bahwasanya Nabi shallAllahu 'alaihi wasallam pernah memukul peminum khamar dengan pelepah kurma dan sandal, dan Abu Bakar pernah mencambuknya sebanyak empat puluh kali”.</w:t>
      </w:r>
      <w:r>
        <w:rPr>
          <w:rFonts w:asciiTheme="majorBidi" w:hAnsiTheme="majorBidi" w:cstheme="majorBidi"/>
        </w:rPr>
        <w:t xml:space="preserve"> (HR Bukhari).</w:t>
      </w:r>
      <w:r>
        <w:rPr>
          <w:rStyle w:val="17"/>
          <w:rFonts w:asciiTheme="majorBidi" w:hAnsiTheme="majorBidi" w:cstheme="majorBidi"/>
          <w:lang w:val="en-US"/>
        </w:rPr>
        <w:footnoteReference w:id="78"/>
      </w:r>
    </w:p>
    <w:p>
      <w:pPr>
        <w:spacing w:after="0" w:line="312" w:lineRule="auto"/>
        <w:ind w:left="871" w:leftChars="396" w:firstLine="446" w:firstLineChars="203"/>
        <w:contextualSpacing/>
        <w:jc w:val="both"/>
        <w:rPr>
          <w:rFonts w:asciiTheme="majorBidi" w:hAnsiTheme="majorBidi" w:cstheme="majorBidi"/>
        </w:rPr>
      </w:pPr>
    </w:p>
    <w:p>
      <w:pPr>
        <w:spacing w:after="0" w:line="312" w:lineRule="auto"/>
        <w:ind w:left="871" w:leftChars="396" w:firstLine="446" w:firstLineChars="203"/>
        <w:contextualSpacing/>
        <w:jc w:val="both"/>
        <w:rPr>
          <w:rFonts w:eastAsia="SimSun" w:asciiTheme="majorBidi" w:hAnsiTheme="majorBidi" w:cstheme="majorBidi"/>
          <w:lang w:val="en-US"/>
        </w:rPr>
      </w:pPr>
      <w:r>
        <w:rPr>
          <w:rFonts w:eastAsia="SimSun" w:asciiTheme="majorBidi" w:hAnsiTheme="majorBidi" w:cstheme="majorBidi"/>
        </w:rPr>
        <w:t xml:space="preserve">Dalam Hadis tersebut dijelaskan bahwa Nabi Muhammad pernah didatengi oleh seseorang yang telah meminum khamr kemudian Nabi mencambuk seorang tersebut menggunakan 2 pelepah kurma sebanyak 40 kali. </w:t>
      </w:r>
      <w:r>
        <w:rPr>
          <w:rFonts w:eastAsia="SimSun" w:asciiTheme="majorBidi" w:hAnsiTheme="majorBidi" w:cstheme="majorBidi"/>
          <w:lang w:val="en-US"/>
        </w:rPr>
        <w:t xml:space="preserve">Dari pelepah kurma ini menimbulkan beberapa pandangan mengenai berapa hukuman cambuk yang diberikan kepada peminum khamr. </w:t>
      </w:r>
    </w:p>
    <w:p>
      <w:pPr>
        <w:spacing w:after="0" w:line="312" w:lineRule="auto"/>
        <w:ind w:left="871" w:leftChars="396" w:firstLine="446" w:firstLineChars="203"/>
        <w:contextualSpacing/>
        <w:jc w:val="both"/>
        <w:rPr>
          <w:rFonts w:ascii="Times New Roman" w:hAnsi="Times New Roman" w:eastAsia="SimSun" w:cs="Times New Roman"/>
        </w:rPr>
      </w:pPr>
      <w:r>
        <w:rPr>
          <w:rFonts w:ascii="Times New Roman" w:hAnsi="Times New Roman" w:eastAsia="Times New Roman" w:cs="Times New Roman"/>
        </w:rPr>
        <w:t>Terkait jumlah pelepah kurma, sebagian ulama memahami dua pelepah kurma sebagai alat untuk mencambuk, bukan jumlah cambukan, sehingga hukumannya adalah 40 kali cambuk. Namun, sebagian lain berpendapat bahwa dua pelepah kurma menunjukkan jumlah, sehingga hukuman menjadi 80 kali cambuk (40 kali dikalikan dua).</w:t>
      </w:r>
      <w:r>
        <w:rPr>
          <w:rStyle w:val="17"/>
          <w:rFonts w:ascii="Times New Roman" w:hAnsi="Times New Roman" w:eastAsia="SimSun" w:cs="Times New Roman"/>
        </w:rPr>
        <w:footnoteReference w:id="79"/>
      </w:r>
    </w:p>
    <w:p>
      <w:pPr>
        <w:spacing w:after="0" w:line="312" w:lineRule="auto"/>
        <w:ind w:left="871" w:leftChars="396" w:firstLine="446" w:firstLineChars="203"/>
        <w:contextualSpacing/>
        <w:jc w:val="both"/>
        <w:rPr>
          <w:rFonts w:eastAsia="SimSun" w:asciiTheme="majorBidi" w:hAnsiTheme="majorBidi" w:cstheme="majorBidi"/>
          <w:lang w:val="en-US"/>
        </w:rPr>
      </w:pPr>
      <w:r>
        <w:rPr>
          <w:rFonts w:eastAsia="SimSun" w:asciiTheme="majorBidi" w:hAnsiTheme="majorBidi" w:cstheme="majorBidi"/>
          <w:lang w:val="en-US"/>
        </w:rPr>
        <w:t>Berkaitan dengan 2 pelepah kurma, ada pendapat yang lain di dalam Hadis yang masih berkaitan dengan alat untuk mencabuk oleh Nabi, yang berbunyi:</w:t>
      </w:r>
    </w:p>
    <w:p>
      <w:pPr>
        <w:spacing w:after="0" w:line="312" w:lineRule="auto"/>
        <w:ind w:left="871" w:leftChars="396" w:firstLine="446" w:firstLineChars="203"/>
        <w:contextualSpacing/>
        <w:jc w:val="both"/>
        <w:rPr>
          <w:rFonts w:eastAsia="SimSun" w:asciiTheme="majorBidi" w:hAnsiTheme="majorBidi" w:cstheme="majorBidi"/>
          <w:lang w:val="en-US"/>
        </w:rPr>
      </w:pPr>
    </w:p>
    <w:p>
      <w:pPr>
        <w:bidi/>
        <w:spacing w:after="0" w:line="240" w:lineRule="auto"/>
        <w:ind w:left="111" w:leftChars="42" w:right="851" w:hanging="19" w:hangingChars="6"/>
        <w:contextualSpacing/>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عَنْ أَنَسٍ أَنَّ النَّبِيِّ صَلَّى اللَّهُ عَلَيْهِ وَسَلَّمَ كَانَ يَضْرِبُ فِي الغَمْرِ بِالنَّعَالِ وَالْخَرِيدِ أَرْبَعِينَ ثُمَّ ذَكَرَ تحو حَدِيثِهِمَا وَلَمْ يَذْكُرُ الرِّيفَ وَالْقُرَى</w:t>
      </w:r>
    </w:p>
    <w:p>
      <w:pPr>
        <w:spacing w:after="0" w:line="240" w:lineRule="auto"/>
        <w:ind w:left="1417" w:leftChars="644" w:firstLine="1"/>
        <w:contextualSpacing/>
        <w:jc w:val="both"/>
        <w:rPr>
          <w:rFonts w:eastAsia="SimSun" w:asciiTheme="majorBidi" w:hAnsiTheme="majorBidi" w:cstheme="majorBidi"/>
          <w:i/>
          <w:iCs/>
        </w:rPr>
      </w:pPr>
      <w:r>
        <w:rPr>
          <w:rFonts w:eastAsia="SimSun" w:asciiTheme="majorBidi" w:hAnsiTheme="majorBidi" w:cstheme="majorBidi"/>
          <w:i/>
          <w:iCs/>
          <w:lang w:val="en-US"/>
        </w:rPr>
        <w:t xml:space="preserve"> “</w:t>
      </w:r>
      <w:r>
        <w:rPr>
          <w:rFonts w:eastAsia="SimSun" w:asciiTheme="majorBidi" w:hAnsiTheme="majorBidi" w:cstheme="majorBidi"/>
          <w:i/>
          <w:iCs/>
        </w:rPr>
        <w:t xml:space="preserve">Dari Anas bin Malik bahwasanya </w:t>
      </w:r>
      <w:r>
        <w:rPr>
          <w:rFonts w:eastAsia="SimSun" w:asciiTheme="majorBidi" w:hAnsiTheme="majorBidi" w:cstheme="majorBidi"/>
          <w:i/>
          <w:iCs/>
          <w:lang w:val="en-US"/>
        </w:rPr>
        <w:t>Nabi</w:t>
      </w:r>
      <w:r>
        <w:rPr>
          <w:rFonts w:eastAsia="SimSun" w:asciiTheme="majorBidi" w:hAnsiTheme="majorBidi" w:cstheme="majorBidi"/>
          <w:i/>
          <w:iCs/>
        </w:rPr>
        <w:t xml:space="preserve"> Saw pernah menghukum pelaku jarimah khamr sebanyak empat puluh kali dengan sandal dan pelepah kurma. </w:t>
      </w:r>
      <w:r>
        <w:rPr>
          <w:rFonts w:eastAsia="SimSun" w:asciiTheme="majorBidi" w:hAnsiTheme="majorBidi" w:cstheme="majorBidi"/>
          <w:i/>
          <w:iCs/>
          <w:lang w:val="en-US"/>
        </w:rPr>
        <w:t>kemudian</w:t>
      </w:r>
      <w:r>
        <w:rPr>
          <w:rFonts w:eastAsia="SimSun" w:asciiTheme="majorBidi" w:hAnsiTheme="majorBidi" w:cstheme="majorBidi"/>
          <w:i/>
          <w:iCs/>
        </w:rPr>
        <w:t xml:space="preserve"> perawi menyebutkan Hadis tentang kedua alat, pelapah kurma dan sandal, tetapi tidak menyebutkan dusun dan kampung-kampung</w:t>
      </w:r>
      <w:r>
        <w:rPr>
          <w:rFonts w:eastAsia="SimSun" w:asciiTheme="majorBidi" w:hAnsiTheme="majorBidi" w:cstheme="majorBidi"/>
          <w:i/>
          <w:iCs/>
          <w:lang w:val="en-US"/>
        </w:rPr>
        <w:t>”.</w:t>
      </w:r>
    </w:p>
    <w:p>
      <w:pPr>
        <w:spacing w:after="0" w:line="312" w:lineRule="auto"/>
        <w:ind w:left="871" w:leftChars="396" w:firstLine="446" w:firstLineChars="203"/>
        <w:contextualSpacing/>
        <w:jc w:val="both"/>
        <w:rPr>
          <w:rFonts w:eastAsia="SimSun" w:asciiTheme="majorBidi" w:hAnsiTheme="majorBidi" w:cstheme="majorBidi"/>
          <w:i/>
          <w:iCs/>
        </w:rPr>
      </w:pPr>
    </w:p>
    <w:p>
      <w:pPr>
        <w:spacing w:after="0" w:line="312" w:lineRule="auto"/>
        <w:ind w:left="871" w:leftChars="396" w:firstLine="446" w:firstLineChars="203"/>
        <w:contextualSpacing/>
        <w:jc w:val="both"/>
        <w:rPr>
          <w:rFonts w:eastAsia="SimSun" w:asciiTheme="majorBidi" w:hAnsiTheme="majorBidi" w:cstheme="majorBidi"/>
          <w:lang w:val="en-US"/>
        </w:rPr>
      </w:pPr>
      <w:r>
        <w:rPr>
          <w:rFonts w:eastAsia="SimSun" w:asciiTheme="majorBidi" w:hAnsiTheme="majorBidi" w:cstheme="majorBidi"/>
          <w:lang w:val="en-US"/>
        </w:rPr>
        <w:t>Selain itu, ada juga pendapat lain yang diriwayatkan oleh Abu Dawud, yaitu;</w:t>
      </w:r>
    </w:p>
    <w:p>
      <w:pPr>
        <w:bidi/>
        <w:spacing w:after="0" w:line="240" w:lineRule="auto"/>
        <w:ind w:left="-29" w:leftChars="-13" w:right="851" w:firstLine="6"/>
        <w:jc w:val="both"/>
        <w:rPr>
          <w:rFonts w:ascii="Traditional Arabic" w:hAnsi="Traditional Arabic" w:eastAsia="SimSun" w:cs="Traditional Arabic"/>
          <w:sz w:val="32"/>
          <w:szCs w:val="32"/>
        </w:rPr>
      </w:pPr>
      <w:r>
        <w:rPr>
          <w:rFonts w:ascii="Traditional Arabic" w:hAnsi="Traditional Arabic" w:eastAsia="SimSun" w:cs="Traditional Arabic"/>
          <w:sz w:val="32"/>
          <w:szCs w:val="32"/>
        </w:rPr>
        <w:t xml:space="preserve">عَنْ عَلِيٌّ رَضِيَ اللهُ عَنْهُ قَلَ جَلَدَ رَسُولُ اللهِ صَلَّى الله عَلَيْهِ وَسَلَّمَ فِي الْخَمرِ وَأَبُو بَكْرٍ أَرْبَعِينَ وَكَمَّلَهَا عُمَرُ ثَمَانِينَ وَكُلَّ </w:t>
      </w:r>
    </w:p>
    <w:p>
      <w:pPr>
        <w:bidi/>
        <w:spacing w:after="0" w:line="240" w:lineRule="auto"/>
        <w:ind w:left="-29" w:leftChars="-13" w:right="851" w:firstLine="6"/>
        <w:jc w:val="both"/>
        <w:rPr>
          <w:rFonts w:ascii="Traditional Arabic" w:hAnsi="Traditional Arabic" w:eastAsia="SimSun" w:cs="Traditional Arabic"/>
          <w:sz w:val="32"/>
          <w:szCs w:val="32"/>
        </w:rPr>
      </w:pPr>
      <w:r>
        <w:rPr>
          <w:rFonts w:ascii="Traditional Arabic" w:hAnsi="Traditional Arabic" w:eastAsia="SimSun" w:cs="Traditional Arabic"/>
          <w:sz w:val="32"/>
          <w:szCs w:val="32"/>
        </w:rPr>
        <w:t>سُنَّةٌ</w:t>
      </w:r>
    </w:p>
    <w:p>
      <w:pPr>
        <w:spacing w:after="0" w:line="240" w:lineRule="auto"/>
        <w:ind w:left="871" w:leftChars="396" w:firstLine="446" w:firstLineChars="203"/>
        <w:contextualSpacing/>
        <w:jc w:val="both"/>
        <w:rPr>
          <w:rFonts w:eastAsia="SimSun" w:asciiTheme="majorBidi" w:hAnsiTheme="majorBidi" w:cstheme="majorBidi"/>
        </w:rPr>
      </w:pPr>
    </w:p>
    <w:p>
      <w:pPr>
        <w:spacing w:after="0" w:line="240" w:lineRule="auto"/>
        <w:ind w:left="1701" w:leftChars="773" w:firstLine="1"/>
        <w:contextualSpacing/>
        <w:jc w:val="both"/>
        <w:rPr>
          <w:rFonts w:eastAsia="SimSun" w:asciiTheme="majorBidi" w:hAnsiTheme="majorBidi" w:cstheme="majorBidi"/>
          <w:lang w:val="en-US"/>
        </w:rPr>
      </w:pPr>
      <w:r>
        <w:rPr>
          <w:rFonts w:eastAsia="SimSun" w:asciiTheme="majorBidi" w:hAnsiTheme="majorBidi" w:cstheme="majorBidi"/>
          <w:i/>
          <w:iCs/>
        </w:rPr>
        <w:t xml:space="preserve"> “Dari Ali ia berkata Nabi SAW mencambuk pelaku jarimah khamr sebanyak 40 kali demikian juga Abu Bakar. Sementara itu, Umar menyempurnakannya menjadi 80 kali. Kedua-duanya merupakan sunnah</w:t>
      </w:r>
      <w:r>
        <w:rPr>
          <w:rFonts w:eastAsia="SimSun" w:asciiTheme="majorBidi" w:hAnsiTheme="majorBidi" w:cstheme="majorBidi"/>
          <w:i/>
          <w:iCs/>
          <w:lang w:val="en-US"/>
        </w:rPr>
        <w:t xml:space="preserve">”. </w:t>
      </w:r>
      <w:r>
        <w:rPr>
          <w:rFonts w:eastAsia="SimSun" w:asciiTheme="majorBidi" w:hAnsiTheme="majorBidi" w:cstheme="majorBidi"/>
          <w:lang w:val="en-US"/>
        </w:rPr>
        <w:t>(Abu Dawud)</w:t>
      </w:r>
      <w:r>
        <w:rPr>
          <w:rStyle w:val="17"/>
          <w:rFonts w:eastAsia="SimSun" w:asciiTheme="majorBidi" w:hAnsiTheme="majorBidi" w:cstheme="majorBidi"/>
          <w:lang w:val="en-US"/>
        </w:rPr>
        <w:footnoteReference w:id="80"/>
      </w:r>
    </w:p>
    <w:p>
      <w:pPr>
        <w:spacing w:after="0" w:line="240" w:lineRule="auto"/>
        <w:ind w:left="1417" w:leftChars="644" w:firstLine="1"/>
        <w:contextualSpacing/>
        <w:jc w:val="both"/>
        <w:rPr>
          <w:rFonts w:eastAsia="SimSun" w:asciiTheme="majorBidi" w:hAnsiTheme="majorBidi" w:cstheme="majorBidi"/>
        </w:rPr>
      </w:pPr>
    </w:p>
    <w:p>
      <w:pPr>
        <w:bidi/>
        <w:spacing w:after="0" w:line="240" w:lineRule="auto"/>
        <w:ind w:left="112" w:leftChars="51" w:right="1276" w:firstLine="6"/>
        <w:jc w:val="both"/>
        <w:rPr>
          <w:rFonts w:ascii="Traditional Arabic" w:hAnsi="Traditional Arabic" w:eastAsia="SimSun" w:cs="Traditional Arabic"/>
          <w:sz w:val="32"/>
          <w:szCs w:val="32"/>
        </w:rPr>
      </w:pPr>
      <w:r>
        <w:rPr>
          <w:rFonts w:ascii="Traditional Arabic" w:hAnsi="Traditional Arabic" w:eastAsia="SimSun" w:cs="Traditional Arabic"/>
          <w:sz w:val="32"/>
          <w:szCs w:val="32"/>
          <w:lang w:val="en-US"/>
        </w:rPr>
        <w:t>حَدَّثَنَا حَفْصُ بْنُ عُمَرَ حَدَّثَنَا هِشَامٌ عَنْ قَتَادَةَ عَنْ أَنَسٍ أَنَّ النَّبِيَّ صَلَّى اللَّهُ عَلَيْهِ وَسَلَّمَ ح حَدَّثَنَا آدَمُ بْنُ أَبِي إِيَاسٍ حَدَّثَنَا شُعْبَةُ حَدَّثَنَا قَتَادَةُ عَنْ أَنَسِ بْنِ مَالِكٍ رَضِيَ اللَّهُ عَنْهُ أَنَّ النَّبِيَّ صَلَّى اللَّهُ عَلَيْهِ وَسَلَّمَ ضَرَبَ فِي الْخَمْرِ بِالْجَرِيدِ وَالنِّعَالِ وَجَلَدَ أَبُو بَكْرٍ أَرْبَعِينَ</w:t>
      </w:r>
    </w:p>
    <w:p>
      <w:pPr>
        <w:spacing w:after="0" w:line="240" w:lineRule="auto"/>
        <w:ind w:left="1841" w:leftChars="837" w:firstLine="1"/>
        <w:contextualSpacing/>
        <w:jc w:val="both"/>
        <w:rPr>
          <w:rFonts w:eastAsia="Georgia" w:asciiTheme="majorBidi" w:hAnsiTheme="majorBidi" w:cstheme="majorBidi"/>
          <w:i/>
          <w:iCs/>
          <w:spacing w:val="2"/>
        </w:rPr>
      </w:pPr>
      <w:r>
        <w:rPr>
          <w:rFonts w:eastAsia="Georgia" w:asciiTheme="majorBidi" w:hAnsiTheme="majorBidi" w:cstheme="majorBidi"/>
          <w:i/>
          <w:iCs/>
          <w:spacing w:val="2"/>
        </w:rPr>
        <w:t xml:space="preserve"> “Telah menceritakan kepada kami </w:t>
      </w:r>
      <w:r>
        <w:rPr>
          <w:rStyle w:val="19"/>
          <w:rFonts w:eastAsia="Georgia" w:asciiTheme="majorBidi" w:hAnsiTheme="majorBidi" w:cstheme="majorBidi"/>
          <w:b w:val="0"/>
          <w:bCs w:val="0"/>
          <w:i/>
          <w:iCs/>
          <w:spacing w:val="2"/>
        </w:rPr>
        <w:t>Hafsh bin Umar</w:t>
      </w:r>
      <w:r>
        <w:rPr>
          <w:rFonts w:eastAsia="Georgia" w:asciiTheme="majorBidi" w:hAnsiTheme="majorBidi" w:cstheme="majorBidi"/>
          <w:i/>
          <w:iCs/>
          <w:spacing w:val="2"/>
        </w:rPr>
        <w:t> telah menceritakan kepada kami </w:t>
      </w:r>
      <w:r>
        <w:rPr>
          <w:rStyle w:val="19"/>
          <w:rFonts w:eastAsia="Georgia" w:asciiTheme="majorBidi" w:hAnsiTheme="majorBidi" w:cstheme="majorBidi"/>
          <w:b w:val="0"/>
          <w:bCs w:val="0"/>
          <w:i/>
          <w:iCs/>
          <w:spacing w:val="2"/>
        </w:rPr>
        <w:t>Hisyam</w:t>
      </w:r>
      <w:r>
        <w:rPr>
          <w:rFonts w:eastAsia="Georgia" w:asciiTheme="majorBidi" w:hAnsiTheme="majorBidi" w:cstheme="majorBidi"/>
          <w:i/>
          <w:iCs/>
          <w:spacing w:val="2"/>
        </w:rPr>
        <w:t> dari </w:t>
      </w:r>
      <w:r>
        <w:rPr>
          <w:rStyle w:val="19"/>
          <w:rFonts w:eastAsia="Georgia" w:asciiTheme="majorBidi" w:hAnsiTheme="majorBidi" w:cstheme="majorBidi"/>
          <w:b w:val="0"/>
          <w:bCs w:val="0"/>
          <w:i/>
          <w:iCs/>
          <w:spacing w:val="2"/>
        </w:rPr>
        <w:t>Qatadah</w:t>
      </w:r>
      <w:r>
        <w:rPr>
          <w:rFonts w:eastAsia="Georgia" w:asciiTheme="majorBidi" w:hAnsiTheme="majorBidi" w:cstheme="majorBidi"/>
          <w:i/>
          <w:iCs/>
          <w:spacing w:val="2"/>
        </w:rPr>
        <w:t> dari </w:t>
      </w:r>
      <w:r>
        <w:rPr>
          <w:rStyle w:val="19"/>
          <w:rFonts w:eastAsia="Georgia" w:asciiTheme="majorBidi" w:hAnsiTheme="majorBidi" w:cstheme="majorBidi"/>
          <w:b w:val="0"/>
          <w:bCs w:val="0"/>
          <w:i/>
          <w:iCs/>
          <w:spacing w:val="2"/>
        </w:rPr>
        <w:t>Anas</w:t>
      </w:r>
      <w:r>
        <w:rPr>
          <w:rFonts w:eastAsia="Georgia" w:asciiTheme="majorBidi" w:hAnsiTheme="majorBidi" w:cstheme="majorBidi"/>
          <w:i/>
          <w:iCs/>
          <w:spacing w:val="2"/>
        </w:rPr>
        <w:t> bahwasanya Nabi shallAllahu 'alaihi wasallam -sedang lewat jalur periwayatan lain-Telah menceritakan kepada kami </w:t>
      </w:r>
      <w:r>
        <w:rPr>
          <w:rStyle w:val="19"/>
          <w:rFonts w:eastAsia="Georgia" w:asciiTheme="majorBidi" w:hAnsiTheme="majorBidi" w:cstheme="majorBidi"/>
          <w:b w:val="0"/>
          <w:bCs w:val="0"/>
          <w:i/>
          <w:iCs/>
          <w:spacing w:val="2"/>
        </w:rPr>
        <w:t>Adam bin Abi Iyas</w:t>
      </w:r>
      <w:r>
        <w:rPr>
          <w:rFonts w:eastAsia="Georgia" w:asciiTheme="majorBidi" w:hAnsiTheme="majorBidi" w:cstheme="majorBidi"/>
          <w:i/>
          <w:iCs/>
          <w:spacing w:val="2"/>
        </w:rPr>
        <w:t> telah menceritakan kepada kami </w:t>
      </w:r>
      <w:r>
        <w:rPr>
          <w:rStyle w:val="19"/>
          <w:rFonts w:eastAsia="Georgia" w:asciiTheme="majorBidi" w:hAnsiTheme="majorBidi" w:cstheme="majorBidi"/>
          <w:b w:val="0"/>
          <w:bCs w:val="0"/>
          <w:i/>
          <w:iCs/>
          <w:spacing w:val="2"/>
        </w:rPr>
        <w:t>Syu'bah</w:t>
      </w:r>
      <w:r>
        <w:rPr>
          <w:rFonts w:eastAsia="Georgia" w:asciiTheme="majorBidi" w:hAnsiTheme="majorBidi" w:cstheme="majorBidi"/>
          <w:i/>
          <w:iCs/>
          <w:spacing w:val="2"/>
        </w:rPr>
        <w:t> telah menceritakan kepada kami </w:t>
      </w:r>
      <w:r>
        <w:rPr>
          <w:rStyle w:val="19"/>
          <w:rFonts w:eastAsia="Georgia" w:asciiTheme="majorBidi" w:hAnsiTheme="majorBidi" w:cstheme="majorBidi"/>
          <w:b w:val="0"/>
          <w:bCs w:val="0"/>
          <w:i/>
          <w:iCs/>
          <w:spacing w:val="2"/>
        </w:rPr>
        <w:t>Qatadah</w:t>
      </w:r>
      <w:r>
        <w:rPr>
          <w:rFonts w:eastAsia="Georgia" w:asciiTheme="majorBidi" w:hAnsiTheme="majorBidi" w:cstheme="majorBidi"/>
          <w:i/>
          <w:iCs/>
          <w:spacing w:val="2"/>
        </w:rPr>
        <w:t> dari </w:t>
      </w:r>
      <w:r>
        <w:rPr>
          <w:rStyle w:val="19"/>
          <w:rFonts w:eastAsia="Georgia" w:asciiTheme="majorBidi" w:hAnsiTheme="majorBidi" w:cstheme="majorBidi"/>
          <w:b w:val="0"/>
          <w:bCs w:val="0"/>
          <w:i/>
          <w:iCs/>
          <w:spacing w:val="2"/>
        </w:rPr>
        <w:t>Anas bin Malik</w:t>
      </w:r>
      <w:r>
        <w:rPr>
          <w:rFonts w:eastAsia="Georgia" w:asciiTheme="majorBidi" w:hAnsiTheme="majorBidi" w:cstheme="majorBidi"/>
          <w:i/>
          <w:iCs/>
          <w:spacing w:val="2"/>
        </w:rPr>
        <w:t> radliAllahu 'anhu bahwasanya Nabi shallAllahu 'alaihi wasallam pernah meMU kul peminum khamar dengan pelepah kurma dan sandal, dan Abu Bakar pernah mencambuknya sebanyak empat puluh kali”.</w:t>
      </w:r>
      <w:r>
        <w:rPr>
          <w:rStyle w:val="17"/>
          <w:rFonts w:eastAsia="Georgia" w:asciiTheme="majorBidi" w:hAnsiTheme="majorBidi" w:cstheme="majorBidi"/>
          <w:i/>
          <w:iCs/>
          <w:spacing w:val="2"/>
        </w:rPr>
        <w:footnoteReference w:id="81"/>
      </w:r>
    </w:p>
    <w:p>
      <w:pPr>
        <w:spacing w:after="0" w:line="312" w:lineRule="auto"/>
        <w:ind w:left="871" w:leftChars="396" w:firstLine="454" w:firstLineChars="203"/>
        <w:contextualSpacing/>
        <w:jc w:val="both"/>
        <w:rPr>
          <w:rFonts w:eastAsia="Georgia" w:asciiTheme="majorBidi" w:hAnsiTheme="majorBidi" w:cstheme="majorBidi"/>
          <w:i/>
          <w:iCs/>
          <w:spacing w:val="2"/>
        </w:rPr>
      </w:pPr>
    </w:p>
    <w:p>
      <w:pPr>
        <w:spacing w:after="0" w:line="312" w:lineRule="auto"/>
        <w:ind w:left="871" w:leftChars="396" w:firstLine="446" w:firstLineChars="203"/>
        <w:contextualSpacing/>
        <w:jc w:val="both"/>
        <w:rPr>
          <w:rFonts w:eastAsia="SimSun" w:asciiTheme="majorBidi" w:hAnsiTheme="majorBidi" w:cstheme="majorBidi"/>
          <w:i/>
          <w:iCs/>
        </w:rPr>
      </w:pPr>
      <w:r>
        <w:rPr>
          <w:rFonts w:eastAsia="SimSun" w:asciiTheme="majorBidi" w:hAnsiTheme="majorBidi" w:cstheme="majorBidi"/>
        </w:rPr>
        <w:t xml:space="preserve">Dalam Hadis tersebut dijelaskan dari Ali bahwa Nabi Muhammad SAW telah memberi sanksi bagi pelaku jarimah khamr sebanyak 40 kali demikian pula Abu Bakar terkecuali Umar bin Khatab menyempurakan dengan 80 kali cambukan, yang 40 kali hukuman had yang 40 kali hukuman tambahan </w:t>
      </w:r>
      <w:r>
        <w:rPr>
          <w:rFonts w:eastAsia="SimSun" w:asciiTheme="majorBidi" w:hAnsiTheme="majorBidi" w:cstheme="majorBidi"/>
          <w:i/>
          <w:iCs/>
        </w:rPr>
        <w:t xml:space="preserve">Ta’zir. </w:t>
      </w:r>
    </w:p>
    <w:p>
      <w:pPr>
        <w:spacing w:after="0" w:line="312" w:lineRule="auto"/>
        <w:ind w:left="871" w:leftChars="396" w:firstLine="446" w:firstLineChars="203"/>
        <w:contextualSpacing/>
        <w:jc w:val="both"/>
        <w:rPr>
          <w:rFonts w:eastAsia="SimSun" w:asciiTheme="majorBidi" w:hAnsiTheme="majorBidi" w:cstheme="majorBidi"/>
        </w:rPr>
      </w:pPr>
      <w:r>
        <w:rPr>
          <w:rFonts w:ascii="Times New Roman" w:hAnsi="Times New Roman" w:eastAsia="Times New Roman" w:cs="Times New Roman"/>
          <w:kern w:val="0"/>
          <w:lang w:val="en-US"/>
          <w14:ligatures w14:val="none"/>
        </w:rPr>
        <w:t>Nabi Muhammad SAW memberikan hukuman yang sama terhadap siapa pun yang mengonsumsi zat yang merusak akal dan memabukkan, baik berupa makanan maupun minuman, tanpa memandang jenisnya. Segala bentuk khamar, baik diminum maupun dimakan, termasuk tumbuhan yang memabukkan, hukumnya haram. Istilah narkoba baru muncul sekitar akhir abad ke-6 Hijriah, Namun hukumnya telah tercakup dalam Al-Qur’an dan Sunnah.</w:t>
      </w:r>
      <w:r>
        <w:rPr>
          <w:rStyle w:val="17"/>
          <w:rFonts w:eastAsia="SimSun" w:asciiTheme="majorBidi" w:hAnsiTheme="majorBidi" w:cstheme="majorBidi"/>
          <w:lang w:val="en-US"/>
        </w:rPr>
        <w:footnoteReference w:id="82"/>
      </w:r>
    </w:p>
    <w:p>
      <w:pPr>
        <w:spacing w:after="0" w:line="312" w:lineRule="auto"/>
        <w:ind w:left="871" w:leftChars="396" w:firstLine="446" w:firstLineChars="203"/>
        <w:contextualSpacing/>
        <w:jc w:val="both"/>
        <w:rPr>
          <w:rFonts w:eastAsia="SimSun" w:asciiTheme="majorBidi" w:hAnsiTheme="majorBidi" w:cstheme="majorBidi"/>
        </w:rPr>
      </w:pPr>
      <w:r>
        <w:rPr>
          <w:rFonts w:eastAsia="SimSun" w:asciiTheme="majorBidi" w:hAnsiTheme="majorBidi" w:cstheme="majorBidi"/>
        </w:rPr>
        <w:t xml:space="preserve">Dari penjelasan di atas hukuman terhadap pelaku tindak pidana narkotika (hukuman khamr) pada zaman Nabi di cambuk 40 kali cambukan, pada zaman Abu Bakar 40 kali cambukan, dan pada zaman Umar Bin Khatab 80 kali cambukan. </w:t>
      </w:r>
      <w:r>
        <w:rPr>
          <w:rFonts w:eastAsia="SimSun" w:asciiTheme="majorBidi" w:hAnsiTheme="majorBidi" w:cstheme="majorBidi"/>
          <w:lang w:val="en-US"/>
        </w:rPr>
        <w:t>Yang dimaksud dari 80 kali cambukan adalah 40 kali cambukan merupakan hukuman had dan 40 kali cambukan hukuman (tambahan)</w:t>
      </w:r>
      <w:r>
        <w:rPr>
          <w:rFonts w:eastAsia="SimSun" w:asciiTheme="majorBidi" w:hAnsiTheme="majorBidi" w:cstheme="majorBidi"/>
          <w:i/>
          <w:iCs/>
          <w:lang w:val="en-US"/>
        </w:rPr>
        <w:t xml:space="preserve"> ta’zir.</w:t>
      </w:r>
      <w:r>
        <w:rPr>
          <w:rFonts w:eastAsia="SimSun" w:asciiTheme="majorBidi" w:hAnsiTheme="majorBidi" w:cstheme="majorBidi"/>
          <w:lang w:val="en-US"/>
        </w:rPr>
        <w:t xml:space="preserve"> </w:t>
      </w:r>
    </w:p>
    <w:p>
      <w:pPr>
        <w:numPr>
          <w:ilvl w:val="0"/>
          <w:numId w:val="49"/>
        </w:numPr>
        <w:spacing w:after="0" w:line="312" w:lineRule="auto"/>
        <w:ind w:left="875" w:leftChars="300" w:hanging="215" w:hangingChars="98"/>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lang w:val="en-US"/>
        </w:rPr>
        <w:t xml:space="preserve">Hukuman </w:t>
      </w:r>
      <w:r>
        <w:rPr>
          <w:rFonts w:eastAsia="__Inter_Fallback_9d3317" w:asciiTheme="majorBidi" w:hAnsiTheme="majorBidi" w:cstheme="majorBidi"/>
          <w:i/>
          <w:iCs/>
          <w:shd w:val="clear" w:color="auto" w:fill="FFFFFF"/>
          <w:lang w:val="en-US"/>
        </w:rPr>
        <w:t xml:space="preserve">Ta’zir </w:t>
      </w:r>
      <w:r>
        <w:rPr>
          <w:rFonts w:eastAsia="__Inter_Fallback_9d3317" w:asciiTheme="majorBidi" w:hAnsiTheme="majorBidi" w:cstheme="majorBidi"/>
          <w:shd w:val="clear" w:color="auto" w:fill="FFFFFF"/>
          <w:lang w:val="en-US"/>
        </w:rPr>
        <w:t>Bagi Pidana Narkotika</w:t>
      </w:r>
    </w:p>
    <w:p>
      <w:pPr>
        <w:spacing w:after="0" w:line="312" w:lineRule="auto"/>
        <w:ind w:left="893" w:leftChars="406" w:firstLine="424" w:firstLineChars="19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i/>
          <w:iCs/>
          <w:shd w:val="clear" w:color="auto" w:fill="FFFFFF"/>
        </w:rPr>
        <w:t>Ta’zir</w:t>
      </w:r>
      <w:r>
        <w:rPr>
          <w:rFonts w:eastAsia="__Inter_Fallback_9d3317" w:asciiTheme="majorBidi" w:hAnsiTheme="majorBidi" w:cstheme="majorBidi"/>
          <w:shd w:val="clear" w:color="auto" w:fill="FFFFFF"/>
        </w:rPr>
        <w:t xml:space="preserve"> adalah tindak pidana yang sanksi atau hukumannya telah ditetepkan oleh pemimpin atau pemerintahan.hukumannya tergantung pada jenis jarimah yang telah dilakukan.</w:t>
      </w:r>
    </w:p>
    <w:p>
      <w:pPr>
        <w:spacing w:line="312" w:lineRule="auto"/>
        <w:ind w:left="880" w:leftChars="400" w:firstLine="440" w:firstLineChars="200"/>
        <w:jc w:val="both"/>
        <w:rPr>
          <w:rFonts w:ascii="Times New Roman" w:hAnsi="Times New Roman" w:eastAsia="SimSun" w:cs="Times New Roman"/>
          <w:lang w:val="en-US"/>
        </w:rPr>
      </w:pPr>
      <w:r>
        <w:rPr>
          <w:rFonts w:ascii="Times New Roman" w:hAnsi="Times New Roman" w:eastAsia="SimSun" w:cs="Times New Roman"/>
        </w:rPr>
        <w:t xml:space="preserve">Dalam hukum Islam, sanksi berbentuk hukuman fisik yang bersifat memberikan efek jera terhadap produsen dan pengedar narkoba tidak secara eksplisit disebutkan dalam nash al-Qur’an maupun Hadits. Yang dijelaskan dalam sumber-sumber tersebut hanyalah hukuman bagi peminum khamr atau penyalahguna narkoba, yakni </w:t>
      </w:r>
      <w:r>
        <w:rPr>
          <w:rFonts w:ascii="Times New Roman" w:hAnsi="Times New Roman" w:eastAsia="SimSun" w:cs="Times New Roman"/>
          <w:i/>
          <w:iCs/>
        </w:rPr>
        <w:t>had</w:t>
      </w:r>
      <w:r>
        <w:rPr>
          <w:rFonts w:ascii="Times New Roman" w:hAnsi="Times New Roman" w:eastAsia="SimSun" w:cs="Times New Roman"/>
        </w:rPr>
        <w:t xml:space="preserve"> berupa cambukan sebanyak 40 atau 80 kali. Meskipun demikian, terdapat hadis yang secara tegas melaknat orang-orang yang berhubungan dengan khamr. Rasulullah Saw bersabda:</w:t>
      </w:r>
    </w:p>
    <w:p>
      <w:pPr>
        <w:bidi/>
        <w:spacing w:line="240" w:lineRule="auto"/>
        <w:ind w:left="-29" w:leftChars="-13" w:right="851" w:firstLine="1"/>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لَمَّا حَدَّثَنَا مُسْلِمٌ حَدَّثَنَا شُعْبَةُ عَنْ الْأَعْمَشِ عَنْ أَبِي الضُّحَى عَنْ مَسْرُوقٍ عَنْ عَائِشَةَ رَضِيَ اللَّهُ عَنْهَا نَزَلَتْ آيَاتُ سُورَةِ الْبَقَرَةِ عَنْ آخِرِهَا خَرَجَ النَّبِيُّ صَلَّى اللهُ عَلَيْهِ وَسَلَّمَ فَقَالَ حُرِّمَتْ التِّجَارَةُ فِي الْخَمْرِ</w:t>
      </w:r>
    </w:p>
    <w:p>
      <w:pPr>
        <w:spacing w:line="240" w:lineRule="auto"/>
        <w:ind w:left="1320" w:leftChars="600"/>
        <w:jc w:val="both"/>
        <w:rPr>
          <w:rFonts w:eastAsia="__Inter_Fallback_9d3317" w:asciiTheme="majorBidi" w:hAnsiTheme="majorBidi" w:cstheme="majorBidi"/>
          <w:shd w:val="clear" w:color="auto" w:fill="FFFFFF"/>
        </w:rPr>
      </w:pPr>
      <w:r>
        <w:rPr>
          <w:rFonts w:ascii="Times New Roman" w:hAnsi="Times New Roman" w:eastAsia="SimSun" w:cs="Times New Roman"/>
          <w:i/>
          <w:iCs/>
        </w:rPr>
        <w:t>“Telah menceritakan kepada kami Muslim telah menceritakan kepada kami Syu'bah dari Al A'masy dari Abu Adh-Dhuhaa dari Masruq dari 'Aisyah radliallahu 'anha; Ketika turun ayat-ayat akhir dari Surah Al Baqarah, Nabi shallallahu 'alaihi wasallam keluar lalu bersabda: "Telah diharamkan perdagangan khamar (minuman keras)”.</w:t>
      </w:r>
      <w:r>
        <w:rPr>
          <w:rStyle w:val="17"/>
          <w:rFonts w:ascii="Times New Roman" w:hAnsi="Times New Roman" w:eastAsia="SimSun" w:cs="Times New Roman"/>
        </w:rPr>
        <w:footnoteReference w:id="83"/>
      </w:r>
    </w:p>
    <w:p>
      <w:pPr>
        <w:spacing w:after="0" w:line="312" w:lineRule="auto"/>
        <w:ind w:left="893" w:leftChars="406" w:firstLine="424" w:firstLineChars="193"/>
        <w:contextualSpacing/>
        <w:jc w:val="both"/>
        <w:rPr>
          <w:rFonts w:eastAsia="__Inter_Fallback_9d3317" w:asciiTheme="majorBidi" w:hAnsiTheme="majorBidi" w:cstheme="majorBidi"/>
          <w:shd w:val="clear" w:color="auto" w:fill="FFFFFF"/>
          <w:lang w:val="en-US"/>
        </w:rPr>
      </w:pPr>
      <w:r>
        <w:rPr>
          <w:rFonts w:eastAsia="__Inter_Fallback_9d3317" w:asciiTheme="majorBidi" w:hAnsiTheme="majorBidi" w:cstheme="majorBidi"/>
          <w:shd w:val="clear" w:color="auto" w:fill="FFFFFF"/>
          <w:lang w:val="en-US"/>
        </w:rPr>
        <w:t xml:space="preserve">Pendapat paling sering digunakan mengenai hukuman narkotika adalah pendapat Wahab Zuhaili. Fuqoha (para ahli ilmu Fiqih yang paham mengenai Islam) sepakat bahwa sanksi pidana narkotika adalah </w:t>
      </w:r>
      <w:r>
        <w:rPr>
          <w:rFonts w:eastAsia="__Inter_Fallback_9d3317" w:asciiTheme="majorBidi" w:hAnsiTheme="majorBidi" w:cstheme="majorBidi"/>
          <w:i/>
          <w:iCs/>
          <w:shd w:val="clear" w:color="auto" w:fill="FFFFFF"/>
          <w:lang w:val="en-US"/>
        </w:rPr>
        <w:t xml:space="preserve">ta’zir. </w:t>
      </w:r>
      <w:r>
        <w:rPr>
          <w:rFonts w:eastAsia="__Inter_Fallback_9d3317" w:asciiTheme="majorBidi" w:hAnsiTheme="majorBidi" w:cstheme="majorBidi"/>
          <w:shd w:val="clear" w:color="auto" w:fill="FFFFFF"/>
          <w:lang w:val="en-US"/>
        </w:rPr>
        <w:t xml:space="preserve">Wahbah Zuhaili berpendapat: </w:t>
      </w:r>
    </w:p>
    <w:p>
      <w:pPr>
        <w:pStyle w:val="11"/>
        <w:bidi/>
        <w:ind w:left="-29" w:leftChars="-14" w:right="851" w:hanging="2"/>
        <w:jc w:val="both"/>
        <w:rPr>
          <w:rStyle w:val="19"/>
        </w:rPr>
      </w:pPr>
      <w:r>
        <w:rPr>
          <w:rStyle w:val="19"/>
        </w:rPr>
        <w:t>وَ</w:t>
      </w:r>
      <w:r>
        <w:rPr>
          <w:rStyle w:val="19"/>
          <w:rFonts w:ascii="Traditional Arabic" w:hAnsi="Traditional Arabic" w:cs="Traditional Arabic"/>
          <w:b w:val="0"/>
          <w:bCs w:val="0"/>
          <w:sz w:val="32"/>
          <w:szCs w:val="32"/>
        </w:rPr>
        <w:t>لَا حَدَّ فِي الحَشِيشَةِ وَالبَنجِ وَالأُفْيُونِ، لِأَنَّهَا لَا نَشْوَةَ فِيهَا وَلَا طَرَبَ، وَلَكِن تُعَزَّرُ عُقُوبَةً عَلَيْهَا، لِأَنَّهَا تُزِيلُ العَقْلَ وَتَضُرُّ بِالبَدَنِ، وَيَجُوزُ اسْتِعْمَالُهَا فِي التَّدَاوِي بِقَدْرٍ يَسِيرٍ</w:t>
      </w:r>
      <w:r>
        <w:rPr>
          <w:rStyle w:val="19"/>
        </w:rPr>
        <w:t>.</w:t>
      </w:r>
    </w:p>
    <w:p>
      <w:pPr>
        <w:pStyle w:val="11"/>
        <w:tabs>
          <w:tab w:val="left" w:pos="1320"/>
        </w:tabs>
        <w:spacing w:beforeAutospacing="0" w:afterAutospacing="0" w:line="240" w:lineRule="auto"/>
        <w:ind w:left="1320" w:leftChars="600"/>
        <w:jc w:val="both"/>
        <w:rPr>
          <w:rFonts w:eastAsia="__Inter_Fallback_9d3317" w:asciiTheme="majorBidi" w:hAnsiTheme="majorBidi" w:cstheme="majorBidi"/>
          <w:shd w:val="clear" w:color="auto" w:fill="FFFFFF"/>
        </w:rPr>
      </w:pPr>
      <w:r>
        <w:rPr>
          <w:i/>
          <w:iCs/>
          <w:sz w:val="22"/>
          <w:szCs w:val="22"/>
        </w:rPr>
        <w:t xml:space="preserve">“Tidak ada hukuman </w:t>
      </w:r>
      <w:r>
        <w:rPr>
          <w:rStyle w:val="16"/>
          <w:sz w:val="22"/>
          <w:szCs w:val="22"/>
        </w:rPr>
        <w:t>ḥadd</w:t>
      </w:r>
      <w:r>
        <w:rPr>
          <w:i/>
          <w:iCs/>
          <w:sz w:val="22"/>
          <w:szCs w:val="22"/>
        </w:rPr>
        <w:t xml:space="preserve"> terhadap penggunaan ganja, bang, dan opium, karena zat-zat itu tidak menimbulkan kenikmatan (</w:t>
      </w:r>
      <w:r>
        <w:rPr>
          <w:rStyle w:val="16"/>
          <w:sz w:val="22"/>
          <w:szCs w:val="22"/>
        </w:rPr>
        <w:t>nashwah</w:t>
      </w:r>
      <w:r>
        <w:rPr>
          <w:i/>
          <w:iCs/>
          <w:sz w:val="22"/>
          <w:szCs w:val="22"/>
        </w:rPr>
        <w:t>) dan kegembiraan (</w:t>
      </w:r>
      <w:r>
        <w:rPr>
          <w:rStyle w:val="16"/>
          <w:sz w:val="22"/>
          <w:szCs w:val="22"/>
        </w:rPr>
        <w:t>ṭarab</w:t>
      </w:r>
      <w:r>
        <w:rPr>
          <w:i/>
          <w:iCs/>
          <w:sz w:val="22"/>
          <w:szCs w:val="22"/>
        </w:rPr>
        <w:t xml:space="preserve">) seperti khamr. Akan tetapi, dapat dikenai hukuman </w:t>
      </w:r>
      <w:r>
        <w:rPr>
          <w:rStyle w:val="16"/>
          <w:sz w:val="22"/>
          <w:szCs w:val="22"/>
        </w:rPr>
        <w:t>ta‘zīr</w:t>
      </w:r>
      <w:r>
        <w:rPr>
          <w:i/>
          <w:iCs/>
          <w:sz w:val="22"/>
          <w:szCs w:val="22"/>
        </w:rPr>
        <w:t xml:space="preserve"> karena dapat menghilangkan akal dan membahayakan tubuh. Diperbolehkan penggunaannya dalam kadar kecil untuk pengobatan</w:t>
      </w:r>
      <w:r>
        <w:rPr>
          <w:rFonts w:ascii="SimSun" w:hAnsi="SimSun" w:cs="SimSun"/>
          <w:i/>
          <w:iCs/>
        </w:rPr>
        <w:t>”</w:t>
      </w:r>
      <w:r>
        <w:rPr>
          <w:rStyle w:val="17"/>
          <w:rFonts w:ascii="SimSun" w:hAnsi="SimSun" w:cs="SimSun"/>
          <w:i/>
          <w:iCs/>
        </w:rPr>
        <w:footnoteReference w:id="84"/>
      </w:r>
    </w:p>
    <w:p>
      <w:pPr>
        <w:spacing w:after="0" w:line="312" w:lineRule="auto"/>
        <w:ind w:left="893" w:leftChars="406" w:firstLine="424" w:firstLineChars="193"/>
        <w:contextualSpacing/>
        <w:jc w:val="both"/>
        <w:rPr>
          <w:rFonts w:eastAsia="__Inter_Fallback_9d3317" w:asciiTheme="majorBidi" w:hAnsiTheme="majorBidi" w:cstheme="majorBidi"/>
          <w:shd w:val="clear" w:color="auto" w:fill="FFFFFF"/>
          <w:lang w:val="en-US"/>
        </w:rPr>
      </w:pPr>
    </w:p>
    <w:p>
      <w:pPr>
        <w:spacing w:line="312" w:lineRule="auto"/>
        <w:ind w:left="880" w:leftChars="400" w:firstLine="440" w:firstLineChars="200"/>
        <w:jc w:val="both"/>
        <w:rPr>
          <w:rFonts w:eastAsia="__Inter_Fallback_9d3317" w:asciiTheme="majorBidi" w:hAnsiTheme="majorBidi" w:cstheme="majorBidi"/>
          <w:shd w:val="clear" w:color="auto" w:fill="FFFFFF"/>
          <w:lang w:val="en-US"/>
        </w:rPr>
      </w:pPr>
      <w:r>
        <w:rPr>
          <w:rFonts w:ascii="Times New Roman" w:hAnsi="Times New Roman" w:eastAsia="SimSun" w:cs="Times New Roman"/>
          <w:lang w:val="en-US"/>
        </w:rPr>
        <w:t>Dalam pernyataan tersebut k</w:t>
      </w:r>
      <w:r>
        <w:rPr>
          <w:rFonts w:ascii="Times New Roman" w:hAnsi="Times New Roman" w:eastAsia="SimSun" w:cs="Times New Roman"/>
        </w:rPr>
        <w:t>ejahatan yang tidak secara langsung ditentukan sanksi atau ancaman hukum duniawinya oleh Allah atau Nabi tetap tidak dibiarkan tanpa hukuman. Meskipun pelakunya tidak terkena ancaman hukuman yang bersifat tetap (had), ia tetap dapat dikenai sanksi dunia. Penentuan hukum atas perbuatan tersebut diserahkan kepada hasil ijtihad para ulama dan ditetapkan oleh pemerintah melalui lembaga legislatif, untuk kemudian dijatuhkan oleh hakim di pengadilan. Bentuk hukuman semacam ini dikenal dengan istilah taʿzir.</w:t>
      </w:r>
    </w:p>
    <w:p>
      <w:pPr>
        <w:spacing w:after="0" w:line="312" w:lineRule="auto"/>
        <w:ind w:left="893" w:leftChars="406" w:firstLine="424" w:firstLineChars="193"/>
        <w:contextualSpacing/>
        <w:jc w:val="both"/>
        <w:rPr>
          <w:rFonts w:eastAsia="__Inter_Fallback_9d3317" w:asciiTheme="majorBidi" w:hAnsiTheme="majorBidi" w:cstheme="majorBidi"/>
          <w:shd w:val="clear" w:color="auto" w:fill="FFFFFF"/>
          <w:lang w:val="en-US"/>
        </w:rPr>
      </w:pPr>
      <w:r>
        <w:rPr>
          <w:rFonts w:eastAsia="__Inter_Fallback_9d3317" w:asciiTheme="majorBidi" w:hAnsiTheme="majorBidi" w:cstheme="majorBidi"/>
          <w:shd w:val="clear" w:color="auto" w:fill="FFFFFF"/>
          <w:lang w:val="en-US"/>
        </w:rPr>
        <w:t>Dijelaskan dalam Hadis dari Umu Musalamah yang diriwayatkan oleh Imam Ahmad, yang berbunyi:</w:t>
      </w:r>
    </w:p>
    <w:p>
      <w:pPr>
        <w:spacing w:after="0" w:line="312" w:lineRule="auto"/>
        <w:ind w:left="1316" w:leftChars="598" w:firstLine="402" w:firstLineChars="183"/>
        <w:contextualSpacing/>
        <w:jc w:val="both"/>
        <w:rPr>
          <w:rFonts w:eastAsia="__Inter_Fallback_9d3317" w:asciiTheme="majorBidi" w:hAnsiTheme="majorBidi" w:cstheme="majorBidi"/>
          <w:shd w:val="clear" w:color="auto" w:fill="FFFFFF"/>
          <w:lang w:val="en-US"/>
        </w:rPr>
      </w:pPr>
    </w:p>
    <w:p>
      <w:pPr>
        <w:spacing w:after="0" w:line="240" w:lineRule="auto"/>
        <w:ind w:left="1111" w:leftChars="400" w:hanging="231" w:firstLineChars="0"/>
        <w:contextualSpacing/>
        <w:jc w:val="right"/>
        <w:rPr>
          <w:rFonts w:ascii="Traditional Arabic" w:hAnsi="Traditional Arabic" w:eastAsia="__Inter_Fallback_9d3317" w:cs="Traditional Arabic"/>
          <w:sz w:val="32"/>
          <w:szCs w:val="32"/>
          <w:shd w:val="clear" w:color="auto" w:fill="FFFFFF"/>
          <w:rtl/>
          <w:lang w:val="en-US"/>
        </w:rPr>
      </w:pPr>
      <w:r>
        <w:rPr>
          <w:rFonts w:ascii="Traditional Arabic" w:hAnsi="Traditional Arabic" w:eastAsia="__Inter_Fallback_9d3317" w:cs="Traditional Arabic"/>
          <w:color w:val="000000" w:themeColor="text1"/>
          <w:sz w:val="32"/>
          <w:szCs w:val="32"/>
          <w:shd w:val="clear" w:color="auto" w:fill="FFFFFF"/>
          <w:lang w:val="en-US"/>
          <w14:textFill>
            <w14:solidFill>
              <w14:schemeClr w14:val="tx1"/>
            </w14:solidFill>
          </w14:textFill>
        </w:rPr>
        <w:t xml:space="preserve">نَهَى رَسُولُ اللهِ صَلَّى اللهُ عَلَيْهِ وَسَلَّمَ عَنْ كُلِّ مُسْكِرٍ وَمُفَتَرٍ (رواه أحمد في مسندهوأبو داود في سننه سند صحيح </w:t>
      </w:r>
    </w:p>
    <w:p>
      <w:pPr>
        <w:spacing w:after="0" w:line="240" w:lineRule="auto"/>
        <w:ind w:left="1701" w:leftChars="77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i/>
          <w:iCs/>
          <w:shd w:val="clear" w:color="auto" w:fill="FFFFFF"/>
          <w:lang w:val="en-US"/>
        </w:rPr>
        <w:t xml:space="preserve"> “Rasulallah SAW melarang daripada tiap-tiap barang yang memabukan dan melemahkan akal dan badan”</w:t>
      </w:r>
      <w:r>
        <w:rPr>
          <w:rFonts w:eastAsia="__Inter_Fallback_9d3317" w:asciiTheme="majorBidi" w:hAnsiTheme="majorBidi" w:cstheme="majorBidi"/>
          <w:shd w:val="clear" w:color="auto" w:fill="FFFFFF"/>
          <w:lang w:val="en-US"/>
        </w:rPr>
        <w:t>. (Hadis riwayat Ahmad dalam sunnahnya, dengan sanad shahih).</w:t>
      </w:r>
    </w:p>
    <w:p>
      <w:pPr>
        <w:spacing w:after="0" w:line="312" w:lineRule="auto"/>
        <w:ind w:left="1316" w:leftChars="598" w:firstLine="402" w:firstLineChars="183"/>
        <w:contextualSpacing/>
        <w:jc w:val="both"/>
        <w:rPr>
          <w:rFonts w:eastAsia="__Inter_Fallback_9d3317" w:asciiTheme="majorBidi" w:hAnsiTheme="majorBidi" w:cstheme="majorBidi"/>
          <w:shd w:val="clear" w:color="auto" w:fill="FFFFFF"/>
        </w:rPr>
      </w:pPr>
    </w:p>
    <w:p>
      <w:pPr>
        <w:spacing w:after="0" w:line="312" w:lineRule="auto"/>
        <w:ind w:left="1113" w:leftChars="506" w:firstLine="424" w:firstLineChars="19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lang w:val="en-US"/>
        </w:rPr>
        <w:t>Dalam Hadis tersebut dijelaskan bahwa Nabi Muhammad melarang sesuatu baik itu yang melemahkan akal dan badan. Narkotika kalau digunakan dalam jangka panjang dan banyak juga sangat mempengaruhi kesehatan fisik dan akal.</w:t>
      </w:r>
    </w:p>
    <w:p>
      <w:pPr>
        <w:spacing w:after="0" w:line="312" w:lineRule="auto"/>
        <w:ind w:left="1113" w:leftChars="506" w:firstLine="424" w:firstLineChars="193"/>
        <w:contextualSpacing/>
        <w:jc w:val="both"/>
        <w:rPr>
          <w:rFonts w:eastAsia="__Inter_Fallback_9d3317" w:asciiTheme="majorBidi" w:hAnsiTheme="majorBidi" w:cstheme="majorBidi"/>
          <w:shd w:val="clear" w:color="auto" w:fill="FFFFFF"/>
        </w:rPr>
      </w:pPr>
      <w:r>
        <w:rPr>
          <w:rFonts w:eastAsia="__Inter_Fallback_9d3317" w:asciiTheme="majorBidi" w:hAnsiTheme="majorBidi" w:cstheme="majorBidi"/>
          <w:shd w:val="clear" w:color="auto" w:fill="FFFFFF"/>
        </w:rPr>
        <w:t xml:space="preserve">Dalam Fatwa MUI juga memutuskan bahwa haram hukumnya penyalahgunaan narkotika dan semacamnya, yang membawa kemudharatan yang mengakibatkan rusak mental fisiknya seseorang, serta terancamnya keamanan masyarakat dan ketahanan nasional. </w:t>
      </w:r>
      <w:r>
        <w:rPr>
          <w:rFonts w:eastAsia="__Inter_Fallback_9d3317" w:asciiTheme="majorBidi" w:hAnsiTheme="majorBidi" w:cstheme="majorBidi"/>
          <w:shd w:val="clear" w:color="auto" w:fill="FFFFFF"/>
          <w:lang w:val="en-US"/>
        </w:rPr>
        <w:t>Dan, menganjurkan kepada Presiden membuat intruksi-intruksi yang lebih keras dan inisiatif terhadap penanggulangan korban penyalahgunaan narkotika.</w:t>
      </w:r>
      <w:r>
        <w:rPr>
          <w:rStyle w:val="17"/>
          <w:rFonts w:eastAsia="__Inter_Fallback_9d3317" w:asciiTheme="majorBidi" w:hAnsiTheme="majorBidi" w:cstheme="majorBidi"/>
          <w:shd w:val="clear" w:color="auto" w:fill="FFFFFF"/>
          <w:lang w:val="en-US"/>
        </w:rPr>
        <w:footnoteReference w:id="85"/>
      </w:r>
      <w:r>
        <w:rPr>
          <w:rFonts w:eastAsia="__Inter_Fallback_9d3317" w:asciiTheme="majorBidi" w:hAnsiTheme="majorBidi" w:cstheme="majorBidi"/>
          <w:shd w:val="clear" w:color="auto" w:fill="FFFFFF"/>
          <w:lang w:val="en-US"/>
        </w:rPr>
        <w:t xml:space="preserve"> </w:t>
      </w:r>
    </w:p>
    <w:p>
      <w:pPr>
        <w:spacing w:after="0" w:line="312" w:lineRule="auto"/>
        <w:ind w:left="1113" w:leftChars="506" w:firstLine="424" w:firstLineChars="193"/>
        <w:contextualSpacing/>
        <w:jc w:val="both"/>
        <w:rPr>
          <w:rFonts w:eastAsia="__Inter_Fallback_9d3317" w:asciiTheme="majorBidi" w:hAnsiTheme="majorBidi" w:cstheme="majorBidi"/>
          <w:shd w:val="clear" w:color="auto" w:fill="FFFFFF"/>
          <w:lang w:val="en-US"/>
        </w:rPr>
      </w:pPr>
      <w:r>
        <w:rPr>
          <w:rFonts w:eastAsia="__Inter_Fallback_9d3317" w:asciiTheme="majorBidi" w:hAnsiTheme="majorBidi" w:cstheme="majorBidi"/>
          <w:shd w:val="clear" w:color="auto" w:fill="FFFFFF"/>
          <w:lang w:val="en-US"/>
        </w:rPr>
        <w:t>Dalam Fatwa MUI 10 Februari 1976 yang ditandatangani K.H. M. Syukri Ghozali sebagai ketua dan H. Amirrudin Siregar sebagai Sekertaris. Disebutkan bahwa untuk mencegah terjadinya penyalahgunaan narkotika dan semacamnya yang mengakibatkan kerugian jiwa dan harga benda. Dalam hal ini perlu adanya tindakan-tindakan dan usaha-usahan:</w:t>
      </w:r>
    </w:p>
    <w:p>
      <w:pPr>
        <w:numPr>
          <w:ilvl w:val="0"/>
          <w:numId w:val="51"/>
        </w:numPr>
        <w:tabs>
          <w:tab w:val="clear" w:pos="425"/>
        </w:tabs>
        <w:spacing w:after="0" w:line="312" w:lineRule="auto"/>
        <w:ind w:left="1320" w:leftChars="0" w:hanging="220" w:firstLineChars="0"/>
        <w:contextualSpacing/>
        <w:jc w:val="both"/>
        <w:rPr>
          <w:rFonts w:eastAsia="sans-serif" w:asciiTheme="majorBidi" w:hAnsiTheme="majorBidi" w:cstheme="majorBidi"/>
          <w:shd w:val="clear" w:color="auto" w:fill="FFFFFF"/>
        </w:rPr>
      </w:pPr>
      <w:r>
        <w:rPr>
          <w:rFonts w:eastAsia="sans-serif" w:asciiTheme="majorBidi" w:hAnsiTheme="majorBidi" w:cstheme="majorBidi"/>
          <w:shd w:val="clear" w:color="auto" w:fill="FFFFFF"/>
        </w:rPr>
        <w:t>Menjatuhkan hukuman berat/keras terhadap penjual/pengedar/penyelundup bahan-bahan narkotika sampai kepada hukuman mati.</w:t>
      </w:r>
    </w:p>
    <w:p>
      <w:pPr>
        <w:numPr>
          <w:ilvl w:val="0"/>
          <w:numId w:val="51"/>
        </w:numPr>
        <w:tabs>
          <w:tab w:val="clear" w:pos="425"/>
        </w:tabs>
        <w:spacing w:after="0" w:line="312" w:lineRule="auto"/>
        <w:ind w:left="1320" w:leftChars="0" w:hanging="220" w:firstLineChars="0"/>
        <w:contextualSpacing/>
        <w:jc w:val="both"/>
        <w:rPr>
          <w:rFonts w:eastAsia="sans-serif" w:asciiTheme="majorBidi" w:hAnsiTheme="majorBidi" w:cstheme="majorBidi"/>
          <w:shd w:val="clear" w:color="auto" w:fill="FFFFFF"/>
        </w:rPr>
      </w:pPr>
      <w:r>
        <w:rPr>
          <w:rFonts w:eastAsia="sans-serif" w:asciiTheme="majorBidi" w:hAnsiTheme="majorBidi" w:cstheme="majorBidi"/>
          <w:shd w:val="clear" w:color="auto" w:fill="FFFFFF"/>
        </w:rPr>
        <w:t xml:space="preserve">Menjatuhkan hukuman berat terhadap petugas-petugas keamanan dan lain-lain, petugas pemerintah sipil dan militer yang </w:t>
      </w:r>
      <w:r>
        <w:rPr>
          <w:rFonts w:eastAsia="sans-serif" w:asciiTheme="majorBidi" w:hAnsiTheme="majorBidi" w:cstheme="majorBidi"/>
          <w:shd w:val="clear" w:color="auto" w:fill="FFFFFF"/>
          <w:lang w:val="en-US"/>
        </w:rPr>
        <w:t>memudahkan</w:t>
      </w:r>
      <w:r>
        <w:rPr>
          <w:rFonts w:eastAsia="sans-serif" w:asciiTheme="majorBidi" w:hAnsiTheme="majorBidi" w:cstheme="majorBidi"/>
          <w:shd w:val="clear" w:color="auto" w:fill="FFFFFF"/>
        </w:rPr>
        <w:t>, meloloskan, membiarkan apalagi melindungi sumber/penjual/ pengecer/pengedar gelap narkotika.</w:t>
      </w:r>
    </w:p>
    <w:p>
      <w:pPr>
        <w:numPr>
          <w:ilvl w:val="0"/>
          <w:numId w:val="51"/>
        </w:numPr>
        <w:tabs>
          <w:tab w:val="clear" w:pos="425"/>
        </w:tabs>
        <w:spacing w:after="0" w:line="312" w:lineRule="auto"/>
        <w:ind w:left="1320" w:leftChars="0" w:hanging="220" w:firstLineChars="0"/>
        <w:contextualSpacing/>
        <w:jc w:val="both"/>
        <w:rPr>
          <w:rFonts w:eastAsia="sans-serif" w:asciiTheme="majorBidi" w:hAnsiTheme="majorBidi" w:cstheme="majorBidi"/>
          <w:shd w:val="clear" w:color="auto" w:fill="FFFFFF"/>
        </w:rPr>
      </w:pPr>
      <w:r>
        <w:rPr>
          <w:rFonts w:eastAsia="sans-serif" w:asciiTheme="majorBidi" w:hAnsiTheme="majorBidi" w:cstheme="majorBidi"/>
          <w:shd w:val="clear" w:color="auto" w:fill="FFFFFF"/>
        </w:rPr>
        <w:t>Mengeluarkan peraturan-peraturan yang lebih keras dan sanksi yang lebih berat terhadap mereka yang mempunyai legalitas untuk penjualan narkotika agar tidak disalahgunakan.</w:t>
      </w:r>
    </w:p>
    <w:p>
      <w:pPr>
        <w:numPr>
          <w:ilvl w:val="0"/>
          <w:numId w:val="51"/>
        </w:numPr>
        <w:tabs>
          <w:tab w:val="clear" w:pos="425"/>
        </w:tabs>
        <w:spacing w:after="0" w:line="312" w:lineRule="auto"/>
        <w:ind w:left="1320" w:leftChars="0" w:hanging="220" w:firstLineChars="0"/>
        <w:contextualSpacing/>
        <w:jc w:val="both"/>
        <w:rPr>
          <w:rFonts w:eastAsia="__Inter_Fallback_9d3317" w:asciiTheme="majorBidi" w:hAnsiTheme="majorBidi" w:cstheme="majorBidi"/>
          <w:shd w:val="clear" w:color="auto" w:fill="FFFFFF"/>
        </w:rPr>
      </w:pPr>
      <w:r>
        <w:rPr>
          <w:rFonts w:eastAsia="sans-serif" w:asciiTheme="majorBidi" w:hAnsiTheme="majorBidi" w:cstheme="majorBidi"/>
          <w:shd w:val="clear" w:color="auto" w:fill="FFFFFF"/>
        </w:rPr>
        <w:t xml:space="preserve">Mengadakan usaha-usaha preventif dengan membuat </w:t>
      </w:r>
      <w:r>
        <w:rPr>
          <w:rFonts w:eastAsia="sans-serif" w:asciiTheme="majorBidi" w:hAnsiTheme="majorBidi" w:cstheme="majorBidi"/>
          <w:shd w:val="clear" w:color="auto" w:fill="FFFFFF"/>
          <w:lang w:val="en-US"/>
        </w:rPr>
        <w:t>Undang-Undang</w:t>
      </w:r>
      <w:r>
        <w:rPr>
          <w:rFonts w:eastAsia="sans-serif" w:asciiTheme="majorBidi" w:hAnsiTheme="majorBidi" w:cstheme="majorBidi"/>
          <w:shd w:val="clear" w:color="auto" w:fill="FFFFFF"/>
        </w:rPr>
        <w:t xml:space="preserve"> mengenai penggunaan da</w:t>
      </w:r>
      <w:r>
        <w:rPr>
          <w:rFonts w:eastAsia="sans-serif" w:asciiTheme="majorBidi" w:hAnsiTheme="majorBidi" w:cstheme="majorBidi"/>
          <w:shd w:val="clear" w:color="auto" w:fill="FFFFFF"/>
          <w:lang w:val="en-US"/>
        </w:rPr>
        <w:t>n penyalahgunaan narkotika dan semacamnya.</w:t>
      </w:r>
    </w:p>
    <w:p>
      <w:pPr>
        <w:pStyle w:val="11"/>
        <w:shd w:val="clear" w:color="auto" w:fill="FFFFFF"/>
        <w:spacing w:beforeAutospacing="0" w:afterAutospacing="0" w:line="312" w:lineRule="auto"/>
        <w:ind w:left="1318" w:leftChars="599" w:firstLine="400" w:firstLineChars="182"/>
        <w:contextualSpacing/>
        <w:jc w:val="both"/>
        <w:rPr>
          <w:rFonts w:eastAsia="sans-serif" w:asciiTheme="majorBidi" w:hAnsiTheme="majorBidi" w:cstheme="majorBidi"/>
          <w:sz w:val="22"/>
          <w:szCs w:val="22"/>
          <w:shd w:val="clear" w:color="auto" w:fill="FFFFFF"/>
          <w:lang w:val="id-ID"/>
        </w:rPr>
      </w:pPr>
      <w:r>
        <w:rPr>
          <w:rFonts w:eastAsia="sans-serif" w:asciiTheme="majorBidi" w:hAnsiTheme="majorBidi" w:cstheme="majorBidi"/>
          <w:sz w:val="22"/>
          <w:szCs w:val="22"/>
          <w:shd w:val="clear" w:color="auto" w:fill="FFFFFF"/>
          <w:lang w:val="id-ID"/>
        </w:rPr>
        <w:t>kemudian MUI menyambut baik dan menghargai segala usaha menanggulangi segala akibat yang timbul dari bahaya penyalahgunaan narkotika dan semacamnya.</w:t>
      </w:r>
    </w:p>
    <w:p>
      <w:pPr>
        <w:spacing w:after="0" w:line="312" w:lineRule="auto"/>
        <w:ind w:left="1316" w:leftChars="598" w:firstLine="402" w:firstLineChars="183"/>
        <w:contextualSpacing/>
        <w:jc w:val="both"/>
        <w:rPr>
          <w:rFonts w:eastAsia="__Inter_Fallback_9d3317" w:asciiTheme="majorBidi" w:hAnsiTheme="majorBidi" w:cstheme="majorBidi"/>
          <w:shd w:val="clear" w:color="auto" w:fill="FFFFFF"/>
          <w:lang w:val="en-US"/>
        </w:rPr>
      </w:pPr>
      <w:r>
        <w:rPr>
          <w:rFonts w:eastAsia="__Inter_Fallback_9d3317" w:asciiTheme="majorBidi" w:hAnsiTheme="majorBidi" w:cstheme="majorBidi"/>
          <w:shd w:val="clear" w:color="auto" w:fill="FFFFFF"/>
          <w:lang w:val="en-US"/>
        </w:rPr>
        <w:t xml:space="preserve">Fatwa MUI dan pendapat Wahab Zuhaili sama mengenai sanksi yang diberikan kepada jarimah narotika, yaitu hukuman </w:t>
      </w:r>
      <w:r>
        <w:rPr>
          <w:rFonts w:eastAsia="__Inter_Fallback_9d3317" w:asciiTheme="majorBidi" w:hAnsiTheme="majorBidi" w:cstheme="majorBidi"/>
          <w:i/>
          <w:iCs/>
          <w:shd w:val="clear" w:color="auto" w:fill="FFFFFF"/>
          <w:lang w:val="en-US"/>
        </w:rPr>
        <w:t>ta’zir</w:t>
      </w:r>
      <w:r>
        <w:rPr>
          <w:rFonts w:eastAsia="__Inter_Fallback_9d3317" w:asciiTheme="majorBidi" w:hAnsiTheme="majorBidi" w:cstheme="majorBidi"/>
          <w:shd w:val="clear" w:color="auto" w:fill="FFFFFF"/>
          <w:lang w:val="en-US"/>
        </w:rPr>
        <w:t>. Karena efek yang ditimbulkan dari penggunaan narkotika. Hukumannya tergantung pada peraturan yang dibuat masing-masing pemerintahan atau negara. Bisa bermacam-macam tergantung pada tingkatan perbuatan yang langgar.</w:t>
      </w:r>
    </w:p>
    <w:p>
      <w:pPr>
        <w:spacing w:after="0" w:line="312" w:lineRule="auto"/>
        <w:ind w:left="1316" w:leftChars="598" w:firstLine="402" w:firstLineChars="183"/>
        <w:contextualSpacing/>
        <w:jc w:val="both"/>
        <w:rPr>
          <w:rFonts w:eastAsia="__Inter_Fallback_9d3317" w:asciiTheme="majorBidi" w:hAnsiTheme="majorBidi" w:cstheme="majorBidi"/>
          <w:shd w:val="clear" w:color="auto" w:fill="FFFFFF"/>
          <w:lang w:val="en-US"/>
        </w:rPr>
      </w:pPr>
    </w:p>
    <w:p>
      <w:pPr>
        <w:spacing w:after="0" w:line="312" w:lineRule="auto"/>
        <w:ind w:left="656" w:leftChars="298" w:firstLine="442" w:firstLineChars="201"/>
        <w:jc w:val="both"/>
        <w:rPr>
          <w:rFonts w:ascii="Times New Roman" w:hAnsi="Times New Roman" w:eastAsia="SimSun" w:cs="Times New Roman"/>
        </w:rPr>
      </w:pPr>
      <w:r>
        <w:rPr>
          <w:rFonts w:ascii="Times New Roman" w:hAnsi="Times New Roman" w:eastAsia="SimSun" w:cs="Times New Roman"/>
          <w:lang w:val="en-US"/>
        </w:rPr>
        <w:t>D</w:t>
      </w:r>
      <w:r>
        <w:rPr>
          <w:rFonts w:ascii="Times New Roman" w:hAnsi="Times New Roman" w:eastAsia="SimSun" w:cs="Times New Roman"/>
        </w:rPr>
        <w:t>ari penjelasan di atas, penulis menyimpulkan bahwa</w:t>
      </w:r>
      <w:r>
        <w:rPr>
          <w:rFonts w:ascii="Times New Roman" w:hAnsi="Times New Roman" w:eastAsia="SimSun" w:cs="Times New Roman"/>
          <w:lang w:val="en-US"/>
        </w:rPr>
        <w:t xml:space="preserve"> hukuman narkotika dibagi menjadi 2, yaitu hukuman hudud bagi pengonsumsi narkotika yang mewajibkan dijatuhkannya hukuman had, dan hukuman </w:t>
      </w:r>
      <w:r>
        <w:rPr>
          <w:rFonts w:ascii="Times New Roman" w:hAnsi="Times New Roman" w:eastAsia="SimSun" w:cs="Times New Roman"/>
          <w:i/>
          <w:iCs/>
          <w:lang w:val="en-US"/>
        </w:rPr>
        <w:t>ta’zir</w:t>
      </w:r>
      <w:r>
        <w:rPr>
          <w:rFonts w:ascii="Times New Roman" w:hAnsi="Times New Roman" w:eastAsia="SimSun" w:cs="Times New Roman"/>
          <w:lang w:val="en-US"/>
        </w:rPr>
        <w:t xml:space="preserve"> bagi pengedar atau pembuat narkotika</w:t>
      </w:r>
      <w:r>
        <w:rPr>
          <w:rFonts w:ascii="Times New Roman" w:hAnsi="Times New Roman" w:eastAsia="SimSun" w:cs="Times New Roman"/>
        </w:rPr>
        <w:t xml:space="preserve">. Perbedaan antara </w:t>
      </w:r>
      <w:r>
        <w:rPr>
          <w:rFonts w:ascii="Times New Roman" w:hAnsi="Times New Roman" w:eastAsia="SimSun" w:cs="Times New Roman"/>
          <w:i/>
          <w:iCs/>
        </w:rPr>
        <w:t>hudud</w:t>
      </w:r>
      <w:r>
        <w:rPr>
          <w:rFonts w:ascii="Times New Roman" w:hAnsi="Times New Roman" w:eastAsia="SimSun" w:cs="Times New Roman"/>
        </w:rPr>
        <w:t xml:space="preserve"> dan </w:t>
      </w:r>
      <w:r>
        <w:rPr>
          <w:rFonts w:ascii="Times New Roman" w:hAnsi="Times New Roman" w:eastAsia="SimSun" w:cs="Times New Roman"/>
          <w:i/>
          <w:iCs/>
        </w:rPr>
        <w:t>taʿzir</w:t>
      </w:r>
      <w:r>
        <w:rPr>
          <w:rFonts w:ascii="Times New Roman" w:hAnsi="Times New Roman" w:eastAsia="SimSun" w:cs="Times New Roman"/>
        </w:rPr>
        <w:t xml:space="preserve"> terletak pada penetapan hukumannya, jarimah hudud merupakan kejahatan yang hukumannya telah ditetapkan secara pasti oleh syariat, sedangkan jarimah </w:t>
      </w:r>
      <w:r>
        <w:rPr>
          <w:rFonts w:ascii="Times New Roman" w:hAnsi="Times New Roman" w:eastAsia="SimSun" w:cs="Times New Roman"/>
          <w:i/>
          <w:iCs/>
        </w:rPr>
        <w:t>taʿzir</w:t>
      </w:r>
      <w:r>
        <w:rPr>
          <w:rFonts w:ascii="Times New Roman" w:hAnsi="Times New Roman" w:eastAsia="SimSun" w:cs="Times New Roman"/>
        </w:rPr>
        <w:t xml:space="preserve"> adalah kejahatan yang hukumannya belum ditentukan dalam syariat dan diserahkan kepada otoritas pemerintah (ulil amri) untuk menentukannya. </w:t>
      </w:r>
    </w:p>
    <w:p>
      <w:pPr>
        <w:spacing w:after="0" w:line="312" w:lineRule="auto"/>
        <w:ind w:left="656" w:leftChars="298" w:firstLine="442" w:firstLineChars="201"/>
        <w:jc w:val="both"/>
        <w:rPr>
          <w:rFonts w:eastAsia="__Inter_Fallback_9d3317" w:asciiTheme="majorBidi" w:hAnsiTheme="majorBidi" w:cstheme="majorBidi"/>
          <w:shd w:val="clear" w:color="auto" w:fill="FFFFFF"/>
          <w:lang w:val="en-US"/>
        </w:rPr>
      </w:pPr>
      <w:r>
        <w:rPr>
          <w:rFonts w:ascii="Times New Roman" w:hAnsi="Times New Roman" w:eastAsia="SimSun" w:cs="Times New Roman"/>
          <w:lang w:val="en-US"/>
        </w:rPr>
        <w:t>Dalam hal ini MU sebagai kurir narkotika atau dikategorikan dalam peredaran gelap narkotika, karena membawa narkotika jenis heroin seberat 1,1 kg. Perbuatan ini termasuk dalam jarimah ta’zir yang hukumannya diserahkan kepada ulil amri atau penguasa.</w:t>
      </w:r>
    </w:p>
    <w:p>
      <w:pPr>
        <w:numPr>
          <w:ilvl w:val="0"/>
          <w:numId w:val="47"/>
        </w:numPr>
        <w:spacing w:after="0" w:line="312" w:lineRule="auto"/>
        <w:ind w:left="668" w:leftChars="200" w:hanging="228" w:hangingChars="104"/>
        <w:contextualSpacing/>
        <w:jc w:val="both"/>
        <w:rPr>
          <w:rFonts w:asciiTheme="majorBidi" w:hAnsiTheme="majorBidi" w:cstheme="majorBidi"/>
        </w:rPr>
      </w:pPr>
      <w:r>
        <w:rPr>
          <w:rFonts w:asciiTheme="majorBidi" w:hAnsiTheme="majorBidi" w:cstheme="majorBidi"/>
          <w:lang w:val="en-US"/>
        </w:rPr>
        <w:t>Alasan Pemberian Pengampunan Dalam Hukum Pidana Islam</w:t>
      </w:r>
    </w:p>
    <w:p>
      <w:pPr>
        <w:spacing w:after="0" w:line="312" w:lineRule="auto"/>
        <w:ind w:left="865" w:leftChars="393" w:right="-103" w:rightChars="-47" w:firstLine="561" w:firstLineChars="255"/>
        <w:contextualSpacing/>
        <w:jc w:val="both"/>
        <w:rPr>
          <w:rFonts w:eastAsia="SimSun" w:asciiTheme="majorBidi" w:hAnsiTheme="majorBidi" w:cstheme="majorBidi"/>
        </w:rPr>
      </w:pPr>
      <w:r>
        <w:rPr>
          <w:rFonts w:asciiTheme="majorBidi" w:hAnsiTheme="majorBidi" w:cstheme="majorBidi"/>
          <w:lang w:val="en-US"/>
        </w:rPr>
        <w:t xml:space="preserve">Dalam konteks Islam pemberian maaf atau </w:t>
      </w:r>
      <w:r>
        <w:rPr>
          <w:rFonts w:asciiTheme="majorBidi" w:hAnsiTheme="majorBidi" w:cstheme="majorBidi"/>
          <w:i/>
          <w:iCs/>
          <w:lang w:val="en-US"/>
        </w:rPr>
        <w:t>syafa’at</w:t>
      </w:r>
      <w:r>
        <w:rPr>
          <w:rFonts w:asciiTheme="majorBidi" w:hAnsiTheme="majorBidi" w:cstheme="majorBidi"/>
          <w:lang w:val="en-US"/>
        </w:rPr>
        <w:t xml:space="preserve"> (baik oleh ahli waris atau penguasa) memiliki landasan yang kuat dalam ajaran Al Qur’an dan Hadis. </w:t>
      </w:r>
      <w:r>
        <w:rPr>
          <w:rFonts w:eastAsia="SimSun" w:asciiTheme="majorBidi" w:hAnsiTheme="majorBidi" w:cstheme="majorBidi"/>
        </w:rPr>
        <w:t xml:space="preserve">Secara </w:t>
      </w:r>
      <w:r>
        <w:rPr>
          <w:rFonts w:eastAsia="SimSun" w:asciiTheme="majorBidi" w:hAnsiTheme="majorBidi" w:cstheme="majorBidi"/>
          <w:lang w:val="en-US"/>
        </w:rPr>
        <w:t>umum</w:t>
      </w:r>
      <w:r>
        <w:rPr>
          <w:rFonts w:eastAsia="SimSun" w:asciiTheme="majorBidi" w:hAnsiTheme="majorBidi" w:cstheme="majorBidi"/>
        </w:rPr>
        <w:t xml:space="preserve">, pengampunan dan syafaat dipandang sebagai bentuk rahmat </w:t>
      </w:r>
      <w:r>
        <w:rPr>
          <w:rFonts w:eastAsia="SimSun" w:asciiTheme="majorBidi" w:hAnsiTheme="majorBidi" w:cstheme="majorBidi"/>
          <w:lang w:val="en-US"/>
        </w:rPr>
        <w:t>Allah</w:t>
      </w:r>
      <w:r>
        <w:rPr>
          <w:rFonts w:eastAsia="SimSun" w:asciiTheme="majorBidi" w:hAnsiTheme="majorBidi" w:cstheme="majorBidi"/>
        </w:rPr>
        <w:t xml:space="preserve"> SWT yang memberikan kesempatan bagi umat-Nya untuk mendapatkan pengampunan dan pertolongan meskipun mereka memiliki dosa.</w:t>
      </w:r>
      <w:r>
        <w:rPr>
          <w:rFonts w:eastAsia="SimSun" w:asciiTheme="majorBidi" w:hAnsiTheme="majorBidi" w:cstheme="majorBidi"/>
          <w:lang w:val="en-US"/>
        </w:rPr>
        <w:t xml:space="preserve"> </w:t>
      </w:r>
    </w:p>
    <w:p>
      <w:pPr>
        <w:numPr>
          <w:ilvl w:val="0"/>
          <w:numId w:val="52"/>
        </w:numPr>
        <w:spacing w:after="0" w:line="312" w:lineRule="auto"/>
        <w:ind w:left="1229" w:leftChars="400" w:right="-103" w:rightChars="-47" w:hanging="349" w:hangingChars="159"/>
        <w:contextualSpacing/>
        <w:jc w:val="both"/>
        <w:rPr>
          <w:rFonts w:eastAsia="SimSun" w:asciiTheme="majorBidi" w:hAnsiTheme="majorBidi" w:cstheme="majorBidi"/>
        </w:rPr>
      </w:pPr>
      <w:r>
        <w:rPr>
          <w:rFonts w:asciiTheme="majorBidi" w:hAnsiTheme="majorBidi" w:cstheme="majorBidi"/>
          <w:lang w:val="en-US"/>
        </w:rPr>
        <w:t xml:space="preserve">Maaf Dalam Konteks Al Qur’an </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asciiTheme="majorBidi" w:hAnsiTheme="majorBidi" w:cstheme="majorBidi"/>
          <w:lang w:val="en-US"/>
        </w:rPr>
        <w:t>Al Baqarah Ayat 255</w:t>
      </w:r>
    </w:p>
    <w:p>
      <w:pPr>
        <w:spacing w:after="0" w:line="312" w:lineRule="auto"/>
        <w:ind w:left="1531" w:leftChars="696" w:right="-103" w:rightChars="-47" w:firstLine="404" w:firstLineChars="184"/>
        <w:contextualSpacing/>
        <w:jc w:val="both"/>
        <w:rPr>
          <w:rFonts w:eastAsia="SimSun" w:asciiTheme="majorBidi" w:hAnsiTheme="majorBidi" w:cstheme="majorBidi"/>
          <w:lang w:val="en-US"/>
        </w:rPr>
      </w:pPr>
      <w:r>
        <w:rPr>
          <w:rFonts w:eastAsia="SimSun" w:asciiTheme="majorBidi" w:hAnsiTheme="majorBidi" w:cstheme="majorBidi"/>
          <w:lang w:val="en-US"/>
        </w:rPr>
        <w:t xml:space="preserve">Ayat yang umum menjelaskan mengenai syafaat atau pertolongan adalah Surat al baqarah Ayat 255 yang biasa dikenal dengan Ayat kursi. </w:t>
      </w:r>
    </w:p>
    <w:p>
      <w:pPr>
        <w:spacing w:after="0" w:line="312" w:lineRule="auto"/>
        <w:ind w:left="1531" w:leftChars="696" w:right="-103" w:rightChars="-47" w:firstLine="404" w:firstLineChars="184"/>
        <w:contextualSpacing/>
        <w:jc w:val="both"/>
        <w:rPr>
          <w:rFonts w:eastAsia="SimSun" w:asciiTheme="majorBidi" w:hAnsiTheme="majorBidi" w:cstheme="majorBidi"/>
          <w:lang w:val="en-US"/>
        </w:rPr>
      </w:pPr>
    </w:p>
    <w:p>
      <w:pPr>
        <w:bidi/>
        <w:spacing w:after="0" w:line="240" w:lineRule="auto"/>
        <w:ind w:left="-29" w:leftChars="-13" w:right="1276" w:rightChars="580" w:firstLine="9"/>
        <w:contextualSpacing/>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ٱللَّهُ لَآ إِلَٰهَ إِلَّا هُوَ ٱلْحَىُّ ٱلْقَيُّومُۚ لَا تَأْخُذُهُۥ سِنَةٌ وَلَا نَوْمٌۚ لَّهُۥ مَا فِى ٱلسَّمَٰوَٰتِ وَمَا فِى ٱلْأَرْضِۗ مَن ذَا ٱلَّذِى يَشْفَعُ عِندَهُۥٓ إِلَّا بِإِذْنِهِۦۚ يَعْلَمُ مَا بَيْنَ أَيْدِيهِمْ وَمَا خَلْفَهُمْۖ وَلَا يُحِيطُونَ بِشَىْءٍ مِّنْ عِلْمِهِۦٓ إِلَّا بِمَا شَآءَۚ وَسِعَ كُرْسِيُّهُ ٱلسَّمَٰوَٰتِ وَٱلْأَرْضَۖ وَلَا يَـُٔودُهُۥ حِفْظُهُمَاۚ وَهُوَ ٱلْعَلِىُّ ٱلْعَظِيمُ</w:t>
      </w:r>
    </w:p>
    <w:p>
      <w:pPr>
        <w:spacing w:after="0" w:line="240" w:lineRule="auto"/>
        <w:ind w:right="-103" w:rightChars="-47"/>
        <w:contextualSpacing/>
        <w:jc w:val="both"/>
        <w:rPr>
          <w:rFonts w:eastAsia="SimSun" w:asciiTheme="majorBidi" w:hAnsiTheme="majorBidi" w:cstheme="majorBidi"/>
          <w:i/>
          <w:iCs/>
          <w:lang w:val="en-US"/>
        </w:rPr>
      </w:pPr>
    </w:p>
    <w:p>
      <w:pPr>
        <w:spacing w:after="0" w:line="240" w:lineRule="auto"/>
        <w:ind w:left="1984" w:leftChars="902" w:right="-103" w:rightChars="-47" w:firstLine="1"/>
        <w:contextualSpacing/>
        <w:jc w:val="both"/>
        <w:rPr>
          <w:rFonts w:eastAsia="SimSun" w:asciiTheme="majorBidi" w:hAnsiTheme="majorBidi" w:cstheme="majorBidi"/>
        </w:rPr>
      </w:pPr>
      <w:r>
        <w:rPr>
          <w:rFonts w:eastAsia="SimSun" w:asciiTheme="majorBidi" w:hAnsiTheme="majorBidi" w:cstheme="majorBidi"/>
          <w:i/>
          <w:iCs/>
          <w:lang w:val="en-US"/>
        </w:rPr>
        <w:t xml:space="preserve"> “Allah, tidak ada tuhan selain Dia. Yang Mahahidup, Yang terus menerus mengurus (makhluk-Nya), tidak mengantuk dan tidak tidur. Milik-Nya apa yang ada di langit dan apa yang ada di bumi. Tidak ada yang dapat </w:t>
      </w:r>
      <w:r>
        <w:rPr>
          <w:rFonts w:eastAsia="SimSun" w:asciiTheme="majorBidi" w:hAnsiTheme="majorBidi" w:cstheme="majorBidi"/>
          <w:b/>
          <w:bCs/>
          <w:i/>
          <w:iCs/>
          <w:lang w:val="en-US"/>
        </w:rPr>
        <w:t>memberi syafaat di sisi-Nya tanpa izin-Nya.</w:t>
      </w:r>
      <w:r>
        <w:rPr>
          <w:rFonts w:eastAsia="SimSun" w:asciiTheme="majorBidi" w:hAnsiTheme="majorBidi" w:cstheme="majorBidi"/>
          <w:i/>
          <w:iCs/>
          <w:lang w:val="en-US"/>
        </w:rPr>
        <w:t xml:space="preserve"> Dia mengetahui apa yang di hadapan mereka dan apa yang di belakang mereka, dan mereka tidak mengetahui sesuatu apa pun tentang ilmu -Nya melainkan apa yang Dia kehendaki. Kursi-Nya meliputi langit dan bumi. Dan Dia tidak merasa berat memelihara keduanya, dan Dia Mahatinggi, Mahabesar” </w:t>
      </w:r>
      <w:r>
        <w:rPr>
          <w:rFonts w:eastAsia="SimSun" w:asciiTheme="majorBidi" w:hAnsiTheme="majorBidi" w:cstheme="majorBidi"/>
          <w:lang w:val="en-US"/>
        </w:rPr>
        <w:t>(Al Baqarah:2:355)</w:t>
      </w:r>
      <w:r>
        <w:rPr>
          <w:rStyle w:val="17"/>
          <w:rFonts w:eastAsia="SimSun" w:asciiTheme="majorBidi" w:hAnsiTheme="majorBidi" w:cstheme="majorBidi"/>
          <w:lang w:val="en-US"/>
        </w:rPr>
        <w:footnoteReference w:id="86"/>
      </w:r>
    </w:p>
    <w:p>
      <w:pPr>
        <w:spacing w:after="0" w:line="312" w:lineRule="auto"/>
        <w:ind w:left="1531" w:leftChars="696" w:right="-103" w:rightChars="-47" w:firstLine="404" w:firstLineChars="184"/>
        <w:contextualSpacing/>
        <w:jc w:val="both"/>
        <w:rPr>
          <w:rFonts w:eastAsia="SimSun" w:asciiTheme="majorBidi" w:hAnsiTheme="majorBidi" w:cstheme="majorBidi"/>
        </w:rPr>
      </w:pPr>
    </w:p>
    <w:p>
      <w:pPr>
        <w:spacing w:after="0" w:line="312" w:lineRule="auto"/>
        <w:ind w:left="1531" w:leftChars="696" w:right="-103" w:rightChars="-47" w:firstLine="404" w:firstLineChars="184"/>
        <w:contextualSpacing/>
        <w:jc w:val="both"/>
        <w:rPr>
          <w:rFonts w:eastAsia="SimSun" w:asciiTheme="majorBidi" w:hAnsiTheme="majorBidi" w:cstheme="majorBidi"/>
        </w:rPr>
      </w:pPr>
      <w:r>
        <w:rPr>
          <w:rFonts w:eastAsia="SimSun" w:asciiTheme="majorBidi" w:hAnsiTheme="majorBidi" w:cstheme="majorBidi"/>
        </w:rPr>
        <w:t xml:space="preserve">Dalam Ayat tersebut yang perlu digaris bawahi adalah </w:t>
      </w:r>
      <w:r>
        <w:rPr>
          <w:rFonts w:eastAsia="SimSun" w:cs="Times New Roman" w:asciiTheme="majorBidi" w:hAnsiTheme="majorBidi"/>
          <w:rtl/>
        </w:rPr>
        <w:t>مَن</w:t>
      </w:r>
      <w:r>
        <w:rPr>
          <w:rFonts w:eastAsia="SimSun" w:asciiTheme="majorBidi" w:hAnsiTheme="majorBidi" w:cstheme="majorBidi"/>
        </w:rPr>
        <w:t xml:space="preserve"> </w:t>
      </w:r>
      <w:r>
        <w:rPr>
          <w:rFonts w:eastAsia="SimSun" w:cs="Times New Roman" w:asciiTheme="majorBidi" w:hAnsiTheme="majorBidi"/>
          <w:rtl/>
        </w:rPr>
        <w:t>ذَا</w:t>
      </w:r>
      <w:r>
        <w:rPr>
          <w:rFonts w:eastAsia="SimSun" w:asciiTheme="majorBidi" w:hAnsiTheme="majorBidi" w:cstheme="majorBidi"/>
        </w:rPr>
        <w:t xml:space="preserve"> </w:t>
      </w:r>
      <w:r>
        <w:rPr>
          <w:rFonts w:eastAsia="SimSun" w:cs="Times New Roman" w:asciiTheme="majorBidi" w:hAnsiTheme="majorBidi"/>
          <w:rtl/>
        </w:rPr>
        <w:t>ٱلَّذِى</w:t>
      </w:r>
      <w:r>
        <w:rPr>
          <w:rFonts w:eastAsia="SimSun" w:asciiTheme="majorBidi" w:hAnsiTheme="majorBidi" w:cstheme="majorBidi"/>
        </w:rPr>
        <w:t xml:space="preserve"> </w:t>
      </w:r>
      <w:r>
        <w:rPr>
          <w:rFonts w:eastAsia="SimSun" w:cs="Times New Roman" w:asciiTheme="majorBidi" w:hAnsiTheme="majorBidi"/>
          <w:rtl/>
        </w:rPr>
        <w:t>يَشْفَعُ</w:t>
      </w:r>
      <w:r>
        <w:rPr>
          <w:rFonts w:eastAsia="SimSun" w:asciiTheme="majorBidi" w:hAnsiTheme="majorBidi" w:cstheme="majorBidi"/>
        </w:rPr>
        <w:t xml:space="preserve"> </w:t>
      </w:r>
      <w:r>
        <w:rPr>
          <w:rFonts w:eastAsia="SimSun" w:cs="Times New Roman" w:asciiTheme="majorBidi" w:hAnsiTheme="majorBidi"/>
          <w:rtl/>
        </w:rPr>
        <w:t>عِندَهُۥٓ</w:t>
      </w:r>
      <w:r>
        <w:rPr>
          <w:rFonts w:eastAsia="SimSun" w:asciiTheme="majorBidi" w:hAnsiTheme="majorBidi" w:cstheme="majorBidi"/>
        </w:rPr>
        <w:t xml:space="preserve"> </w:t>
      </w:r>
      <w:r>
        <w:rPr>
          <w:rFonts w:eastAsia="SimSun" w:cs="Times New Roman" w:asciiTheme="majorBidi" w:hAnsiTheme="majorBidi"/>
          <w:rtl/>
        </w:rPr>
        <w:t>إِلَّا</w:t>
      </w:r>
      <w:r>
        <w:rPr>
          <w:rFonts w:eastAsia="SimSun" w:asciiTheme="majorBidi" w:hAnsiTheme="majorBidi" w:cstheme="majorBidi"/>
        </w:rPr>
        <w:t xml:space="preserve"> </w:t>
      </w:r>
      <w:r>
        <w:rPr>
          <w:rFonts w:eastAsia="SimSun" w:cs="Times New Roman" w:asciiTheme="majorBidi" w:hAnsiTheme="majorBidi"/>
          <w:rtl/>
        </w:rPr>
        <w:t>بِإِذْنِهِۦۚ</w:t>
      </w:r>
      <w:r>
        <w:rPr>
          <w:rFonts w:eastAsia="SimSun" w:asciiTheme="majorBidi" w:hAnsiTheme="majorBidi" w:cstheme="majorBidi"/>
        </w:rPr>
        <w:t xml:space="preserve"> (tidak ada yang dapat memberi syafaat tanpa izin-nya) yang dimaksud “pertolongan” atau </w:t>
      </w:r>
      <w:r>
        <w:rPr>
          <w:rFonts w:eastAsia="SimSun" w:asciiTheme="majorBidi" w:hAnsiTheme="majorBidi" w:cstheme="majorBidi"/>
          <w:i/>
          <w:iCs/>
        </w:rPr>
        <w:t>“syafaat”</w:t>
      </w:r>
      <w:r>
        <w:rPr>
          <w:rFonts w:eastAsia="SimSun" w:asciiTheme="majorBidi" w:hAnsiTheme="majorBidi" w:cstheme="majorBidi"/>
        </w:rPr>
        <w:t xml:space="preserve"> dalam Ayat ini ialah pertolongan yang diberkan oleh para malaikat, Nabi dan orang-orang sholeh kepada umat manusia. </w:t>
      </w:r>
      <w:r>
        <w:rPr>
          <w:rFonts w:eastAsia="SimSun" w:asciiTheme="majorBidi" w:hAnsiTheme="majorBidi" w:cstheme="majorBidi"/>
          <w:lang w:val="en-US"/>
        </w:rPr>
        <w:t xml:space="preserve">Dalam hal ini, ahli waris atau penguasa berperan dalam memberikan </w:t>
      </w:r>
      <w:r>
        <w:rPr>
          <w:rFonts w:eastAsia="SimSun" w:asciiTheme="majorBidi" w:hAnsiTheme="majorBidi" w:cstheme="majorBidi"/>
          <w:i/>
          <w:iCs/>
          <w:lang w:val="en-US"/>
        </w:rPr>
        <w:t>syafa’at</w:t>
      </w:r>
      <w:r>
        <w:rPr>
          <w:rFonts w:eastAsia="SimSun" w:asciiTheme="majorBidi" w:hAnsiTheme="majorBidi" w:cstheme="majorBidi"/>
          <w:lang w:val="en-US"/>
        </w:rPr>
        <w:t xml:space="preserve"> secara terbatas, sebagai bentuk pertolongan dalam kehidupan dunia. Untuk itu maaf dalam kasus jarimah apapun bisa diberikan kepada pelaku, karena Allah maha mengetahui apa yang dihadapan dan dibelakang mereka, bisa benar bisa tidak. Untuk itu lebih baik memberikan maaf kepada pelaku jarimah, dengan alasan taubat bersungguh-sungguhh tidak akan melakukan perbuatan yang demikian atau diberikan sumpah untuk itu agar tidak mengulanginya lagi.  </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asciiTheme="majorBidi" w:hAnsiTheme="majorBidi" w:cstheme="majorBidi"/>
          <w:lang w:val="en-US"/>
        </w:rPr>
        <w:t>Al Baqarah Ayat 263</w:t>
      </w:r>
    </w:p>
    <w:p>
      <w:pPr>
        <w:tabs>
          <w:tab w:val="left" w:pos="1400"/>
        </w:tabs>
        <w:spacing w:after="0" w:line="312" w:lineRule="auto"/>
        <w:ind w:left="1000" w:right="-103" w:rightChars="-47"/>
        <w:contextualSpacing/>
        <w:jc w:val="both"/>
        <w:rPr>
          <w:rFonts w:eastAsia="SimSun" w:asciiTheme="majorBidi" w:hAnsiTheme="majorBidi" w:cstheme="majorBidi"/>
        </w:rPr>
      </w:pPr>
    </w:p>
    <w:p>
      <w:pPr>
        <w:tabs>
          <w:tab w:val="left" w:pos="396"/>
        </w:tabs>
        <w:bidi/>
        <w:spacing w:line="240" w:lineRule="auto"/>
        <w:ind w:left="-29" w:leftChars="-14" w:right="1417" w:rightChars="644" w:hanging="2"/>
        <w:jc w:val="both"/>
        <w:rPr>
          <w:rFonts w:ascii="Traditional Arabic" w:hAnsi="Traditional Arabic" w:eastAsia="SimSun" w:cs="Traditional Arabic"/>
          <w:sz w:val="32"/>
          <w:szCs w:val="32"/>
        </w:rPr>
      </w:pPr>
      <w:r>
        <w:rPr>
          <w:rFonts w:ascii="Traditional Arabic" w:hAnsi="Traditional Arabic" w:eastAsia="SimSun" w:cs="Traditional Arabic"/>
          <w:sz w:val="32"/>
          <w:szCs w:val="32"/>
          <w:lang w:val="en-US"/>
        </w:rPr>
        <w:t>وۡلࣱ مَّعۡرُوفࣱ وَمَغۡفِرَةٌ خَيۡرࣱ مِّن صَدَقَةࣲ يَتۡبَعُهَآ أَذࣰىۗ وَٱللَّهُ غَنِيٌّ حَلِيمࣱ</w:t>
      </w:r>
    </w:p>
    <w:p>
      <w:pPr>
        <w:tabs>
          <w:tab w:val="left" w:pos="1400"/>
        </w:tabs>
        <w:spacing w:after="0" w:line="240" w:lineRule="auto"/>
        <w:ind w:left="1984" w:leftChars="902" w:right="-103" w:rightChars="-47" w:firstLine="1"/>
        <w:contextualSpacing/>
        <w:jc w:val="both"/>
        <w:rPr>
          <w:rFonts w:eastAsia="SimSun" w:asciiTheme="majorBidi" w:hAnsiTheme="majorBidi" w:cstheme="majorBidi"/>
        </w:rPr>
      </w:pPr>
      <w:r>
        <w:rPr>
          <w:rFonts w:eastAsia="SimSun" w:asciiTheme="majorBidi" w:hAnsiTheme="majorBidi" w:cstheme="majorBidi"/>
          <w:i/>
          <w:iCs/>
          <w:lang w:val="en-US"/>
        </w:rPr>
        <w:t xml:space="preserve"> “Perkataan yang baik dan </w:t>
      </w:r>
      <w:r>
        <w:rPr>
          <w:rFonts w:eastAsia="SimSun" w:asciiTheme="majorBidi" w:hAnsiTheme="majorBidi" w:cstheme="majorBidi"/>
          <w:b/>
          <w:bCs/>
          <w:i/>
          <w:iCs/>
          <w:lang w:val="en-US"/>
        </w:rPr>
        <w:t>pemberian maaf lebih baik daripada sedekah</w:t>
      </w:r>
      <w:r>
        <w:rPr>
          <w:rFonts w:eastAsia="SimSun" w:asciiTheme="majorBidi" w:hAnsiTheme="majorBidi" w:cstheme="majorBidi"/>
          <w:i/>
          <w:iCs/>
          <w:lang w:val="en-US"/>
        </w:rPr>
        <w:t xml:space="preserve"> yang diiringi tindakan yang menyakiti. Allah Mahakaya, Maha Penyantun.” (</w:t>
      </w:r>
      <w:r>
        <w:rPr>
          <w:rFonts w:eastAsia="SimSun" w:asciiTheme="majorBidi" w:hAnsiTheme="majorBidi" w:cstheme="majorBidi"/>
          <w:lang w:val="en-US"/>
        </w:rPr>
        <w:t>Al Baqarah:2:263)</w:t>
      </w:r>
      <w:r>
        <w:rPr>
          <w:rStyle w:val="17"/>
          <w:rFonts w:eastAsia="SimSun" w:asciiTheme="majorBidi" w:hAnsiTheme="majorBidi" w:cstheme="majorBidi"/>
          <w:lang w:val="en-US"/>
        </w:rPr>
        <w:footnoteReference w:id="87"/>
      </w:r>
    </w:p>
    <w:p>
      <w:pPr>
        <w:tabs>
          <w:tab w:val="left" w:pos="1400"/>
        </w:tabs>
        <w:spacing w:after="0" w:line="240" w:lineRule="auto"/>
        <w:ind w:left="1536" w:leftChars="698" w:right="-103" w:rightChars="-47" w:firstLine="402" w:firstLineChars="183"/>
        <w:contextualSpacing/>
        <w:jc w:val="both"/>
        <w:rPr>
          <w:rFonts w:eastAsia="SimSun" w:asciiTheme="majorBidi" w:hAnsiTheme="majorBidi" w:cstheme="majorBidi"/>
        </w:rPr>
      </w:pPr>
    </w:p>
    <w:p>
      <w:pPr>
        <w:tabs>
          <w:tab w:val="left" w:pos="1400"/>
        </w:tabs>
        <w:spacing w:after="0" w:line="312" w:lineRule="auto"/>
        <w:ind w:left="1536" w:leftChars="698" w:right="-103" w:rightChars="-47" w:firstLine="402" w:firstLineChars="183"/>
        <w:contextualSpacing/>
        <w:jc w:val="both"/>
        <w:rPr>
          <w:rFonts w:eastAsia="SimSun" w:asciiTheme="majorBidi" w:hAnsiTheme="majorBidi" w:cstheme="majorBidi"/>
          <w:lang w:val="en-US"/>
        </w:rPr>
      </w:pPr>
      <w:r>
        <w:rPr>
          <w:rFonts w:eastAsia="SimSun" w:asciiTheme="majorBidi" w:hAnsiTheme="majorBidi" w:cstheme="majorBidi"/>
          <w:lang w:val="en-US"/>
        </w:rPr>
        <w:t>Dalam Ayat tersebut dijelaskan bahwa perkataan yang baik dan pemberian maaf lebih baik daripada sedekah. Allah sudah memberikan isyarat di dalam Al Qur’an pemberian maaf sangat dianjurkan bahkan lebih baik dari sedekah. Ganjaran sedekah saja sudah tergambar sangat besar apalagi memberi pemberian maaf.</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asciiTheme="majorBidi" w:hAnsiTheme="majorBidi" w:cstheme="majorBidi"/>
          <w:lang w:val="en-US"/>
        </w:rPr>
        <w:t>An Nisa Ayat 63</w:t>
      </w:r>
    </w:p>
    <w:p>
      <w:pPr>
        <w:numPr>
          <w:ilvl w:val="0"/>
          <w:numId w:val="0"/>
        </w:numPr>
        <w:tabs>
          <w:tab w:val="left" w:pos="1400"/>
        </w:tabs>
        <w:spacing w:after="0" w:line="312" w:lineRule="auto"/>
        <w:ind w:left="1000" w:leftChars="0" w:right="-103" w:rightChars="-47"/>
        <w:contextualSpacing/>
        <w:jc w:val="both"/>
        <w:rPr>
          <w:rFonts w:eastAsia="SimSun" w:asciiTheme="majorBidi" w:hAnsiTheme="majorBidi" w:cstheme="majorBidi"/>
        </w:rPr>
      </w:pPr>
    </w:p>
    <w:p>
      <w:pPr>
        <w:tabs>
          <w:tab w:val="left" w:pos="821"/>
        </w:tabs>
        <w:bidi/>
        <w:spacing w:after="0" w:line="240" w:lineRule="auto"/>
        <w:ind w:left="-30" w:leftChars="-14" w:right="1417" w:rightChars="644" w:hanging="1"/>
        <w:contextualSpacing/>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أُوْلَٰٓئِكَ ٱلَّذِينَ يَعۡلَمُ ٱللَّهُ مَا فِي قُلُوبِهِمۡ فَأَعۡرِضۡ عَنۡهُمۡ وَعِظۡهُمۡ وَقُل لَّهُمۡ فِيٓ أَنفُسِهِمۡ قَوۡلَۢا بَلِيغࣰ</w:t>
      </w:r>
    </w:p>
    <w:p>
      <w:pPr>
        <w:tabs>
          <w:tab w:val="left" w:pos="1400"/>
        </w:tabs>
        <w:spacing w:after="0" w:line="240" w:lineRule="auto"/>
        <w:ind w:left="1984" w:leftChars="902" w:right="-103" w:rightChars="-47" w:firstLine="1"/>
        <w:contextualSpacing/>
        <w:jc w:val="both"/>
        <w:rPr>
          <w:rFonts w:eastAsia="SimSun" w:asciiTheme="majorBidi" w:hAnsiTheme="majorBidi" w:cstheme="majorBidi"/>
        </w:rPr>
      </w:pPr>
      <w:r>
        <w:rPr>
          <w:rFonts w:eastAsia="SimSun" w:asciiTheme="majorBidi" w:hAnsiTheme="majorBidi" w:cstheme="majorBidi"/>
          <w:i/>
          <w:iCs/>
          <w:lang w:val="en-US"/>
        </w:rPr>
        <w:t xml:space="preserve">“Mereka itu adalah orang-orang yang (sesungguhnya) Allah mengetahui apa yang ada di dalam hatinya. Karena itu </w:t>
      </w:r>
      <w:r>
        <w:rPr>
          <w:rFonts w:eastAsia="SimSun" w:asciiTheme="majorBidi" w:hAnsiTheme="majorBidi" w:cstheme="majorBidi"/>
          <w:b/>
          <w:bCs/>
          <w:i/>
          <w:iCs/>
          <w:lang w:val="en-US"/>
        </w:rPr>
        <w:t>berpalinglah kamudari mereka,</w:t>
      </w:r>
      <w:r>
        <w:rPr>
          <w:rFonts w:eastAsia="SimSun" w:asciiTheme="majorBidi" w:hAnsiTheme="majorBidi" w:cstheme="majorBidi"/>
          <w:i/>
          <w:iCs/>
          <w:lang w:val="en-US"/>
        </w:rPr>
        <w:t xml:space="preserve"> dan berilah mereka nasihat, dan katakanlah kepada mereka perkataan yang membekas pada jiwanya.”</w:t>
      </w:r>
      <w:r>
        <w:rPr>
          <w:rFonts w:eastAsia="SimSun" w:asciiTheme="majorBidi" w:hAnsiTheme="majorBidi" w:cstheme="majorBidi"/>
          <w:lang w:val="en-US"/>
        </w:rPr>
        <w:t xml:space="preserve"> (An Nisa:4:63)</w:t>
      </w:r>
      <w:r>
        <w:rPr>
          <w:rStyle w:val="17"/>
          <w:rFonts w:eastAsia="SimSun" w:asciiTheme="majorBidi" w:hAnsiTheme="majorBidi" w:cstheme="majorBidi"/>
          <w:lang w:val="en-US"/>
        </w:rPr>
        <w:footnoteReference w:id="88"/>
      </w:r>
    </w:p>
    <w:p>
      <w:pPr>
        <w:tabs>
          <w:tab w:val="left" w:pos="1400"/>
        </w:tabs>
        <w:spacing w:after="0" w:line="312" w:lineRule="auto"/>
        <w:ind w:left="1531" w:leftChars="696" w:right="-103" w:rightChars="-47" w:firstLine="404" w:firstLineChars="184"/>
        <w:contextualSpacing/>
        <w:jc w:val="both"/>
        <w:rPr>
          <w:rFonts w:eastAsia="SimSun" w:asciiTheme="majorBidi" w:hAnsiTheme="majorBidi" w:cstheme="majorBidi"/>
        </w:rPr>
      </w:pPr>
    </w:p>
    <w:p>
      <w:pPr>
        <w:tabs>
          <w:tab w:val="left" w:pos="1400"/>
        </w:tabs>
        <w:spacing w:after="0" w:line="312" w:lineRule="auto"/>
        <w:ind w:left="1531" w:leftChars="696" w:right="-103" w:rightChars="-47" w:firstLine="404" w:firstLineChars="184"/>
        <w:contextualSpacing/>
        <w:jc w:val="both"/>
        <w:rPr>
          <w:rFonts w:eastAsia="SimSun" w:asciiTheme="majorBidi" w:hAnsiTheme="majorBidi" w:cstheme="majorBidi"/>
        </w:rPr>
      </w:pPr>
      <w:r>
        <w:rPr>
          <w:rFonts w:eastAsia="SimSun" w:asciiTheme="majorBidi" w:hAnsiTheme="majorBidi" w:cstheme="majorBidi"/>
        </w:rPr>
        <w:t xml:space="preserve">Dalam Ayat tersebut dijelaskan berpalinglah </w:t>
      </w:r>
      <w:r>
        <w:rPr>
          <w:rFonts w:eastAsia="SimSun" w:asciiTheme="majorBidi" w:hAnsiTheme="majorBidi" w:cstheme="majorBidi"/>
          <w:lang w:val="en-US"/>
        </w:rPr>
        <w:t>kamuda</w:t>
      </w:r>
      <w:r>
        <w:rPr>
          <w:rFonts w:eastAsia="SimSun" w:asciiTheme="majorBidi" w:hAnsiTheme="majorBidi" w:cstheme="majorBidi"/>
        </w:rPr>
        <w:t xml:space="preserve">ri mereka, dan berilah mereka nasihat dan katakanlah kepada mereka perkataan yang membekas pada jiwanya. Lebih jelas dijelaskan dalam Tafsr Jalalain karangan Imam Jalaludin Al-Mahali dan Imam Jalaludin Al-Syuyuti kata </w:t>
      </w:r>
      <w:r>
        <w:rPr>
          <w:rFonts w:eastAsia="SimSun" w:cs="Times New Roman" w:asciiTheme="majorBidi" w:hAnsiTheme="majorBidi"/>
          <w:rtl/>
          <w:lang w:val="en-US"/>
        </w:rPr>
        <w:t>فَأَعۡرِضۡ</w:t>
      </w:r>
      <w:r>
        <w:rPr>
          <w:rFonts w:eastAsia="SimSun" w:asciiTheme="majorBidi" w:hAnsiTheme="majorBidi" w:cstheme="majorBidi"/>
        </w:rPr>
        <w:t xml:space="preserve"> </w:t>
      </w:r>
      <w:r>
        <w:rPr>
          <w:rFonts w:eastAsia="SimSun" w:cs="Times New Roman" w:asciiTheme="majorBidi" w:hAnsiTheme="majorBidi"/>
          <w:rtl/>
          <w:lang w:val="en-US"/>
        </w:rPr>
        <w:t>عَنۡهُمۡ</w:t>
      </w:r>
      <w:r>
        <w:rPr>
          <w:rFonts w:eastAsia="SimSun" w:asciiTheme="majorBidi" w:hAnsiTheme="majorBidi" w:cstheme="majorBidi"/>
        </w:rPr>
        <w:t>) (</w:t>
      </w:r>
      <w:r>
        <w:rPr>
          <w:rFonts w:eastAsia="SimSun" w:cs="Times New Roman" w:asciiTheme="majorBidi" w:hAnsiTheme="majorBidi"/>
          <w:rtl/>
          <w:lang w:val="en-US"/>
        </w:rPr>
        <w:t>بِالصَّفْحِ</w:t>
      </w:r>
      <w:r>
        <w:rPr>
          <w:rFonts w:eastAsia="SimSun" w:asciiTheme="majorBidi" w:hAnsiTheme="majorBidi" w:cstheme="majorBidi"/>
        </w:rPr>
        <w:t xml:space="preserve">) berpalinglah kamu (dengan memberi mereka maaf), dengan memberi nasihat dan perkataan yang membekas di dalam hati pelaku. </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eastAsia="SimSun" w:asciiTheme="majorBidi" w:hAnsiTheme="majorBidi" w:cstheme="majorBidi"/>
          <w:lang w:val="en-US"/>
        </w:rPr>
        <w:t>As Syura Ayat 40</w:t>
      </w:r>
    </w:p>
    <w:p>
      <w:pPr>
        <w:numPr>
          <w:ilvl w:val="0"/>
          <w:numId w:val="0"/>
        </w:numPr>
        <w:tabs>
          <w:tab w:val="left" w:pos="1400"/>
        </w:tabs>
        <w:spacing w:after="0" w:line="312" w:lineRule="auto"/>
        <w:ind w:left="1000" w:leftChars="0" w:right="-103" w:rightChars="-47"/>
        <w:contextualSpacing/>
        <w:jc w:val="both"/>
        <w:rPr>
          <w:rFonts w:eastAsia="SimSun" w:asciiTheme="majorBidi" w:hAnsiTheme="majorBidi" w:cstheme="majorBidi"/>
        </w:rPr>
      </w:pPr>
    </w:p>
    <w:p>
      <w:pPr>
        <w:tabs>
          <w:tab w:val="left" w:pos="1400"/>
        </w:tabs>
        <w:bidi/>
        <w:spacing w:after="0" w:line="240" w:lineRule="auto"/>
        <w:ind w:left="-29" w:right="1560" w:rightChars="709"/>
        <w:contextualSpacing/>
        <w:jc w:val="both"/>
        <w:rPr>
          <w:rFonts w:ascii="Traditional Arabic" w:hAnsi="Traditional Arabic" w:eastAsia="SimSun" w:cs="Traditional Arabic"/>
          <w:sz w:val="32"/>
          <w:szCs w:val="32"/>
        </w:rPr>
      </w:pPr>
      <w:r>
        <w:rPr>
          <w:rFonts w:ascii="Times New Roman" w:hAnsi="Times New Roman" w:eastAsia="SimSun" w:cs="Times New Roman"/>
          <w:lang w:val="en-US"/>
        </w:rPr>
        <w:t>وَ</w:t>
      </w:r>
      <w:r>
        <w:rPr>
          <w:rFonts w:ascii="Traditional Arabic" w:hAnsi="Traditional Arabic" w:eastAsia="SimSun" w:cs="Traditional Arabic"/>
          <w:sz w:val="32"/>
          <w:szCs w:val="32"/>
          <w:lang w:val="en-US"/>
        </w:rPr>
        <w:t>جَزَٰٓؤُاْ سَيِّئَةࣲ سَيِّئَةࣱ مِّثۡلُهَاۖ فَمَنۡ عَفَا وَأَصۡلَحَ فَأَجۡرُهُۥ عَلَى ٱللَّهِۚ إِنَّهُۥ لَا يُحِبُّ ٱلظَّٰلِمِينَ</w:t>
      </w:r>
    </w:p>
    <w:p>
      <w:pPr>
        <w:tabs>
          <w:tab w:val="left" w:pos="1843"/>
          <w:tab w:val="left" w:pos="1985"/>
        </w:tabs>
        <w:spacing w:after="0" w:line="240" w:lineRule="auto"/>
        <w:ind w:left="1985" w:right="-103" w:rightChars="-47"/>
        <w:contextualSpacing/>
        <w:jc w:val="both"/>
        <w:rPr>
          <w:rFonts w:eastAsia="SimSun" w:asciiTheme="majorBidi" w:hAnsiTheme="majorBidi" w:cstheme="majorBidi"/>
        </w:rPr>
      </w:pPr>
      <w:r>
        <w:rPr>
          <w:rFonts w:eastAsia="SimSun" w:asciiTheme="majorBidi" w:hAnsiTheme="majorBidi" w:cstheme="majorBidi"/>
          <w:i/>
          <w:iCs/>
          <w:lang w:val="en-US"/>
        </w:rPr>
        <w:t xml:space="preserve"> “Dan balasan suatu kejahatan adalah kejahatan yang setimpal, tetapi barangsiapa memaafkan dan berbuat baik (kepada orang yang berbuat jahat) maka pahalanya dari Allah. Sungguh, Dia tidak menyukai orang-orang zhalim.” </w:t>
      </w:r>
      <w:r>
        <w:rPr>
          <w:rFonts w:eastAsia="SimSun" w:asciiTheme="majorBidi" w:hAnsiTheme="majorBidi" w:cstheme="majorBidi"/>
          <w:lang w:val="en-US"/>
        </w:rPr>
        <w:t>(As Syura:42:40)</w:t>
      </w:r>
      <w:r>
        <w:rPr>
          <w:rStyle w:val="17"/>
          <w:rFonts w:eastAsia="SimSun" w:asciiTheme="majorBidi" w:hAnsiTheme="majorBidi" w:cstheme="majorBidi"/>
          <w:lang w:val="en-US"/>
        </w:rPr>
        <w:footnoteReference w:id="89"/>
      </w:r>
    </w:p>
    <w:p>
      <w:pPr>
        <w:tabs>
          <w:tab w:val="left" w:pos="1400"/>
        </w:tabs>
        <w:spacing w:after="0" w:line="312" w:lineRule="auto"/>
        <w:ind w:left="1400" w:right="-103" w:rightChars="-47" w:firstLine="398" w:firstLineChars="181"/>
        <w:contextualSpacing/>
        <w:jc w:val="both"/>
        <w:rPr>
          <w:rFonts w:eastAsia="SimSun" w:asciiTheme="majorBidi" w:hAnsiTheme="majorBidi" w:cstheme="majorBidi"/>
        </w:rPr>
      </w:pPr>
    </w:p>
    <w:p>
      <w:pPr>
        <w:tabs>
          <w:tab w:val="left" w:pos="1400"/>
        </w:tabs>
        <w:spacing w:after="0" w:line="312" w:lineRule="auto"/>
        <w:ind w:left="1400" w:right="-103" w:rightChars="-47" w:firstLine="398" w:firstLineChars="181"/>
        <w:contextualSpacing/>
        <w:jc w:val="both"/>
        <w:rPr>
          <w:rFonts w:eastAsia="SimSun" w:asciiTheme="majorBidi" w:hAnsiTheme="majorBidi" w:cstheme="majorBidi"/>
        </w:rPr>
      </w:pPr>
      <w:r>
        <w:rPr>
          <w:rFonts w:eastAsia="SimSun" w:asciiTheme="majorBidi" w:hAnsiTheme="majorBidi" w:cstheme="majorBidi"/>
          <w:lang w:val="en-US"/>
        </w:rPr>
        <w:t>Dalam Ayat tersebut dijelaskan bahwa suatu kejahatan balasannya adalah kejahatan yang setimpal. Tetapi, barangsiapa yang memaafkan dan berbuat baik kepada orang yang berbuat jahat akan mendapat pahala dari Allah. Maka dari itu Allah sangat menganjurkan pemberian maaf kepadapelaku kejahtan.</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eastAsia="SimSun" w:asciiTheme="majorBidi" w:hAnsiTheme="majorBidi" w:cstheme="majorBidi"/>
          <w:lang w:val="en-US"/>
        </w:rPr>
        <w:t>Al Furqon Ayat 70</w:t>
      </w:r>
    </w:p>
    <w:p>
      <w:pPr>
        <w:numPr>
          <w:ilvl w:val="0"/>
          <w:numId w:val="0"/>
        </w:numPr>
        <w:tabs>
          <w:tab w:val="left" w:pos="1400"/>
        </w:tabs>
        <w:spacing w:after="0" w:line="312" w:lineRule="auto"/>
        <w:ind w:left="1000" w:leftChars="0" w:right="-103" w:rightChars="-47"/>
        <w:contextualSpacing/>
        <w:jc w:val="both"/>
        <w:rPr>
          <w:rFonts w:eastAsia="SimSun" w:asciiTheme="majorBidi" w:hAnsiTheme="majorBidi" w:cstheme="majorBidi"/>
        </w:rPr>
      </w:pPr>
    </w:p>
    <w:p>
      <w:pPr>
        <w:tabs>
          <w:tab w:val="left" w:pos="1400"/>
        </w:tabs>
        <w:bidi/>
        <w:spacing w:line="240" w:lineRule="auto"/>
        <w:ind w:left="-29" w:leftChars="-13" w:right="1417" w:rightChars="644"/>
        <w:jc w:val="both"/>
        <w:rPr>
          <w:rFonts w:eastAsia="SimSun" w:asciiTheme="majorBidi" w:hAnsiTheme="majorBidi" w:cstheme="majorBidi"/>
        </w:rPr>
      </w:pPr>
      <w:r>
        <w:rPr>
          <w:rFonts w:ascii="Traditional Arabic" w:hAnsi="Traditional Arabic" w:eastAsia="SimSun" w:cs="Traditional Arabic"/>
          <w:sz w:val="32"/>
          <w:szCs w:val="32"/>
          <w:lang w:val="en-US"/>
        </w:rPr>
        <w:t>لَّا مَن تَابَ وَءَامَنَ وَعَمِلَ عَمَلࣰا صَٰلِحࣰا فَأُوْلَٰٓئِكَ يُبَدِّلُ ٱللَّهُ سَيِّآتِهِمۡ حَسَنَٰتࣲۗ وَكَانَ ٱللَّهُ غَفُورࣰا رَّحِيمࣰ</w:t>
      </w:r>
      <w:r>
        <w:rPr>
          <w:rFonts w:ascii="Times New Roman" w:hAnsi="Times New Roman" w:eastAsia="SimSun" w:cs="Times New Roman"/>
          <w:lang w:val="en-US"/>
        </w:rPr>
        <w:t>ا</w:t>
      </w:r>
    </w:p>
    <w:p>
      <w:pPr>
        <w:spacing w:after="0" w:line="240" w:lineRule="auto"/>
        <w:ind w:left="1984" w:leftChars="902" w:right="-103" w:rightChars="-47" w:firstLine="1"/>
        <w:contextualSpacing/>
        <w:jc w:val="both"/>
        <w:rPr>
          <w:rFonts w:eastAsia="SimSun" w:asciiTheme="majorBidi" w:hAnsiTheme="majorBidi" w:cstheme="majorBidi"/>
        </w:rPr>
      </w:pPr>
      <w:r>
        <w:rPr>
          <w:rFonts w:eastAsia="SimSun" w:asciiTheme="majorBidi" w:hAnsiTheme="majorBidi" w:cstheme="majorBidi"/>
          <w:i/>
          <w:iCs/>
        </w:rPr>
        <w:t xml:space="preserve">"Kecuali orang-orang yang </w:t>
      </w:r>
      <w:r>
        <w:rPr>
          <w:rFonts w:eastAsia="SimSun" w:asciiTheme="majorBidi" w:hAnsiTheme="majorBidi" w:cstheme="majorBidi"/>
          <w:b/>
          <w:bCs/>
          <w:i/>
          <w:iCs/>
        </w:rPr>
        <w:t xml:space="preserve">bertaubat, </w:t>
      </w:r>
      <w:r>
        <w:rPr>
          <w:rFonts w:eastAsia="SimSun" w:asciiTheme="majorBidi" w:hAnsiTheme="majorBidi" w:cstheme="majorBidi"/>
          <w:i/>
          <w:iCs/>
        </w:rPr>
        <w:t xml:space="preserve">beriman, dan mengerjakan amal saleh. Maka </w:t>
      </w:r>
      <w:r>
        <w:rPr>
          <w:rFonts w:eastAsia="SimSun" w:asciiTheme="majorBidi" w:hAnsiTheme="majorBidi" w:cstheme="majorBidi"/>
          <w:i/>
          <w:iCs/>
          <w:lang w:val="en-US"/>
        </w:rPr>
        <w:t>Allah</w:t>
      </w:r>
      <w:r>
        <w:rPr>
          <w:rFonts w:eastAsia="SimSun" w:asciiTheme="majorBidi" w:hAnsiTheme="majorBidi" w:cstheme="majorBidi"/>
          <w:i/>
          <w:iCs/>
        </w:rPr>
        <w:t xml:space="preserve"> menggantikan kejahatan mereka dengan kebaikan. Dan adalah Tuhan</w:t>
      </w:r>
      <w:r>
        <w:rPr>
          <w:rFonts w:eastAsia="SimSun" w:asciiTheme="majorBidi" w:hAnsiTheme="majorBidi" w:cstheme="majorBidi"/>
          <w:i/>
          <w:iCs/>
          <w:lang w:val="en-US"/>
        </w:rPr>
        <w:t xml:space="preserve">MU </w:t>
      </w:r>
      <w:r>
        <w:rPr>
          <w:rFonts w:eastAsia="SimSun" w:asciiTheme="majorBidi" w:hAnsiTheme="majorBidi" w:cstheme="majorBidi"/>
          <w:i/>
          <w:iCs/>
        </w:rPr>
        <w:t>Maha Pengampun lagi Maha Penyayang</w:t>
      </w:r>
      <w:r>
        <w:rPr>
          <w:rFonts w:eastAsia="SimSun" w:asciiTheme="majorBidi" w:hAnsiTheme="majorBidi" w:cstheme="majorBidi"/>
          <w:i/>
          <w:iCs/>
          <w:lang w:val="en-US"/>
        </w:rPr>
        <w:t xml:space="preserve">”. </w:t>
      </w:r>
      <w:r>
        <w:rPr>
          <w:rFonts w:eastAsia="SimSun" w:asciiTheme="majorBidi" w:hAnsiTheme="majorBidi" w:cstheme="majorBidi"/>
          <w:lang w:val="en-US"/>
        </w:rPr>
        <w:t>(Al Furqon:25:70)</w:t>
      </w:r>
      <w:r>
        <w:rPr>
          <w:rStyle w:val="17"/>
          <w:rFonts w:eastAsia="SimSun" w:asciiTheme="majorBidi" w:hAnsiTheme="majorBidi" w:cstheme="majorBidi"/>
          <w:lang w:val="en-US"/>
        </w:rPr>
        <w:footnoteReference w:id="90"/>
      </w:r>
    </w:p>
    <w:p>
      <w:pPr>
        <w:spacing w:after="0" w:line="312" w:lineRule="auto"/>
        <w:ind w:left="1540" w:leftChars="700" w:right="-103" w:rightChars="-47" w:firstLine="398" w:firstLineChars="181"/>
        <w:contextualSpacing/>
        <w:jc w:val="both"/>
        <w:rPr>
          <w:rFonts w:eastAsia="SimSun" w:asciiTheme="majorBidi" w:hAnsiTheme="majorBidi" w:cstheme="majorBidi"/>
        </w:rPr>
      </w:pPr>
    </w:p>
    <w:p>
      <w:pPr>
        <w:tabs>
          <w:tab w:val="left" w:pos="1400"/>
        </w:tabs>
        <w:spacing w:after="0" w:line="312" w:lineRule="auto"/>
        <w:ind w:left="1540" w:leftChars="700" w:right="-103" w:rightChars="-47" w:firstLine="398" w:firstLineChars="181"/>
        <w:contextualSpacing/>
        <w:jc w:val="both"/>
        <w:rPr>
          <w:rFonts w:eastAsia="SimSun" w:asciiTheme="majorBidi" w:hAnsiTheme="majorBidi" w:cstheme="majorBidi"/>
          <w:lang w:val="en-US"/>
        </w:rPr>
      </w:pPr>
      <w:r>
        <w:rPr>
          <w:rFonts w:eastAsia="SimSun" w:asciiTheme="majorBidi" w:hAnsiTheme="majorBidi" w:cstheme="majorBidi"/>
        </w:rPr>
        <w:t xml:space="preserve">Ayat ini menunjukkan bahwa taubat yang tulus akan menghapuskan dosa, bahkan dosa besar seperti pembunuhan, dan </w:t>
      </w:r>
      <w:r>
        <w:rPr>
          <w:rFonts w:eastAsia="SimSun" w:asciiTheme="majorBidi" w:hAnsiTheme="majorBidi" w:cstheme="majorBidi"/>
          <w:lang w:val="en-US"/>
        </w:rPr>
        <w:t>Allah</w:t>
      </w:r>
      <w:r>
        <w:rPr>
          <w:rFonts w:eastAsia="SimSun" w:asciiTheme="majorBidi" w:hAnsiTheme="majorBidi" w:cstheme="majorBidi"/>
        </w:rPr>
        <w:t xml:space="preserve"> akan menggantinya dengan kebaikan. Ini adalah pengingat bahwa pengampunan </w:t>
      </w:r>
      <w:r>
        <w:rPr>
          <w:rFonts w:eastAsia="SimSun" w:asciiTheme="majorBidi" w:hAnsiTheme="majorBidi" w:cstheme="majorBidi"/>
          <w:lang w:val="en-US"/>
        </w:rPr>
        <w:t>Allah</w:t>
      </w:r>
      <w:r>
        <w:rPr>
          <w:rFonts w:eastAsia="SimSun" w:asciiTheme="majorBidi" w:hAnsiTheme="majorBidi" w:cstheme="majorBidi"/>
        </w:rPr>
        <w:t xml:space="preserve"> terbuka luas bagi mereka yang benar-benar bertaubat.</w:t>
      </w:r>
      <w:r>
        <w:rPr>
          <w:rFonts w:eastAsia="SimSun" w:asciiTheme="majorBidi" w:hAnsiTheme="majorBidi" w:cstheme="majorBidi"/>
          <w:lang w:val="en-US"/>
        </w:rPr>
        <w:t xml:space="preserve"> Nagi pelaku tindak pidana sebaiknya bertaubat dan sadar akan perbuatan yang dilakukan. Hal ini juga memberikan alasan kepada hakim atau pemimpin untuk memberikan pengampunan atau peringatan kepada pelaku untuk bertaubat. </w:t>
      </w:r>
    </w:p>
    <w:p>
      <w:pPr>
        <w:numPr>
          <w:ilvl w:val="0"/>
          <w:numId w:val="53"/>
        </w:numPr>
        <w:tabs>
          <w:tab w:val="left" w:pos="1400"/>
          <w:tab w:val="clear" w:pos="425"/>
        </w:tabs>
        <w:spacing w:after="0" w:line="312" w:lineRule="auto"/>
        <w:ind w:left="1385" w:right="-103" w:rightChars="-47" w:hanging="385"/>
        <w:contextualSpacing/>
        <w:jc w:val="both"/>
        <w:rPr>
          <w:rFonts w:eastAsia="SimSun" w:asciiTheme="majorBidi" w:hAnsiTheme="majorBidi" w:cstheme="majorBidi"/>
        </w:rPr>
      </w:pPr>
      <w:r>
        <w:rPr>
          <w:rFonts w:eastAsia="SimSun" w:asciiTheme="majorBidi" w:hAnsiTheme="majorBidi" w:cstheme="majorBidi"/>
          <w:lang w:val="en-US"/>
        </w:rPr>
        <w:t>Az Zumar Ayat 53</w:t>
      </w:r>
    </w:p>
    <w:p>
      <w:pPr>
        <w:tabs>
          <w:tab w:val="left" w:pos="1400"/>
        </w:tabs>
        <w:spacing w:after="0" w:line="312" w:lineRule="auto"/>
        <w:ind w:left="1000" w:right="-103" w:rightChars="-47"/>
        <w:contextualSpacing/>
        <w:jc w:val="both"/>
        <w:rPr>
          <w:rFonts w:eastAsia="SimSun" w:asciiTheme="majorBidi" w:hAnsiTheme="majorBidi" w:cstheme="majorBidi"/>
        </w:rPr>
      </w:pPr>
    </w:p>
    <w:p>
      <w:pPr>
        <w:tabs>
          <w:tab w:val="right" w:pos="-29"/>
          <w:tab w:val="left" w:pos="821"/>
        </w:tabs>
        <w:bidi/>
        <w:spacing w:line="240" w:lineRule="auto"/>
        <w:ind w:left="-29" w:right="1417" w:rightChars="644"/>
        <w:jc w:val="both"/>
        <w:rPr>
          <w:rFonts w:ascii="Traditional Arabic" w:hAnsi="Traditional Arabic" w:eastAsia="SimSun" w:cs="Traditional Arabic"/>
          <w:sz w:val="32"/>
          <w:szCs w:val="32"/>
        </w:rPr>
      </w:pPr>
      <w:r>
        <w:rPr>
          <w:rFonts w:ascii="Traditional Arabic" w:hAnsi="Traditional Arabic" w:eastAsia="SimSun" w:cs="Traditional Arabic"/>
          <w:sz w:val="32"/>
          <w:szCs w:val="32"/>
          <w:lang w:val="en-US"/>
        </w:rPr>
        <w:t>قُلۡ يَٰعِبَادِيَ ٱلَّذِينَ أَسۡرَفُواْ عَلَىٰٓ أَنفُسِهِمۡ لَا تَقۡنَطُواْ مِن رَّحۡمَةِ ٱللَّهِۚ إِنَّ ٱللَّهَ يَغۡفِرُ ٱلذُّنُوبَ جَمِيعًاۚ إِنَّهُۥ هُوَ ٱلۡغَفُورُ ٱلرَّحِيمُ</w:t>
      </w:r>
    </w:p>
    <w:p>
      <w:pPr>
        <w:spacing w:after="0" w:line="240" w:lineRule="auto"/>
        <w:ind w:left="1984" w:leftChars="902" w:right="-103" w:rightChars="-47" w:firstLine="1"/>
        <w:contextualSpacing/>
        <w:jc w:val="both"/>
        <w:rPr>
          <w:rFonts w:eastAsia="SimSun" w:asciiTheme="majorBidi" w:hAnsiTheme="majorBidi" w:cstheme="majorBidi"/>
        </w:rPr>
      </w:pPr>
      <w:r>
        <w:rPr>
          <w:rFonts w:eastAsia="SimSun" w:asciiTheme="majorBidi" w:hAnsiTheme="majorBidi" w:cstheme="majorBidi"/>
          <w:i/>
          <w:iCs/>
        </w:rPr>
        <w:t>"Katakanlah: 'Wahai hamba-hamba-Ku yang telah menganiaya diri</w:t>
      </w:r>
      <w:r>
        <w:rPr>
          <w:rFonts w:eastAsia="SimSun" w:asciiTheme="majorBidi" w:hAnsiTheme="majorBidi" w:cstheme="majorBidi"/>
          <w:i/>
          <w:iCs/>
          <w:lang w:val="en-US"/>
        </w:rPr>
        <w:t xml:space="preserve">MU </w:t>
      </w:r>
      <w:r>
        <w:rPr>
          <w:rFonts w:eastAsia="SimSun" w:asciiTheme="majorBidi" w:hAnsiTheme="majorBidi" w:cstheme="majorBidi"/>
          <w:i/>
          <w:iCs/>
        </w:rPr>
        <w:t xml:space="preserve">sendiri, janganlah </w:t>
      </w:r>
      <w:r>
        <w:rPr>
          <w:rFonts w:eastAsia="SimSun" w:asciiTheme="majorBidi" w:hAnsiTheme="majorBidi" w:cstheme="majorBidi"/>
          <w:i/>
          <w:iCs/>
          <w:lang w:val="en-US"/>
        </w:rPr>
        <w:t xml:space="preserve">kamu </w:t>
      </w:r>
      <w:r>
        <w:rPr>
          <w:rFonts w:eastAsia="SimSun" w:asciiTheme="majorBidi" w:hAnsiTheme="majorBidi" w:cstheme="majorBidi"/>
          <w:i/>
          <w:iCs/>
        </w:rPr>
        <w:t xml:space="preserve">berputus asa dari rahmat </w:t>
      </w:r>
      <w:r>
        <w:rPr>
          <w:rFonts w:eastAsia="SimSun" w:asciiTheme="majorBidi" w:hAnsiTheme="majorBidi" w:cstheme="majorBidi"/>
          <w:i/>
          <w:iCs/>
          <w:lang w:val="en-US"/>
        </w:rPr>
        <w:t>Allah</w:t>
      </w:r>
      <w:r>
        <w:rPr>
          <w:rFonts w:eastAsia="SimSun" w:asciiTheme="majorBidi" w:hAnsiTheme="majorBidi" w:cstheme="majorBidi"/>
          <w:i/>
          <w:iCs/>
        </w:rPr>
        <w:t xml:space="preserve">. Sesungguhnya </w:t>
      </w:r>
      <w:r>
        <w:rPr>
          <w:rFonts w:eastAsia="SimSun" w:asciiTheme="majorBidi" w:hAnsiTheme="majorBidi" w:cstheme="majorBidi"/>
          <w:b/>
          <w:bCs/>
          <w:i/>
          <w:iCs/>
        </w:rPr>
        <w:t>Allah mengampuni dosa-dosa semuanya</w:t>
      </w:r>
      <w:r>
        <w:rPr>
          <w:rFonts w:eastAsia="SimSun" w:asciiTheme="majorBidi" w:hAnsiTheme="majorBidi" w:cstheme="majorBidi"/>
          <w:i/>
          <w:iCs/>
        </w:rPr>
        <w:t xml:space="preserve">. Sesungguhnya Dia-lah Yang Maha Pengampun lagi Maha Penyayang”. </w:t>
      </w:r>
      <w:r>
        <w:rPr>
          <w:rFonts w:eastAsia="SimSun" w:asciiTheme="majorBidi" w:hAnsiTheme="majorBidi" w:cstheme="majorBidi"/>
          <w:lang w:val="en-US"/>
        </w:rPr>
        <w:t>(QS Az Zumar:39:53)</w:t>
      </w:r>
      <w:r>
        <w:rPr>
          <w:rStyle w:val="17"/>
          <w:rFonts w:eastAsia="SimSun" w:asciiTheme="majorBidi" w:hAnsiTheme="majorBidi" w:cstheme="majorBidi"/>
          <w:lang w:val="en-US"/>
        </w:rPr>
        <w:footnoteReference w:id="91"/>
      </w:r>
    </w:p>
    <w:p>
      <w:pPr>
        <w:spacing w:after="0" w:line="312" w:lineRule="auto"/>
        <w:ind w:left="1540" w:leftChars="700" w:right="-103" w:rightChars="-47" w:firstLine="398" w:firstLineChars="181"/>
        <w:contextualSpacing/>
        <w:jc w:val="both"/>
        <w:rPr>
          <w:rFonts w:eastAsia="SimSun" w:asciiTheme="majorBidi" w:hAnsiTheme="majorBidi" w:cstheme="majorBidi"/>
        </w:rPr>
      </w:pPr>
    </w:p>
    <w:p>
      <w:pPr>
        <w:spacing w:after="0" w:line="312" w:lineRule="auto"/>
        <w:ind w:left="1540" w:leftChars="700" w:right="-103" w:rightChars="-47" w:firstLine="398" w:firstLineChars="181"/>
        <w:contextualSpacing/>
        <w:jc w:val="both"/>
        <w:rPr>
          <w:rFonts w:eastAsia="SimSun" w:asciiTheme="majorBidi" w:hAnsiTheme="majorBidi" w:cstheme="majorBidi"/>
        </w:rPr>
      </w:pPr>
      <w:r>
        <w:rPr>
          <w:rFonts w:eastAsia="SimSun" w:asciiTheme="majorBidi" w:hAnsiTheme="majorBidi" w:cstheme="majorBidi"/>
        </w:rPr>
        <w:t xml:space="preserve">Ayat ini memberikan harapan bagi setiap umat yang melakukan dosa besar, termasuk pembunuhan, untuk memohon taubat dan mendapatkan pengampunan dari </w:t>
      </w:r>
      <w:r>
        <w:rPr>
          <w:rFonts w:eastAsia="SimSun" w:asciiTheme="majorBidi" w:hAnsiTheme="majorBidi" w:cstheme="majorBidi"/>
          <w:lang w:val="en-US"/>
        </w:rPr>
        <w:t>Allah</w:t>
      </w:r>
      <w:r>
        <w:rPr>
          <w:rFonts w:eastAsia="SimSun" w:asciiTheme="majorBidi" w:hAnsiTheme="majorBidi" w:cstheme="majorBidi"/>
        </w:rPr>
        <w:t xml:space="preserve">. </w:t>
      </w:r>
      <w:r>
        <w:rPr>
          <w:rFonts w:eastAsia="SimSun" w:asciiTheme="majorBidi" w:hAnsiTheme="majorBidi" w:cstheme="majorBidi"/>
          <w:lang w:val="en-US"/>
        </w:rPr>
        <w:t>Allah</w:t>
      </w:r>
      <w:r>
        <w:rPr>
          <w:rFonts w:eastAsia="SimSun" w:asciiTheme="majorBidi" w:hAnsiTheme="majorBidi" w:cstheme="majorBidi"/>
        </w:rPr>
        <w:t xml:space="preserve"> adalah Yang Maha Pengampun, dan siapa pun yang bertobat akan menerima ampunan-Nya.</w:t>
      </w:r>
    </w:p>
    <w:p>
      <w:pPr>
        <w:spacing w:after="0" w:line="312" w:lineRule="auto"/>
        <w:ind w:left="1320" w:leftChars="600" w:right="-103" w:rightChars="-47" w:firstLine="550" w:firstLineChars="250"/>
        <w:contextualSpacing/>
        <w:jc w:val="both"/>
        <w:rPr>
          <w:rFonts w:eastAsia="SimSun" w:asciiTheme="majorBidi" w:hAnsiTheme="majorBidi" w:cstheme="majorBidi"/>
        </w:rPr>
      </w:pPr>
      <w:r>
        <w:rPr>
          <w:rFonts w:eastAsia="SimSun" w:asciiTheme="majorBidi" w:hAnsiTheme="majorBidi" w:cstheme="majorBidi"/>
          <w:lang w:val="en-US"/>
        </w:rPr>
        <w:t xml:space="preserve">Maaf dalam hukum Islam sangat dianjurkan, sebagai bentuk rasa kemanusiaan. Bahkan dalam pidana kasus pembunuhan yang menyangkut HAM (Hak Asasi Manusia) di dalam Islam sudah dijelaskan mengenai pemberian maaf kepada pelaku pembunuhan. Pembunuhan termasuk dalam jarimah yang mendapatkan hukuman dan dosa besar. Akan tetapi di dalam Al qur’an dan Hadis dijelaskan mengenai pemberian maaf kepada pelaku pembunuhan oleh ahli waris atau penguasa. </w:t>
      </w:r>
    </w:p>
    <w:p>
      <w:pPr>
        <w:spacing w:after="0" w:line="312" w:lineRule="auto"/>
        <w:ind w:left="1320" w:leftChars="600" w:right="-103" w:rightChars="-47" w:firstLine="550" w:firstLineChars="250"/>
        <w:contextualSpacing/>
        <w:jc w:val="both"/>
        <w:rPr>
          <w:rFonts w:eastAsia="SimSun" w:asciiTheme="majorBidi" w:hAnsiTheme="majorBidi" w:cstheme="majorBidi"/>
        </w:rPr>
      </w:pPr>
      <w:r>
        <w:rPr>
          <w:rFonts w:eastAsia="SimSun" w:asciiTheme="majorBidi" w:hAnsiTheme="majorBidi" w:cstheme="majorBidi"/>
          <w:lang w:val="en-US"/>
        </w:rPr>
        <w:t>Ada beberapa Ayat mengenai maaf yang diberikan kepada pelaku antara lain:</w:t>
      </w:r>
    </w:p>
    <w:p>
      <w:pPr>
        <w:numPr>
          <w:ilvl w:val="0"/>
          <w:numId w:val="54"/>
        </w:numPr>
        <w:tabs>
          <w:tab w:val="clear" w:pos="425"/>
        </w:tabs>
        <w:spacing w:after="0" w:line="312" w:lineRule="auto"/>
        <w:ind w:left="1685" w:leftChars="600" w:right="-103" w:rightChars="-47" w:hanging="365" w:hangingChars="166"/>
        <w:contextualSpacing/>
        <w:jc w:val="both"/>
        <w:rPr>
          <w:rFonts w:eastAsia="SimSun" w:asciiTheme="majorBidi" w:hAnsiTheme="majorBidi" w:cstheme="majorBidi"/>
          <w:i/>
          <w:iCs/>
        </w:rPr>
      </w:pPr>
      <w:r>
        <w:rPr>
          <w:rStyle w:val="19"/>
          <w:rFonts w:eastAsia="SimSun" w:asciiTheme="majorBidi" w:hAnsiTheme="majorBidi" w:cstheme="majorBidi"/>
          <w:b w:val="0"/>
          <w:bCs w:val="0"/>
        </w:rPr>
        <w:t>Surah Al-Baqarah (2:178)</w:t>
      </w:r>
      <w:r>
        <w:rPr>
          <w:rFonts w:eastAsia="SimSun" w:asciiTheme="majorBidi" w:hAnsiTheme="majorBidi" w:cstheme="majorBidi"/>
        </w:rPr>
        <w:t xml:space="preserve"> </w:t>
      </w:r>
    </w:p>
    <w:p>
      <w:pPr>
        <w:tabs>
          <w:tab w:val="left" w:pos="425"/>
        </w:tabs>
        <w:spacing w:after="0" w:line="312" w:lineRule="auto"/>
        <w:ind w:left="1685" w:right="-103" w:rightChars="-47"/>
        <w:contextualSpacing/>
        <w:jc w:val="both"/>
        <w:rPr>
          <w:rFonts w:eastAsia="SimSun" w:asciiTheme="majorBidi" w:hAnsiTheme="majorBidi" w:cstheme="majorBidi"/>
          <w:i/>
          <w:iCs/>
        </w:rPr>
      </w:pPr>
    </w:p>
    <w:p>
      <w:pPr>
        <w:bidi/>
        <w:spacing w:after="0" w:line="240" w:lineRule="auto"/>
        <w:ind w:left="-29" w:right="1701" w:rightChars="773" w:hanging="29"/>
        <w:contextualSpacing/>
        <w:jc w:val="both"/>
        <w:rPr>
          <w:rFonts w:ascii="Traditional Arabic" w:hAnsi="Traditional Arabic" w:eastAsia="SimSun" w:cs="Traditional Arabic"/>
          <w:i/>
          <w:iCs/>
          <w:sz w:val="32"/>
          <w:szCs w:val="32"/>
        </w:rPr>
      </w:pPr>
      <w:r>
        <w:rPr>
          <w:rFonts w:ascii="Times New Roman" w:hAnsi="Times New Roman" w:eastAsia="SimSun" w:cs="Times New Roman"/>
          <w:lang w:val="en-US"/>
        </w:rPr>
        <w:t>يَآ</w:t>
      </w:r>
      <w:r>
        <w:rPr>
          <w:rFonts w:ascii="Traditional Arabic" w:hAnsi="Traditional Arabic" w:eastAsia="SimSun" w:cs="Traditional Arabic"/>
          <w:sz w:val="32"/>
          <w:szCs w:val="32"/>
          <w:lang w:val="en-US"/>
        </w:rPr>
        <w:t>أَيُّهَا ٱلَّذِينَ ءَامَنُواْ كُتِبَ عَلَيۡكُمُ ٱلۡقِصَاصُ فِي ٱلۡقَتۡلَىۖ ٱلۡحُرُّ بِٱلۡحُرِّ وَٱلۡعَبۡدُ بِٱلۡعَبۡدِ وَٱلۡأُنثَىٰ بِٱلۡأُنثَىٰۚ فَمَنۡ عُفِيَ لَهُۥ مِنۡ أَخِيهِ شَيۡءࣱ فَٱتِّبَاعُۢ بِٱلۡمَعۡرُوفِ وَأَدَآءٌ إِلَيۡهِ بِإِحۡسَٰنࣲۗ ذَٰلِكَ تَخۡفِيفࣱ مِّن رَّبِّكُمۡ وَرَحۡمَةࣱۗ فَمَنِ ٱعۡتَدَىٰ بَعۡدَ ذَٰلِكَ فَلَهُۥ عَذَابٌ أَلِيمࣱ</w:t>
      </w:r>
    </w:p>
    <w:p>
      <w:pPr>
        <w:spacing w:after="0" w:line="240" w:lineRule="auto"/>
        <w:ind w:left="2266" w:leftChars="1030" w:right="-103" w:rightChars="-47" w:firstLine="2"/>
        <w:contextualSpacing/>
        <w:jc w:val="both"/>
        <w:rPr>
          <w:rFonts w:eastAsia="SimSun" w:asciiTheme="majorBidi" w:hAnsiTheme="majorBidi" w:cstheme="majorBidi"/>
          <w:lang w:val="en-US"/>
        </w:rPr>
      </w:pPr>
      <w:r>
        <w:rPr>
          <w:rFonts w:eastAsia="SimSun" w:asciiTheme="majorBidi" w:hAnsiTheme="majorBidi" w:cstheme="majorBidi"/>
          <w:i/>
          <w:iCs/>
        </w:rPr>
        <w:t xml:space="preserve">"Wahai orang-orang yang beriman, diwajibkan atas </w:t>
      </w:r>
      <w:r>
        <w:rPr>
          <w:rFonts w:eastAsia="SimSun" w:asciiTheme="majorBidi" w:hAnsiTheme="majorBidi" w:cstheme="majorBidi"/>
          <w:i/>
          <w:iCs/>
          <w:lang w:val="en-US"/>
        </w:rPr>
        <w:t xml:space="preserve">kamu </w:t>
      </w:r>
      <w:r>
        <w:rPr>
          <w:rFonts w:eastAsia="SimSun" w:asciiTheme="majorBidi" w:hAnsiTheme="majorBidi" w:cstheme="majorBidi"/>
          <w:i/>
          <w:iCs/>
        </w:rPr>
        <w:t xml:space="preserve">qishash (pembalasan yang setimpal) dalam hal pembunuhan: orang merdeka dengan orang merdeka, hamba sahaya dengan hamba sahaya, dan wanita dengan wanita. Maka barang siapa yang </w:t>
      </w:r>
      <w:r>
        <w:rPr>
          <w:rFonts w:eastAsia="SimSun" w:asciiTheme="majorBidi" w:hAnsiTheme="majorBidi" w:cstheme="majorBidi"/>
          <w:b/>
          <w:bCs/>
          <w:i/>
          <w:iCs/>
        </w:rPr>
        <w:t>mendapat maaf dari saudaranya (ahli waris),</w:t>
      </w:r>
      <w:r>
        <w:rPr>
          <w:rFonts w:eastAsia="SimSun" w:asciiTheme="majorBidi" w:hAnsiTheme="majorBidi" w:cstheme="majorBidi"/>
          <w:i/>
          <w:iCs/>
        </w:rPr>
        <w:t xml:space="preserve"> maka hendaklah mengikuti yang patut dan membayar diyat dengan baik. Itu adalah keringanan dari Tuhan</w:t>
      </w:r>
      <w:r>
        <w:rPr>
          <w:rFonts w:eastAsia="SimSun" w:asciiTheme="majorBidi" w:hAnsiTheme="majorBidi" w:cstheme="majorBidi"/>
          <w:i/>
          <w:iCs/>
          <w:lang w:val="en-US"/>
        </w:rPr>
        <w:t>muda</w:t>
      </w:r>
      <w:r>
        <w:rPr>
          <w:rFonts w:eastAsia="SimSun" w:asciiTheme="majorBidi" w:hAnsiTheme="majorBidi" w:cstheme="majorBidi"/>
          <w:i/>
          <w:iCs/>
        </w:rPr>
        <w:t>n rahmat. Barang siapa yang melanggar setelah itu, maka baginya azab yang sangat pedih."</w:t>
      </w:r>
      <w:r>
        <w:rPr>
          <w:rFonts w:eastAsia="SimSun" w:asciiTheme="majorBidi" w:hAnsiTheme="majorBidi" w:cstheme="majorBidi"/>
          <w:i/>
          <w:iCs/>
          <w:lang w:val="en-US"/>
        </w:rPr>
        <w:t xml:space="preserve"> </w:t>
      </w:r>
      <w:r>
        <w:rPr>
          <w:rFonts w:eastAsia="SimSun" w:asciiTheme="majorBidi" w:hAnsiTheme="majorBidi" w:cstheme="majorBidi"/>
          <w:lang w:val="en-US"/>
        </w:rPr>
        <w:t>(Al Baqarah:2:178)</w:t>
      </w:r>
      <w:r>
        <w:rPr>
          <w:rStyle w:val="17"/>
          <w:rFonts w:eastAsia="SimSun" w:asciiTheme="majorBidi" w:hAnsiTheme="majorBidi" w:cstheme="majorBidi"/>
          <w:lang w:val="en-US"/>
        </w:rPr>
        <w:footnoteReference w:id="92"/>
      </w:r>
    </w:p>
    <w:p>
      <w:pPr>
        <w:spacing w:after="0" w:line="240" w:lineRule="auto"/>
        <w:ind w:left="1760" w:leftChars="800" w:right="-103" w:rightChars="-47" w:firstLine="550" w:firstLineChars="250"/>
        <w:contextualSpacing/>
        <w:jc w:val="both"/>
        <w:rPr>
          <w:rFonts w:eastAsia="SimSun" w:asciiTheme="majorBidi" w:hAnsiTheme="majorBidi" w:cstheme="majorBidi"/>
          <w:lang w:val="en-US"/>
        </w:rPr>
      </w:pPr>
    </w:p>
    <w:p>
      <w:pPr>
        <w:spacing w:after="0" w:line="312" w:lineRule="auto"/>
        <w:ind w:left="1760" w:leftChars="800" w:right="-103" w:rightChars="-47" w:firstLine="550" w:firstLineChars="250"/>
        <w:contextualSpacing/>
        <w:jc w:val="both"/>
        <w:rPr>
          <w:rFonts w:eastAsia="SimSun" w:asciiTheme="majorBidi" w:hAnsiTheme="majorBidi" w:cstheme="majorBidi"/>
          <w:lang w:val="en-US"/>
        </w:rPr>
      </w:pPr>
      <w:r>
        <w:rPr>
          <w:rFonts w:eastAsia="SimSun" w:asciiTheme="majorBidi" w:hAnsiTheme="majorBidi" w:cstheme="majorBidi"/>
        </w:rPr>
        <w:t xml:space="preserve">Ayat ini menjelaskan tentang </w:t>
      </w:r>
      <w:r>
        <w:rPr>
          <w:rStyle w:val="19"/>
          <w:rFonts w:eastAsia="SimSun" w:asciiTheme="majorBidi" w:hAnsiTheme="majorBidi" w:cstheme="majorBidi"/>
          <w:b w:val="0"/>
          <w:bCs w:val="0"/>
          <w:i/>
          <w:iCs/>
        </w:rPr>
        <w:t>qishash</w:t>
      </w:r>
      <w:r>
        <w:rPr>
          <w:rFonts w:eastAsia="SimSun" w:asciiTheme="majorBidi" w:hAnsiTheme="majorBidi" w:cstheme="majorBidi"/>
          <w:b/>
          <w:bCs/>
          <w:i/>
          <w:iCs/>
        </w:rPr>
        <w:t>,</w:t>
      </w:r>
      <w:r>
        <w:rPr>
          <w:rFonts w:eastAsia="SimSun" w:asciiTheme="majorBidi" w:hAnsiTheme="majorBidi" w:cstheme="majorBidi"/>
          <w:b/>
          <w:bCs/>
        </w:rPr>
        <w:t xml:space="preserve"> </w:t>
      </w:r>
      <w:r>
        <w:rPr>
          <w:rFonts w:eastAsia="SimSun" w:asciiTheme="majorBidi" w:hAnsiTheme="majorBidi" w:cstheme="majorBidi"/>
        </w:rPr>
        <w:t xml:space="preserve">yaitu pembalasan setimpal bagi orang yang membunuh. </w:t>
      </w:r>
      <w:r>
        <w:rPr>
          <w:rFonts w:eastAsia="SimSun" w:asciiTheme="majorBidi" w:hAnsiTheme="majorBidi" w:cstheme="majorBidi"/>
          <w:lang w:val="en-US"/>
        </w:rPr>
        <w:t>Namun</w:t>
      </w:r>
      <w:r>
        <w:rPr>
          <w:rFonts w:eastAsia="SimSun" w:asciiTheme="majorBidi" w:hAnsiTheme="majorBidi" w:cstheme="majorBidi"/>
        </w:rPr>
        <w:t xml:space="preserve">, terdapat ruang bagi keluarga korban untuk memberi </w:t>
      </w:r>
      <w:r>
        <w:rPr>
          <w:rStyle w:val="19"/>
          <w:rFonts w:eastAsia="SimSun" w:asciiTheme="majorBidi" w:hAnsiTheme="majorBidi" w:cstheme="majorBidi"/>
          <w:b w:val="0"/>
          <w:bCs w:val="0"/>
        </w:rPr>
        <w:t>maaf</w:t>
      </w:r>
      <w:r>
        <w:rPr>
          <w:rFonts w:eastAsia="SimSun" w:asciiTheme="majorBidi" w:hAnsiTheme="majorBidi" w:cstheme="majorBidi"/>
          <w:b/>
          <w:bCs/>
        </w:rPr>
        <w:t xml:space="preserve"> </w:t>
      </w:r>
      <w:r>
        <w:rPr>
          <w:rFonts w:eastAsia="SimSun" w:asciiTheme="majorBidi" w:hAnsiTheme="majorBidi" w:cstheme="majorBidi"/>
        </w:rPr>
        <w:t xml:space="preserve">(memaafkan pelaku) dengan imbalan mendapatkan pahala besar dari </w:t>
      </w:r>
      <w:r>
        <w:rPr>
          <w:rFonts w:eastAsia="SimSun" w:asciiTheme="majorBidi" w:hAnsiTheme="majorBidi" w:cstheme="majorBidi"/>
          <w:lang w:val="en-US"/>
        </w:rPr>
        <w:t xml:space="preserve">Allah kepada yang memaafkan. </w:t>
      </w:r>
    </w:p>
    <w:p>
      <w:pPr>
        <w:numPr>
          <w:ilvl w:val="0"/>
          <w:numId w:val="54"/>
        </w:numPr>
        <w:tabs>
          <w:tab w:val="clear" w:pos="425"/>
        </w:tabs>
        <w:spacing w:after="0" w:line="312" w:lineRule="auto"/>
        <w:ind w:left="1685" w:leftChars="600" w:right="-103" w:rightChars="-47" w:hanging="365" w:hangingChars="166"/>
        <w:contextualSpacing/>
        <w:jc w:val="both"/>
        <w:rPr>
          <w:rStyle w:val="19"/>
          <w:rFonts w:eastAsia="SimSun" w:asciiTheme="majorBidi" w:hAnsiTheme="majorBidi" w:cstheme="majorBidi"/>
          <w:b w:val="0"/>
          <w:bCs w:val="0"/>
        </w:rPr>
      </w:pPr>
      <w:r>
        <w:rPr>
          <w:rStyle w:val="19"/>
          <w:rFonts w:eastAsia="SimSun" w:asciiTheme="majorBidi" w:hAnsiTheme="majorBidi" w:cstheme="majorBidi"/>
          <w:b w:val="0"/>
          <w:bCs w:val="0"/>
        </w:rPr>
        <w:t xml:space="preserve">Surah Al-Maidah (5:45) </w:t>
      </w:r>
    </w:p>
    <w:p>
      <w:pPr>
        <w:spacing w:after="0" w:line="312" w:lineRule="auto"/>
        <w:ind w:left="955" w:leftChars="434" w:right="-103" w:rightChars="-47"/>
        <w:contextualSpacing/>
        <w:jc w:val="both"/>
        <w:rPr>
          <w:rStyle w:val="19"/>
          <w:rFonts w:eastAsia="SimSun" w:asciiTheme="majorBidi" w:hAnsiTheme="majorBidi" w:cstheme="majorBidi"/>
          <w:b w:val="0"/>
          <w:bCs w:val="0"/>
        </w:rPr>
      </w:pPr>
    </w:p>
    <w:p>
      <w:pPr>
        <w:bidi/>
        <w:spacing w:line="240" w:lineRule="auto"/>
        <w:ind w:left="-29" w:leftChars="-13" w:right="1701" w:rightChars="773" w:firstLine="7"/>
        <w:jc w:val="both"/>
        <w:rPr>
          <w:rFonts w:ascii="Traditional Arabic" w:hAnsi="Traditional Arabic" w:eastAsia="SimSun" w:cs="Traditional Arabic"/>
          <w:i/>
          <w:iCs/>
          <w:sz w:val="32"/>
          <w:szCs w:val="32"/>
        </w:rPr>
      </w:pPr>
      <w:r>
        <w:rPr>
          <w:rStyle w:val="19"/>
          <w:rFonts w:ascii="Traditional Arabic" w:hAnsi="Traditional Arabic" w:eastAsia="SimSun" w:cs="Traditional Arabic"/>
          <w:b w:val="0"/>
          <w:bCs w:val="0"/>
          <w:sz w:val="32"/>
          <w:szCs w:val="32"/>
        </w:rPr>
        <w:t>وَكَتَبۡنَا عَلَيۡهِمۡ فِيهَآ أَنَّ ٱلنَّفۡسَ بِٱلنَّفۡسِ وَٱلۡعَيۡنَ بِٱلۡعَيۡنِ وَٱلۡأَنفَ بِٱلۡأَنفِ وَٱلۡأُذُنَ بِٱلۡأُذُنِ وَٱلسِّنَّ بِٱلسِّنِّ وَٱلۡجُرُوحَ قِصَاصࣱۚ فَمَن تَصَدَّقَ بِهِۦ فَهُوَ كَفَّارَةࣱ لَّهُۥۚ وَمَن لَّمۡ يَحۡكُم بِمَآ أَنزَلَ ٱللَّهُ فَأُوْلَٰٓئِكَ هُمُ ٱلظَّٰلِمُونَ</w:t>
      </w:r>
    </w:p>
    <w:p>
      <w:pPr>
        <w:spacing w:after="0" w:line="240" w:lineRule="auto"/>
        <w:ind w:left="2266" w:leftChars="1030" w:right="-103" w:rightChars="-47"/>
        <w:contextualSpacing/>
        <w:jc w:val="both"/>
        <w:rPr>
          <w:rFonts w:eastAsia="SimSun" w:asciiTheme="majorBidi" w:hAnsiTheme="majorBidi" w:cstheme="majorBidi"/>
        </w:rPr>
      </w:pPr>
      <w:r>
        <w:rPr>
          <w:rFonts w:eastAsia="SimSun" w:asciiTheme="majorBidi" w:hAnsiTheme="majorBidi" w:cstheme="majorBidi"/>
          <w:i/>
          <w:iCs/>
        </w:rPr>
        <w:t>"Dan Kami tetapkan bagi mereka di dalamnya: 'Hidup untuk hidup, mata untuk mata, hidung untuk hidung, telinga untuk telinga, gigi untuk gigi, dan luka-luka yang setimpal.' T</w:t>
      </w:r>
      <w:r>
        <w:rPr>
          <w:rFonts w:eastAsia="SimSun" w:asciiTheme="majorBidi" w:hAnsiTheme="majorBidi" w:cstheme="majorBidi"/>
          <w:b/>
          <w:bCs/>
          <w:i/>
          <w:iCs/>
        </w:rPr>
        <w:t>etapi barang siapa yang memberi maaf (memaafkan) maka itu menjadi penebus dosa baginya.</w:t>
      </w:r>
      <w:r>
        <w:rPr>
          <w:rFonts w:eastAsia="SimSun" w:asciiTheme="majorBidi" w:hAnsiTheme="majorBidi" w:cstheme="majorBidi"/>
          <w:i/>
          <w:iCs/>
        </w:rPr>
        <w:t xml:space="preserve"> Barang siapa yang tidak </w:t>
      </w:r>
      <w:r>
        <w:rPr>
          <w:rFonts w:eastAsia="SimSun" w:asciiTheme="majorBidi" w:hAnsiTheme="majorBidi" w:cstheme="majorBidi"/>
          <w:i/>
          <w:iCs/>
          <w:lang w:val="en-US"/>
        </w:rPr>
        <w:t>memutuskan</w:t>
      </w:r>
      <w:r>
        <w:rPr>
          <w:rFonts w:eastAsia="SimSun" w:asciiTheme="majorBidi" w:hAnsiTheme="majorBidi" w:cstheme="majorBidi"/>
          <w:i/>
          <w:iCs/>
        </w:rPr>
        <w:t xml:space="preserve"> dengan apa yang diturunkan oleh </w:t>
      </w:r>
      <w:r>
        <w:rPr>
          <w:rFonts w:eastAsia="SimSun" w:asciiTheme="majorBidi" w:hAnsiTheme="majorBidi" w:cstheme="majorBidi"/>
          <w:i/>
          <w:iCs/>
          <w:lang w:val="en-US"/>
        </w:rPr>
        <w:t>Allah</w:t>
      </w:r>
      <w:r>
        <w:rPr>
          <w:rFonts w:eastAsia="SimSun" w:asciiTheme="majorBidi" w:hAnsiTheme="majorBidi" w:cstheme="majorBidi"/>
          <w:i/>
          <w:iCs/>
        </w:rPr>
        <w:t>, maka mereka itulah orang-orang yang zalim."</w:t>
      </w:r>
      <w:r>
        <w:rPr>
          <w:rFonts w:eastAsia="SimSun" w:asciiTheme="majorBidi" w:hAnsiTheme="majorBidi" w:cstheme="majorBidi"/>
          <w:i/>
          <w:iCs/>
          <w:lang w:val="en-US"/>
        </w:rPr>
        <w:t xml:space="preserve"> </w:t>
      </w:r>
      <w:r>
        <w:rPr>
          <w:rFonts w:eastAsia="SimSun" w:asciiTheme="majorBidi" w:hAnsiTheme="majorBidi" w:cstheme="majorBidi"/>
          <w:lang w:val="en-US"/>
        </w:rPr>
        <w:t>(Al Maidah:5:45)</w:t>
      </w:r>
      <w:r>
        <w:rPr>
          <w:rStyle w:val="17"/>
          <w:rFonts w:eastAsia="SimSun" w:asciiTheme="majorBidi" w:hAnsiTheme="majorBidi" w:cstheme="majorBidi"/>
          <w:lang w:val="en-US"/>
        </w:rPr>
        <w:footnoteReference w:id="93"/>
      </w:r>
    </w:p>
    <w:p>
      <w:pPr>
        <w:spacing w:after="0" w:line="312" w:lineRule="auto"/>
        <w:ind w:left="1760" w:leftChars="800" w:right="-103" w:rightChars="-47" w:firstLine="550" w:firstLineChars="250"/>
        <w:contextualSpacing/>
        <w:jc w:val="both"/>
        <w:rPr>
          <w:rFonts w:eastAsia="SimSun" w:asciiTheme="majorBidi" w:hAnsiTheme="majorBidi" w:cstheme="majorBidi"/>
        </w:rPr>
      </w:pPr>
    </w:p>
    <w:p>
      <w:pPr>
        <w:spacing w:after="0" w:line="312" w:lineRule="auto"/>
        <w:ind w:left="1760" w:leftChars="800" w:right="-103" w:rightChars="-47" w:firstLine="550" w:firstLineChars="250"/>
        <w:contextualSpacing/>
        <w:jc w:val="both"/>
        <w:rPr>
          <w:rFonts w:eastAsia="SimSun" w:asciiTheme="majorBidi" w:hAnsiTheme="majorBidi" w:cstheme="majorBidi"/>
        </w:rPr>
      </w:pPr>
      <w:r>
        <w:rPr>
          <w:rFonts w:eastAsia="SimSun" w:asciiTheme="majorBidi" w:hAnsiTheme="majorBidi" w:cstheme="majorBidi"/>
        </w:rPr>
        <w:t xml:space="preserve">Ayat ini juga menjelaskan tentang qishash, </w:t>
      </w:r>
      <w:r>
        <w:rPr>
          <w:rFonts w:eastAsia="SimSun" w:asciiTheme="majorBidi" w:hAnsiTheme="majorBidi" w:cstheme="majorBidi"/>
          <w:lang w:val="en-US"/>
        </w:rPr>
        <w:t>Namun</w:t>
      </w:r>
      <w:r>
        <w:rPr>
          <w:rFonts w:eastAsia="SimSun" w:asciiTheme="majorBidi" w:hAnsiTheme="majorBidi" w:cstheme="majorBidi"/>
        </w:rPr>
        <w:t xml:space="preserve"> menekankan bahwa memaafkan pelaku pembunuhan memberikan pahala besar sebagai pengganti balasan yang setimpal. Ini menggarisbawahi pentingnya pengampunan dalam Islam.</w:t>
      </w:r>
    </w:p>
    <w:p>
      <w:pPr>
        <w:numPr>
          <w:ilvl w:val="0"/>
          <w:numId w:val="54"/>
        </w:numPr>
        <w:tabs>
          <w:tab w:val="clear" w:pos="425"/>
        </w:tabs>
        <w:spacing w:after="0" w:line="312" w:lineRule="auto"/>
        <w:ind w:left="1685" w:leftChars="600" w:right="-103" w:rightChars="-47" w:hanging="365" w:hangingChars="166"/>
        <w:contextualSpacing/>
        <w:jc w:val="both"/>
        <w:rPr>
          <w:rStyle w:val="19"/>
          <w:rFonts w:ascii="Times New Roman" w:hAnsi="Times New Roman" w:eastAsia="SimSun" w:cs="Times New Roman"/>
          <w:b w:val="0"/>
          <w:bCs w:val="0"/>
          <w:lang w:val="en-US"/>
        </w:rPr>
      </w:pPr>
      <w:r>
        <w:rPr>
          <w:rStyle w:val="19"/>
          <w:rFonts w:eastAsia="SimSun" w:asciiTheme="majorBidi" w:hAnsiTheme="majorBidi" w:cstheme="majorBidi"/>
          <w:b w:val="0"/>
          <w:bCs w:val="0"/>
        </w:rPr>
        <w:t xml:space="preserve">Surah An-Nisa (4:92) </w:t>
      </w:r>
    </w:p>
    <w:p>
      <w:pPr>
        <w:spacing w:after="0" w:line="312" w:lineRule="auto"/>
        <w:ind w:left="955" w:leftChars="434" w:right="-103" w:rightChars="-47"/>
        <w:contextualSpacing/>
        <w:jc w:val="both"/>
        <w:rPr>
          <w:rStyle w:val="19"/>
          <w:rFonts w:ascii="Times New Roman" w:hAnsi="Times New Roman" w:eastAsia="SimSun" w:cs="Times New Roman"/>
          <w:b w:val="0"/>
          <w:bCs w:val="0"/>
          <w:lang w:val="en-US"/>
        </w:rPr>
      </w:pPr>
    </w:p>
    <w:p>
      <w:pPr>
        <w:bidi/>
        <w:spacing w:line="240" w:lineRule="auto"/>
        <w:ind w:left="-108" w:leftChars="-50" w:right="1701" w:rightChars="773" w:hanging="2"/>
        <w:jc w:val="both"/>
        <w:rPr>
          <w:rStyle w:val="19"/>
          <w:rFonts w:ascii="Traditional Arabic" w:hAnsi="Traditional Arabic" w:eastAsia="SimSun" w:cs="Traditional Arabic"/>
          <w:b w:val="0"/>
          <w:bCs w:val="0"/>
          <w:i/>
          <w:iCs/>
          <w:sz w:val="32"/>
          <w:szCs w:val="32"/>
        </w:rPr>
      </w:pPr>
      <w:bookmarkStart w:id="36" w:name="_Hlk200973845"/>
      <w:r>
        <w:rPr>
          <w:rStyle w:val="19"/>
          <w:rFonts w:ascii="Traditional Arabic" w:hAnsi="Traditional Arabic" w:eastAsia="SimSun" w:cs="Traditional Arabic"/>
          <w:b w:val="0"/>
          <w:bCs w:val="0"/>
          <w:sz w:val="32"/>
          <w:szCs w:val="32"/>
        </w:rPr>
        <w:t>وَكَتَبۡنَا عَلَيۡهِمۡ فِيهَآ أَنَّ ٱلنَّفۡسَ بِٱلنَّفۡسِ وَٱلۡعَيۡنَ بِٱلۡعَيۡنِ وَٱلۡأَنفَ بِٱلۡأَنفِ وَٱلۡأُذُنَ بِٱلۡأُذُنِ وَٱلسِّنَّ بِٱلسِّنِّ وَٱلۡجُرُوحَ قِصَاصࣱۚ فَمَن تَصَدَّقَ بِهِۦ فَهُوَ كَفَّارَةࣱ لَّهُۥۚ وَمَن لَّمۡ يَحۡكُم بِمَآ أَنزَلَ ٱللَّهُ فَأُوْلَٰٓئِكَ هُمُ ٱلظَّٰلِمُونَ</w:t>
      </w:r>
      <w:bookmarkEnd w:id="36"/>
    </w:p>
    <w:p>
      <w:pPr>
        <w:spacing w:after="0" w:line="240" w:lineRule="auto"/>
        <w:ind w:left="2266" w:leftChars="1030" w:right="-103" w:rightChars="-47" w:firstLine="41" w:firstLineChars="19"/>
        <w:contextualSpacing/>
        <w:jc w:val="both"/>
        <w:rPr>
          <w:rFonts w:eastAsia="SimSun" w:asciiTheme="majorBidi" w:hAnsiTheme="majorBidi" w:cstheme="majorBidi"/>
        </w:rPr>
      </w:pPr>
      <w:r>
        <w:rPr>
          <w:rFonts w:eastAsia="SimSun" w:asciiTheme="majorBidi" w:hAnsiTheme="majorBidi" w:cstheme="majorBidi"/>
          <w:i/>
          <w:iCs/>
        </w:rPr>
        <w:t xml:space="preserve">"Tidaklah layak bagi seorang MU kmin membunuh seorang MU kmin, kecuali karena kesalahan (seperti pembunuhan yang tidak disengaja atau karena hukum yang berlaku). Barang siapa membunuh seorang MU kmin dengan sengaja, maka balasannya adalah Neraka Jahanam, kekal di dalamnya; dan Allah MU rka kepadanya dan melaknatnya serta menyediakan azab yang besar baginya." </w:t>
      </w:r>
      <w:r>
        <w:rPr>
          <w:rFonts w:eastAsia="SimSun" w:asciiTheme="majorBidi" w:hAnsiTheme="majorBidi" w:cstheme="majorBidi"/>
          <w:lang w:val="en-US"/>
        </w:rPr>
        <w:t>(QS An Nisa:92)</w:t>
      </w:r>
      <w:r>
        <w:rPr>
          <w:rStyle w:val="17"/>
          <w:rFonts w:eastAsia="SimSun" w:asciiTheme="majorBidi" w:hAnsiTheme="majorBidi" w:cstheme="majorBidi"/>
          <w:lang w:val="en-US"/>
        </w:rPr>
        <w:footnoteReference w:id="94"/>
      </w:r>
    </w:p>
    <w:p>
      <w:pPr>
        <w:spacing w:after="0" w:line="312" w:lineRule="auto"/>
        <w:ind w:left="1760" w:leftChars="800" w:right="-103" w:rightChars="-47" w:firstLine="550" w:firstLineChars="250"/>
        <w:contextualSpacing/>
        <w:jc w:val="both"/>
        <w:rPr>
          <w:rFonts w:eastAsia="SimSun" w:asciiTheme="majorBidi" w:hAnsiTheme="majorBidi" w:cstheme="majorBidi"/>
        </w:rPr>
      </w:pPr>
      <w:r>
        <w:rPr>
          <w:rFonts w:eastAsia="SimSun" w:asciiTheme="majorBidi" w:hAnsiTheme="majorBidi" w:cstheme="majorBidi"/>
        </w:rPr>
        <w:t xml:space="preserve">Ayat ini menyebutkan hukuman bagi pembunuhan sengaja, </w:t>
      </w:r>
      <w:r>
        <w:rPr>
          <w:rFonts w:eastAsia="SimSun" w:asciiTheme="majorBidi" w:hAnsiTheme="majorBidi" w:cstheme="majorBidi"/>
          <w:lang w:val="en-US"/>
        </w:rPr>
        <w:t>Namun</w:t>
      </w:r>
      <w:r>
        <w:rPr>
          <w:rFonts w:eastAsia="SimSun" w:asciiTheme="majorBidi" w:hAnsiTheme="majorBidi" w:cstheme="majorBidi"/>
        </w:rPr>
        <w:t xml:space="preserve"> tetap ada jalan bagi taubat dan pengampunan bagi pelaku yang menyesal, memohon ampun kepada </w:t>
      </w:r>
      <w:r>
        <w:rPr>
          <w:rFonts w:eastAsia="SimSun" w:asciiTheme="majorBidi" w:hAnsiTheme="majorBidi" w:cstheme="majorBidi"/>
          <w:lang w:val="en-US"/>
        </w:rPr>
        <w:t>Allah</w:t>
      </w:r>
      <w:r>
        <w:rPr>
          <w:rFonts w:eastAsia="SimSun" w:asciiTheme="majorBidi" w:hAnsiTheme="majorBidi" w:cstheme="majorBidi"/>
        </w:rPr>
        <w:t>, dan berusaha memperbaiki diri.</w:t>
      </w:r>
    </w:p>
    <w:p>
      <w:pPr>
        <w:spacing w:after="0" w:line="312" w:lineRule="auto"/>
        <w:ind w:left="1760" w:leftChars="800" w:right="-103" w:rightChars="-47" w:firstLine="550" w:firstLineChars="250"/>
        <w:contextualSpacing/>
        <w:jc w:val="both"/>
        <w:rPr>
          <w:rFonts w:eastAsia="SimSun" w:asciiTheme="majorBidi" w:hAnsiTheme="majorBidi" w:cstheme="majorBidi"/>
        </w:rPr>
      </w:pPr>
      <w:r>
        <w:rPr>
          <w:rFonts w:eastAsia="SimSun" w:asciiTheme="majorBidi" w:hAnsiTheme="majorBidi" w:cstheme="majorBidi"/>
        </w:rPr>
        <w:t>Demikian pula jika pihak korban memaafkan elakunya, maka hukuman qishas sebagai hukuman pokok (</w:t>
      </w:r>
      <w:r>
        <w:rPr>
          <w:rFonts w:eastAsia="SimSun" w:asciiTheme="majorBidi" w:hAnsiTheme="majorBidi" w:cstheme="majorBidi"/>
          <w:i/>
          <w:iCs/>
        </w:rPr>
        <w:t>al-uqubah ashliyah</w:t>
      </w:r>
      <w:r>
        <w:rPr>
          <w:rFonts w:eastAsia="SimSun" w:asciiTheme="majorBidi" w:hAnsiTheme="majorBidi" w:cstheme="majorBidi"/>
        </w:rPr>
        <w:t>) menjadi gugur dan diganti dengan diyat sebagai hukuman pengganti, (</w:t>
      </w:r>
      <w:r>
        <w:rPr>
          <w:rFonts w:eastAsia="SimSun" w:asciiTheme="majorBidi" w:hAnsiTheme="majorBidi" w:cstheme="majorBidi"/>
          <w:i/>
          <w:iCs/>
        </w:rPr>
        <w:t>al-uqubah albadaliyah</w:t>
      </w:r>
      <w:r>
        <w:rPr>
          <w:rFonts w:eastAsia="SimSun" w:asciiTheme="majorBidi" w:hAnsiTheme="majorBidi" w:cstheme="majorBidi"/>
        </w:rPr>
        <w:t>).</w:t>
      </w:r>
      <w:r>
        <w:rPr>
          <w:rStyle w:val="17"/>
          <w:rFonts w:eastAsia="SimSun" w:asciiTheme="majorBidi" w:hAnsiTheme="majorBidi" w:cstheme="majorBidi"/>
          <w:lang w:val="en-US"/>
        </w:rPr>
        <w:footnoteReference w:id="95"/>
      </w:r>
    </w:p>
    <w:p>
      <w:pPr>
        <w:spacing w:after="0" w:line="312" w:lineRule="auto"/>
        <w:ind w:left="880" w:leftChars="400" w:right="-103" w:rightChars="-47" w:firstLine="440" w:firstLineChars="200"/>
        <w:contextualSpacing/>
        <w:jc w:val="both"/>
        <w:rPr>
          <w:rFonts w:eastAsia="SimSun" w:asciiTheme="majorBidi" w:hAnsiTheme="majorBidi" w:cstheme="majorBidi"/>
          <w:lang w:val="en-US"/>
        </w:rPr>
      </w:pPr>
      <w:r>
        <w:rPr>
          <w:rFonts w:eastAsia="SimSun" w:asciiTheme="majorBidi" w:hAnsiTheme="majorBidi" w:cstheme="majorBidi"/>
        </w:rPr>
        <w:t xml:space="preserve">Ayat-Ayat ini menunjukkan bahwa dalam Islam, meskipun pembunuhan adalah dosa besar, masih ada kesempatan untuk pengampunan baik melalui taubat yang tulus kepada Allah maupun dengan memberi maaf oleh keluarga korban. Pengampunan ini membuka jalan untuk mendapat rahmat </w:t>
      </w:r>
      <w:r>
        <w:rPr>
          <w:rFonts w:eastAsia="SimSun" w:asciiTheme="majorBidi" w:hAnsiTheme="majorBidi" w:cstheme="majorBidi"/>
          <w:lang w:val="en-US"/>
        </w:rPr>
        <w:t>Allah</w:t>
      </w:r>
      <w:r>
        <w:rPr>
          <w:rFonts w:eastAsia="SimSun" w:asciiTheme="majorBidi" w:hAnsiTheme="majorBidi" w:cstheme="majorBidi"/>
        </w:rPr>
        <w:t>, asalkan pelaku benar-benar menyesal dan berusaha memperbaiki dirinya.</w:t>
      </w:r>
      <w:r>
        <w:rPr>
          <w:rFonts w:eastAsia="SimSun" w:asciiTheme="majorBidi" w:hAnsiTheme="majorBidi" w:cstheme="majorBidi"/>
          <w:lang w:val="en-US"/>
        </w:rPr>
        <w:t xml:space="preserve"> </w:t>
      </w:r>
    </w:p>
    <w:p>
      <w:pPr>
        <w:spacing w:after="0" w:line="312" w:lineRule="auto"/>
        <w:ind w:left="865" w:leftChars="393" w:right="-103" w:rightChars="-47" w:firstLine="561" w:firstLineChars="255"/>
        <w:contextualSpacing/>
        <w:jc w:val="both"/>
        <w:rPr>
          <w:rFonts w:eastAsia="SimSun" w:asciiTheme="majorBidi" w:hAnsiTheme="majorBidi" w:cstheme="majorBidi"/>
        </w:rPr>
      </w:pPr>
      <w:r>
        <w:rPr>
          <w:rFonts w:eastAsia="SimSun" w:asciiTheme="majorBidi" w:hAnsiTheme="majorBidi" w:cstheme="majorBidi"/>
        </w:rPr>
        <w:t>Di dalam Hadis juga dijelaskan mengenai maaf yang diberikan kepada pelaku pembunuhan, diantaranya yaitu: “</w:t>
      </w:r>
      <w:r>
        <w:rPr>
          <w:rStyle w:val="16"/>
          <w:rFonts w:eastAsia="SimSun" w:asciiTheme="majorBidi" w:hAnsiTheme="majorBidi" w:cstheme="majorBidi"/>
        </w:rPr>
        <w:t xml:space="preserve">Barang siapa yang dibunuh karena pembunuhan, maka hak warisnya adalah keluarga yang dibunuh, dan mereka bisa memilih antara membalas atau memberi maaf. Maka barang siapa yang memaafkan, maka ia memperoleh pahala dari </w:t>
      </w:r>
      <w:r>
        <w:rPr>
          <w:rStyle w:val="16"/>
          <w:rFonts w:eastAsia="SimSun" w:asciiTheme="majorBidi" w:hAnsiTheme="majorBidi" w:cstheme="majorBidi"/>
          <w:lang w:val="en-US"/>
        </w:rPr>
        <w:t>Allah</w:t>
      </w:r>
      <w:r>
        <w:rPr>
          <w:rStyle w:val="16"/>
          <w:rFonts w:eastAsia="SimSun" w:asciiTheme="majorBidi" w:hAnsiTheme="majorBidi" w:cstheme="majorBidi"/>
        </w:rPr>
        <w:t>."</w:t>
      </w:r>
      <w:r>
        <w:rPr>
          <w:rFonts w:eastAsia="SimSun" w:asciiTheme="majorBidi" w:hAnsiTheme="majorBidi" w:cstheme="majorBidi"/>
        </w:rPr>
        <w:t xml:space="preserve"> (HR. Bukhari)</w:t>
      </w:r>
      <w:r>
        <w:rPr>
          <w:rFonts w:eastAsia="SimSun" w:asciiTheme="majorBidi" w:hAnsiTheme="majorBidi" w:cstheme="majorBidi"/>
          <w:lang w:val="en-US"/>
        </w:rPr>
        <w:t xml:space="preserve"> </w:t>
      </w:r>
    </w:p>
    <w:p>
      <w:pPr>
        <w:spacing w:after="0" w:line="312" w:lineRule="auto"/>
        <w:ind w:left="865" w:leftChars="393" w:right="-103" w:rightChars="-47" w:firstLine="561" w:firstLineChars="255"/>
        <w:contextualSpacing/>
        <w:jc w:val="both"/>
        <w:rPr>
          <w:rFonts w:eastAsia="SimSun" w:asciiTheme="majorBidi" w:hAnsiTheme="majorBidi" w:cstheme="majorBidi"/>
        </w:rPr>
      </w:pPr>
      <w:r>
        <w:rPr>
          <w:rFonts w:eastAsia="SimSun" w:asciiTheme="majorBidi" w:hAnsiTheme="majorBidi" w:cstheme="majorBidi"/>
        </w:rPr>
        <w:t xml:space="preserve">Hadis </w:t>
      </w:r>
      <w:r>
        <w:rPr>
          <w:rFonts w:eastAsia="SimSun" w:asciiTheme="majorBidi" w:hAnsiTheme="majorBidi" w:cstheme="majorBidi"/>
          <w:lang w:val="en-US"/>
        </w:rPr>
        <w:t>tersebut</w:t>
      </w:r>
      <w:r>
        <w:rPr>
          <w:rFonts w:eastAsia="SimSun" w:asciiTheme="majorBidi" w:hAnsiTheme="majorBidi" w:cstheme="majorBidi"/>
        </w:rPr>
        <w:t xml:space="preserve"> menunjukkan bahwa keluarga korban pembunuhan memiliki hak untuk memilih antara menuntut balas atau memberikan pengampunan kepada pembunuh. Dalam hal pengampunan, </w:t>
      </w:r>
      <w:r>
        <w:rPr>
          <w:rFonts w:eastAsia="SimSun" w:asciiTheme="majorBidi" w:hAnsiTheme="majorBidi" w:cstheme="majorBidi"/>
          <w:lang w:val="en-US"/>
        </w:rPr>
        <w:t>Allah</w:t>
      </w:r>
      <w:r>
        <w:rPr>
          <w:rFonts w:eastAsia="SimSun" w:asciiTheme="majorBidi" w:hAnsiTheme="majorBidi" w:cstheme="majorBidi"/>
        </w:rPr>
        <w:t xml:space="preserve"> menjanjikan pahala besar bagi mereka yang memaafkan.</w:t>
      </w:r>
    </w:p>
    <w:p>
      <w:pPr>
        <w:numPr>
          <w:ilvl w:val="0"/>
          <w:numId w:val="52"/>
        </w:numPr>
        <w:spacing w:after="0" w:line="312" w:lineRule="auto"/>
        <w:ind w:left="807" w:leftChars="200" w:right="-103" w:rightChars="-47" w:hanging="367" w:hangingChars="167"/>
        <w:contextualSpacing/>
        <w:jc w:val="both"/>
        <w:rPr>
          <w:rFonts w:eastAsia="SimSun" w:asciiTheme="majorBidi" w:hAnsiTheme="majorBidi" w:cstheme="majorBidi"/>
        </w:rPr>
      </w:pPr>
      <w:r>
        <w:rPr>
          <w:rFonts w:asciiTheme="majorBidi" w:hAnsiTheme="majorBidi" w:cstheme="majorBidi"/>
          <w:lang w:val="en-US"/>
        </w:rPr>
        <w:t>Maaf Dalam Konteks Hadis</w:t>
      </w:r>
    </w:p>
    <w:p>
      <w:pPr>
        <w:spacing w:after="0" w:line="312" w:lineRule="auto"/>
        <w:ind w:left="865" w:leftChars="393" w:right="-103" w:rightChars="-47" w:firstLine="561" w:firstLineChars="255"/>
        <w:contextualSpacing/>
        <w:jc w:val="both"/>
        <w:rPr>
          <w:rFonts w:eastAsia="SimSun" w:asciiTheme="majorBidi" w:hAnsiTheme="majorBidi" w:cstheme="majorBidi"/>
          <w:lang w:val="en-US"/>
        </w:rPr>
      </w:pPr>
      <w:r>
        <w:rPr>
          <w:rFonts w:eastAsia="SimSun" w:asciiTheme="majorBidi" w:hAnsiTheme="majorBidi" w:cstheme="majorBidi"/>
          <w:lang w:val="en-US"/>
        </w:rPr>
        <w:t>Ada bebeapa sabda Nabi mengenai pengampunan dalam kasus pembunuhan di antaranya, yaitu:</w:t>
      </w:r>
    </w:p>
    <w:p>
      <w:pPr>
        <w:numPr>
          <w:ilvl w:val="0"/>
          <w:numId w:val="55"/>
        </w:numPr>
        <w:tabs>
          <w:tab w:val="left" w:pos="1200"/>
          <w:tab w:val="clear" w:pos="425"/>
        </w:tabs>
        <w:spacing w:after="0" w:line="312" w:lineRule="auto"/>
        <w:ind w:left="1185" w:right="-103" w:rightChars="-47" w:hanging="385"/>
        <w:contextualSpacing/>
        <w:jc w:val="both"/>
        <w:rPr>
          <w:rFonts w:ascii="Times New Roman" w:hAnsi="Times New Roman" w:eastAsia="SimSun" w:cs="Times New Roman"/>
          <w:lang w:val="en-US"/>
        </w:rPr>
      </w:pPr>
      <w:r>
        <w:rPr>
          <w:rFonts w:eastAsia="SimSun" w:asciiTheme="majorBidi" w:hAnsiTheme="majorBidi" w:cstheme="majorBidi"/>
          <w:lang w:val="en-US"/>
        </w:rPr>
        <w:t>Hadis Riwayat Muslim</w:t>
      </w:r>
    </w:p>
    <w:p>
      <w:pPr>
        <w:tabs>
          <w:tab w:val="left" w:pos="1200"/>
        </w:tabs>
        <w:spacing w:after="0" w:line="240" w:lineRule="auto"/>
        <w:ind w:left="800" w:right="-103" w:rightChars="-47"/>
        <w:contextualSpacing/>
        <w:jc w:val="both"/>
        <w:rPr>
          <w:rFonts w:ascii="Times New Roman" w:hAnsi="Times New Roman" w:eastAsia="SimSun" w:cs="Times New Roman"/>
          <w:lang w:val="en-US"/>
        </w:rPr>
      </w:pPr>
    </w:p>
    <w:p>
      <w:pPr>
        <w:pStyle w:val="11"/>
        <w:shd w:val="clear" w:color="auto" w:fill="FFFFFF"/>
        <w:tabs>
          <w:tab w:val="left" w:pos="800"/>
        </w:tabs>
        <w:bidi/>
        <w:spacing w:beforeAutospacing="0" w:after="240" w:afterAutospacing="0" w:line="240" w:lineRule="auto"/>
        <w:ind w:left="-29" w:leftChars="-13" w:right="1276" w:firstLine="1"/>
        <w:jc w:val="both"/>
        <w:rPr>
          <w:rFonts w:ascii="Traditional Arabic" w:hAnsi="Traditional Arabic" w:eastAsia="Arial" w:cs="Traditional Arabic"/>
          <w:color w:val="000000"/>
          <w:sz w:val="32"/>
          <w:szCs w:val="32"/>
        </w:rPr>
      </w:pPr>
      <w:r>
        <w:rPr>
          <w:rFonts w:eastAsia="Arial"/>
          <w:color w:val="000000"/>
          <w:sz w:val="22"/>
          <w:szCs w:val="22"/>
          <w:shd w:val="clear" w:color="auto" w:fill="FFFFFF"/>
        </w:rPr>
        <w:t>عَ</w:t>
      </w:r>
      <w:r>
        <w:rPr>
          <w:rFonts w:ascii="Traditional Arabic" w:hAnsi="Traditional Arabic" w:eastAsia="Arial" w:cs="Traditional Arabic"/>
          <w:color w:val="000000"/>
          <w:sz w:val="32"/>
          <w:szCs w:val="32"/>
          <w:shd w:val="clear" w:color="auto" w:fill="FFFFFF"/>
        </w:rPr>
        <w:t>نْ أَبِي هُرَيْرَةَ رضي الله عنه، عن رَسُولَ اللَّهِ صلّى الله عليه وسلّم قَالَ : مَا نَقَصَتْ صَدَقَةٌ مِنْ مَالٍ، وَمَا زادَ اللهُ عَبْداً بعَفْوٍ إِلاَّ عِزّاً، وَمَا تَوَاضَعَ أحَدٌ للهِ إِلاَّ رَفَعَهُ اللهُ. رواه مسلم وغيره</w:t>
      </w:r>
    </w:p>
    <w:p>
      <w:pPr>
        <w:pStyle w:val="11"/>
        <w:shd w:val="clear" w:color="auto" w:fill="FFFFFF"/>
        <w:spacing w:beforeAutospacing="0" w:afterAutospacing="0" w:line="240" w:lineRule="auto"/>
        <w:ind w:left="1701" w:leftChars="773"/>
        <w:contextualSpacing/>
        <w:jc w:val="both"/>
        <w:rPr>
          <w:rFonts w:eastAsia="Arial" w:asciiTheme="majorBidi" w:hAnsiTheme="majorBidi" w:cstheme="majorBidi"/>
          <w:sz w:val="22"/>
          <w:szCs w:val="22"/>
          <w:shd w:val="clear" w:color="auto" w:fill="FFFFFF"/>
          <w:lang w:val="id-ID"/>
        </w:rPr>
      </w:pPr>
      <w:r>
        <w:rPr>
          <w:rFonts w:eastAsia="Arial" w:asciiTheme="majorBidi" w:hAnsiTheme="majorBidi" w:cstheme="majorBidi"/>
          <w:i/>
          <w:iCs/>
          <w:sz w:val="22"/>
          <w:szCs w:val="22"/>
          <w:shd w:val="clear" w:color="auto" w:fill="FFFFFF"/>
          <w:lang w:val="id-ID"/>
        </w:rPr>
        <w:t xml:space="preserve">“Dari Abu Hurairah RA, bahwa Rasulullah SAW bersabda, "Tidaklah sedekah itu mengurangi harta, dan tidaklah </w:t>
      </w:r>
      <w:r>
        <w:rPr>
          <w:rFonts w:eastAsia="Arial" w:asciiTheme="majorBidi" w:hAnsiTheme="majorBidi" w:cstheme="majorBidi"/>
          <w:i/>
          <w:iCs/>
          <w:sz w:val="22"/>
          <w:szCs w:val="22"/>
          <w:shd w:val="clear" w:color="auto" w:fill="FFFFFF"/>
        </w:rPr>
        <w:t>Allah</w:t>
      </w:r>
      <w:r>
        <w:rPr>
          <w:rFonts w:eastAsia="Arial" w:asciiTheme="majorBidi" w:hAnsiTheme="majorBidi" w:cstheme="majorBidi"/>
          <w:i/>
          <w:iCs/>
          <w:sz w:val="22"/>
          <w:szCs w:val="22"/>
          <w:shd w:val="clear" w:color="auto" w:fill="FFFFFF"/>
          <w:lang w:val="id-ID"/>
        </w:rPr>
        <w:t xml:space="preserve"> menambah bagi seorang hamba dengan pemberian maafnya (kepada saudaranya,) kecuali ke</w:t>
      </w:r>
      <w:r>
        <w:rPr>
          <w:rFonts w:eastAsia="Arial" w:asciiTheme="majorBidi" w:hAnsiTheme="majorBidi" w:cstheme="majorBidi"/>
          <w:i/>
          <w:iCs/>
          <w:sz w:val="22"/>
          <w:szCs w:val="22"/>
          <w:shd w:val="clear" w:color="auto" w:fill="FFFFFF"/>
        </w:rPr>
        <w:t>mulia</w:t>
      </w:r>
      <w:r>
        <w:rPr>
          <w:rFonts w:eastAsia="Arial" w:asciiTheme="majorBidi" w:hAnsiTheme="majorBidi" w:cstheme="majorBidi"/>
          <w:i/>
          <w:iCs/>
          <w:sz w:val="22"/>
          <w:szCs w:val="22"/>
          <w:shd w:val="clear" w:color="auto" w:fill="FFFFFF"/>
          <w:lang w:val="id-ID"/>
        </w:rPr>
        <w:t xml:space="preserve">an (di dunia dan akhirat), serta tidaklah seseorang merendahkan diri karena </w:t>
      </w:r>
      <w:r>
        <w:rPr>
          <w:rFonts w:eastAsia="Arial" w:asciiTheme="majorBidi" w:hAnsiTheme="majorBidi" w:cstheme="majorBidi"/>
          <w:i/>
          <w:iCs/>
          <w:sz w:val="22"/>
          <w:szCs w:val="22"/>
          <w:shd w:val="clear" w:color="auto" w:fill="FFFFFF"/>
        </w:rPr>
        <w:t>Allah</w:t>
      </w:r>
      <w:r>
        <w:rPr>
          <w:rFonts w:eastAsia="Arial" w:asciiTheme="majorBidi" w:hAnsiTheme="majorBidi" w:cstheme="majorBidi"/>
          <w:i/>
          <w:iCs/>
          <w:sz w:val="22"/>
          <w:szCs w:val="22"/>
          <w:shd w:val="clear" w:color="auto" w:fill="FFFFFF"/>
          <w:lang w:val="id-ID"/>
        </w:rPr>
        <w:t xml:space="preserve"> kecuali Dia akan meninggikan (derajat)nya (di dunia dan akhirat)."  </w:t>
      </w:r>
      <w:r>
        <w:rPr>
          <w:rFonts w:eastAsia="Arial" w:asciiTheme="majorBidi" w:hAnsiTheme="majorBidi" w:cstheme="majorBidi"/>
          <w:sz w:val="22"/>
          <w:szCs w:val="22"/>
          <w:shd w:val="clear" w:color="auto" w:fill="FFFFFF"/>
          <w:lang w:val="id-ID"/>
        </w:rPr>
        <w:t>(HR Muslim)</w:t>
      </w:r>
    </w:p>
    <w:p>
      <w:pPr>
        <w:pStyle w:val="11"/>
        <w:shd w:val="clear" w:color="auto" w:fill="FFFFFF"/>
        <w:spacing w:beforeAutospacing="0" w:afterAutospacing="0" w:line="240" w:lineRule="auto"/>
        <w:ind w:left="1701" w:leftChars="773"/>
        <w:contextualSpacing/>
        <w:jc w:val="both"/>
        <w:rPr>
          <w:rFonts w:eastAsia="Arial" w:asciiTheme="majorBidi" w:hAnsiTheme="majorBidi" w:cstheme="majorBidi"/>
          <w:sz w:val="22"/>
          <w:szCs w:val="22"/>
          <w:shd w:val="clear" w:color="auto" w:fill="FFFFFF"/>
          <w:lang w:val="id-ID"/>
        </w:rPr>
      </w:pPr>
    </w:p>
    <w:p>
      <w:pPr>
        <w:pStyle w:val="11"/>
        <w:shd w:val="clear" w:color="auto" w:fill="FFFFFF"/>
        <w:spacing w:beforeAutospacing="0" w:afterAutospacing="0" w:line="312" w:lineRule="auto"/>
        <w:ind w:left="1318" w:leftChars="599" w:firstLine="400" w:firstLineChars="182"/>
        <w:contextualSpacing/>
        <w:jc w:val="both"/>
        <w:rPr>
          <w:rFonts w:eastAsia="Arial" w:asciiTheme="majorBidi" w:hAnsiTheme="majorBidi" w:cstheme="majorBidi"/>
          <w:sz w:val="22"/>
          <w:szCs w:val="22"/>
          <w:shd w:val="clear" w:color="auto" w:fill="FFFFFF"/>
          <w:lang w:val="id-ID"/>
        </w:rPr>
      </w:pPr>
      <w:r>
        <w:rPr>
          <w:rFonts w:eastAsia="Arial" w:asciiTheme="majorBidi" w:hAnsiTheme="majorBidi" w:cstheme="majorBidi"/>
          <w:sz w:val="22"/>
          <w:szCs w:val="22"/>
          <w:shd w:val="clear" w:color="auto" w:fill="FFFFFF"/>
          <w:lang w:val="id-ID"/>
        </w:rPr>
        <w:t>Dalam Hadis tersebut dijelaskan bahwa sedekah tidak akan mengurangi harta, begitu juga Allah tidak akan menambah bagi seseorang yang memberikan maaf kepada saudaranya kecuali Allah akan menambah kemuliaan di dunia dan akhirat.</w:t>
      </w:r>
    </w:p>
    <w:p>
      <w:pPr>
        <w:pStyle w:val="11"/>
        <w:shd w:val="clear" w:color="auto" w:fill="FFFFFF"/>
        <w:spacing w:beforeAutospacing="0" w:afterAutospacing="0" w:line="312" w:lineRule="auto"/>
        <w:ind w:left="1318" w:leftChars="599" w:firstLine="400" w:firstLineChars="182"/>
        <w:contextualSpacing/>
        <w:jc w:val="both"/>
        <w:rPr>
          <w:rFonts w:eastAsia="Arial" w:asciiTheme="majorBidi" w:hAnsiTheme="majorBidi" w:cstheme="majorBidi"/>
          <w:sz w:val="22"/>
          <w:szCs w:val="22"/>
          <w:shd w:val="clear" w:color="auto" w:fill="FFFFFF"/>
        </w:rPr>
      </w:pPr>
      <w:r>
        <w:rPr>
          <w:rFonts w:eastAsia="Arial" w:asciiTheme="majorBidi" w:hAnsiTheme="majorBidi" w:cstheme="majorBidi"/>
          <w:sz w:val="22"/>
          <w:szCs w:val="22"/>
          <w:shd w:val="clear" w:color="auto" w:fill="FFFFFF"/>
        </w:rPr>
        <w:t>Bahkan dijelaskan dalam Al Qur’an Surat Al Hujurat bahwa sesungguhnya orang yang paling mulia adalah orang yang paling bertakwa di sisi Allah. Sudah tergambar jelas orang mulia di sisi Qllah adalah orang yang takut dan patuh dengan menjalankan perintah Allah dan enjauhi segala larangannya.</w:t>
      </w:r>
    </w:p>
    <w:p>
      <w:pPr>
        <w:numPr>
          <w:ilvl w:val="0"/>
          <w:numId w:val="55"/>
        </w:numPr>
        <w:tabs>
          <w:tab w:val="left" w:pos="1200"/>
          <w:tab w:val="clear" w:pos="425"/>
        </w:tabs>
        <w:spacing w:after="0" w:line="312" w:lineRule="auto"/>
        <w:ind w:left="1185" w:right="-103" w:rightChars="-47" w:hanging="385"/>
        <w:contextualSpacing/>
        <w:jc w:val="both"/>
        <w:rPr>
          <w:rFonts w:eastAsia="SimSun" w:asciiTheme="majorBidi" w:hAnsiTheme="majorBidi" w:cstheme="majorBidi"/>
        </w:rPr>
      </w:pPr>
      <w:r>
        <w:rPr>
          <w:rFonts w:eastAsia="SimSun" w:asciiTheme="majorBidi" w:hAnsiTheme="majorBidi" w:cstheme="majorBidi"/>
          <w:lang w:val="en-US"/>
        </w:rPr>
        <w:t>Hadis Riwayat Bukhari dan Ad Dailami</w:t>
      </w:r>
    </w:p>
    <w:p>
      <w:pPr>
        <w:numPr>
          <w:ilvl w:val="0"/>
          <w:numId w:val="0"/>
        </w:numPr>
        <w:tabs>
          <w:tab w:val="left" w:pos="1200"/>
        </w:tabs>
        <w:spacing w:after="0" w:line="312" w:lineRule="auto"/>
        <w:ind w:left="800" w:leftChars="0" w:right="-103" w:rightChars="-47"/>
        <w:contextualSpacing/>
        <w:jc w:val="both"/>
        <w:rPr>
          <w:rFonts w:eastAsia="SimSun" w:asciiTheme="majorBidi" w:hAnsiTheme="majorBidi" w:cstheme="majorBidi"/>
        </w:rPr>
      </w:pPr>
    </w:p>
    <w:p>
      <w:pPr>
        <w:pStyle w:val="11"/>
        <w:shd w:val="clear" w:color="auto" w:fill="FFFFFF"/>
        <w:bidi/>
        <w:spacing w:beforeAutospacing="0" w:afterAutospacing="0" w:line="240" w:lineRule="auto"/>
        <w:ind w:left="-31" w:leftChars="-14" w:right="1276"/>
        <w:contextualSpacing/>
        <w:jc w:val="both"/>
        <w:rPr>
          <w:rFonts w:ascii="Traditional Arabic" w:hAnsi="Traditional Arabic" w:eastAsia="Arial" w:cs="Traditional Arabic"/>
          <w:i/>
          <w:iCs/>
          <w:color w:val="000000"/>
          <w:sz w:val="32"/>
          <w:szCs w:val="32"/>
          <w:shd w:val="clear" w:color="auto" w:fill="FFFFFF"/>
        </w:rPr>
      </w:pPr>
      <w:r>
        <w:rPr>
          <w:rFonts w:ascii="Traditional Arabic" w:hAnsi="Traditional Arabic" w:eastAsia="Arial" w:cs="Traditional Arabic"/>
          <w:color w:val="000000"/>
          <w:sz w:val="32"/>
          <w:szCs w:val="32"/>
          <w:shd w:val="clear" w:color="auto" w:fill="FFFFFF"/>
        </w:rPr>
        <w:t xml:space="preserve">قال رسول الله صلى الله عليه وسلم : ) أفضل الإيمان الصبر و السماحة( </w:t>
      </w:r>
    </w:p>
    <w:p>
      <w:pPr>
        <w:pStyle w:val="11"/>
        <w:shd w:val="clear" w:color="auto" w:fill="FFFFFF"/>
        <w:spacing w:beforeAutospacing="0" w:afterAutospacing="0" w:line="240" w:lineRule="auto"/>
        <w:ind w:left="1701" w:leftChars="773"/>
        <w:contextualSpacing/>
        <w:jc w:val="both"/>
        <w:rPr>
          <w:rFonts w:eastAsia="Arial" w:asciiTheme="majorBidi" w:hAnsiTheme="majorBidi" w:cstheme="majorBidi"/>
          <w:i/>
          <w:iCs/>
          <w:sz w:val="22"/>
          <w:szCs w:val="22"/>
          <w:shd w:val="clear" w:color="auto" w:fill="FFFFFF"/>
        </w:rPr>
      </w:pPr>
      <w:r>
        <w:rPr>
          <w:rFonts w:eastAsia="Arial" w:asciiTheme="majorBidi" w:hAnsiTheme="majorBidi" w:cstheme="majorBidi"/>
          <w:i/>
          <w:iCs/>
          <w:sz w:val="22"/>
          <w:szCs w:val="22"/>
          <w:shd w:val="clear" w:color="auto" w:fill="FFFFFF"/>
        </w:rPr>
        <w:t xml:space="preserve"> “Rasulullah SAW bersabda, "Iman yang paling utama adalah sabar dan pemaaf atau lapang dada," </w:t>
      </w:r>
      <w:r>
        <w:rPr>
          <w:rFonts w:eastAsia="Arial" w:asciiTheme="majorBidi" w:hAnsiTheme="majorBidi" w:cstheme="majorBidi"/>
          <w:sz w:val="22"/>
          <w:szCs w:val="22"/>
          <w:shd w:val="clear" w:color="auto" w:fill="FFFFFF"/>
        </w:rPr>
        <w:t>(HR Bukhari dan Ad Dailami)</w:t>
      </w:r>
      <w:r>
        <w:rPr>
          <w:rStyle w:val="17"/>
          <w:rFonts w:eastAsia="Arial" w:asciiTheme="majorBidi" w:hAnsiTheme="majorBidi" w:cstheme="majorBidi"/>
          <w:sz w:val="22"/>
          <w:szCs w:val="22"/>
          <w:shd w:val="clear" w:color="auto" w:fill="FFFFFF"/>
        </w:rPr>
        <w:footnoteReference w:id="96"/>
      </w:r>
    </w:p>
    <w:p>
      <w:pPr>
        <w:pStyle w:val="11"/>
        <w:shd w:val="clear" w:color="auto" w:fill="FFFFFF"/>
        <w:spacing w:beforeAutospacing="0" w:afterAutospacing="0" w:line="312" w:lineRule="auto"/>
        <w:ind w:left="1318" w:leftChars="599" w:firstLine="400" w:firstLineChars="182"/>
        <w:contextualSpacing/>
        <w:jc w:val="both"/>
        <w:rPr>
          <w:rFonts w:eastAsia="Arial" w:asciiTheme="majorBidi" w:hAnsiTheme="majorBidi" w:cstheme="majorBidi"/>
          <w:i/>
          <w:iCs/>
          <w:sz w:val="22"/>
          <w:szCs w:val="22"/>
          <w:shd w:val="clear" w:color="auto" w:fill="FFFFFF"/>
        </w:rPr>
      </w:pPr>
    </w:p>
    <w:p>
      <w:pPr>
        <w:pStyle w:val="11"/>
        <w:shd w:val="clear" w:color="auto" w:fill="FFFFFF"/>
        <w:spacing w:beforeAutospacing="0" w:afterAutospacing="0" w:line="312" w:lineRule="auto"/>
        <w:ind w:left="1318" w:leftChars="599" w:firstLine="400" w:firstLineChars="182"/>
        <w:contextualSpacing/>
        <w:jc w:val="both"/>
        <w:rPr>
          <w:rFonts w:eastAsia="Arial" w:asciiTheme="majorBidi" w:hAnsiTheme="majorBidi" w:cstheme="majorBidi"/>
          <w:sz w:val="22"/>
          <w:szCs w:val="22"/>
          <w:shd w:val="clear" w:color="auto" w:fill="FFFFFF"/>
        </w:rPr>
      </w:pPr>
      <w:r>
        <w:rPr>
          <w:rFonts w:eastAsia="Arial" w:asciiTheme="majorBidi" w:hAnsiTheme="majorBidi" w:cstheme="majorBidi"/>
          <w:sz w:val="22"/>
          <w:szCs w:val="22"/>
          <w:shd w:val="clear" w:color="auto" w:fill="FFFFFF"/>
        </w:rPr>
        <w:t>Dalam Hadis tersebut dijelaskan bahwa sabar dan pemaaf adalam iman yang paling utama. Dalam Islam sudah sangat dianjurkan memberikan maaf bahkan maaf merupakan iman yang paling utama.</w:t>
      </w:r>
    </w:p>
    <w:p>
      <w:pPr>
        <w:pStyle w:val="11"/>
        <w:shd w:val="clear" w:color="auto" w:fill="FFFFFF"/>
        <w:spacing w:beforeAutospacing="0" w:afterAutospacing="0" w:line="312" w:lineRule="auto"/>
        <w:ind w:left="1318" w:leftChars="599" w:firstLine="400" w:firstLineChars="182"/>
        <w:contextualSpacing/>
        <w:jc w:val="both"/>
        <w:rPr>
          <w:rFonts w:asciiTheme="majorBidi" w:hAnsiTheme="majorBidi" w:cstheme="majorBidi"/>
          <w:sz w:val="22"/>
          <w:szCs w:val="22"/>
        </w:rPr>
      </w:pPr>
    </w:p>
    <w:p>
      <w:pPr>
        <w:numPr>
          <w:ilvl w:val="0"/>
          <w:numId w:val="55"/>
        </w:numPr>
        <w:spacing w:after="0" w:line="312" w:lineRule="auto"/>
        <w:ind w:left="1185" w:right="-103" w:rightChars="-47" w:hanging="385"/>
        <w:contextualSpacing/>
        <w:jc w:val="both"/>
        <w:rPr>
          <w:rFonts w:eastAsia="SimSun" w:asciiTheme="majorBidi" w:hAnsiTheme="majorBidi" w:cstheme="majorBidi"/>
        </w:rPr>
      </w:pPr>
      <w:r>
        <w:rPr>
          <w:rFonts w:eastAsia="SimSun" w:asciiTheme="majorBidi" w:hAnsiTheme="majorBidi" w:cstheme="majorBidi"/>
          <w:lang w:val="en-US"/>
        </w:rPr>
        <w:t>Hadis Riwayat Tirmidzi</w:t>
      </w:r>
    </w:p>
    <w:p>
      <w:pPr>
        <w:bidi/>
        <w:spacing w:after="0" w:line="240" w:lineRule="auto"/>
        <w:ind w:left="-30" w:leftChars="-14" w:right="1276" w:rightChars="580" w:hanging="1"/>
        <w:contextualSpacing/>
        <w:jc w:val="both"/>
        <w:rPr>
          <w:rFonts w:ascii="Traditional Arabic" w:hAnsi="Traditional Arabic" w:eastAsia="SimSun" w:cs="Traditional Arabic"/>
          <w:sz w:val="32"/>
          <w:szCs w:val="32"/>
          <w:lang w:val="en-US"/>
        </w:rPr>
      </w:pPr>
      <w:r>
        <w:rPr>
          <w:rFonts w:ascii="Traditional Arabic" w:hAnsi="Traditional Arabic" w:eastAsia="SimSun" w:cs="Traditional Arabic"/>
          <w:sz w:val="32"/>
          <w:szCs w:val="32"/>
          <w:lang w:val="en-US"/>
        </w:rPr>
        <w:t>حَدَّثَنَا عَبْدُ الرَّحْمَنِ بْنُ الْأَسْوَدِ أَبُو عَمْرٍو الْبَصْرِيُّ حَدَّثَنَا مُحَمَّدُ بْنُ رَبِيعَةَ حَدَّثَنَا يَزِيدُ بْنُ زِيَادٍ الدِّمَشْقِيُّ عَنْ الزُّهْرِيِّ عَنْ عُرْوَةَ عَنْ عَائِشَةَ قَالَتْ قَالَ رَسُولُ اللَّهِ صَلَّى اللَّهُ عَلَيْهِ وَسَلَّمَ ادْرَءُوا الْحُدُودَ عَنْ الْمُسْلِمِينَ مَا اسْتَطَعْتُمْ فَإِنْ كَانَ لَهُ مَخْرَجٌ فَخَلُّوا سَبِيلَهُ فَإِنَّ الْإِمَامَ أَنْ يُخْطِئَ فِي الْعَفْوِ خَيْرٌ مِنْ أَنْ يُخْطِئَ فِي الْعُقُوبَةِ حَدَّثَنَا هَنَّادٌ حَدَّثَنَا وَكِيعٌ عَنْ يَزِيدَ بْنِ زِيَادٍ نَحْوَ حَدِيثِ مُحَمَّدِ بْنِ رَبِيعَةَ وَلَمْ يَرْفَعْهُ</w:t>
      </w:r>
    </w:p>
    <w:p>
      <w:pPr>
        <w:spacing w:after="0" w:line="240" w:lineRule="auto"/>
        <w:ind w:left="1701" w:leftChars="773" w:right="-103" w:rightChars="-47"/>
        <w:contextualSpacing/>
        <w:jc w:val="both"/>
        <w:rPr>
          <w:rFonts w:eastAsia="SimSun" w:asciiTheme="majorBidi" w:hAnsiTheme="majorBidi" w:cstheme="majorBidi"/>
          <w:lang w:val="en-US"/>
        </w:rPr>
      </w:pPr>
      <w:r>
        <w:rPr>
          <w:rFonts w:eastAsia="SimSun" w:asciiTheme="majorBidi" w:hAnsiTheme="majorBidi" w:cstheme="majorBidi"/>
          <w:i/>
          <w:iCs/>
        </w:rPr>
        <w:t xml:space="preserve">“Telah menceritakan kepada kami Abdurrahman bin Al Aswad Abu Amr Al Bashri, telah menceritakan kepada kami Muhammad bin Rabi'ah, telah menceritakan kepada kami Yazid bin Ziyad Ad Dimasyqi dari Az Zuhri dari 'Urwah dari A`isyah ia berkata; Rasulullah shallAllahu 'alaihi wasallam bersabda: "Hindarilah hukuman had dari kaum Muslimin semampu kalian, jika ia mempunyai jalan keluar maka lepaskanlah ia. </w:t>
      </w:r>
      <w:r>
        <w:rPr>
          <w:rFonts w:eastAsia="SimSun" w:asciiTheme="majorBidi" w:hAnsiTheme="majorBidi" w:cstheme="majorBidi"/>
          <w:i/>
          <w:iCs/>
          <w:lang w:val="en-US"/>
        </w:rPr>
        <w:t xml:space="preserve">Karena sesungguhnya seorang imam salah dalam memaafkan lebih baik daripada salah dalam menjatuhi hukuman." </w:t>
      </w:r>
      <w:r>
        <w:rPr>
          <w:rFonts w:eastAsia="SimSun" w:asciiTheme="majorBidi" w:hAnsiTheme="majorBidi" w:cstheme="majorBidi"/>
          <w:lang w:val="en-US"/>
        </w:rPr>
        <w:t>(HR riwayat Tirmidzi)</w:t>
      </w:r>
      <w:r>
        <w:rPr>
          <w:rStyle w:val="17"/>
          <w:rFonts w:eastAsia="SimSun" w:asciiTheme="majorBidi" w:hAnsiTheme="majorBidi" w:cstheme="majorBidi"/>
          <w:lang w:val="en-US"/>
        </w:rPr>
        <w:footnoteReference w:id="97"/>
      </w:r>
    </w:p>
    <w:p>
      <w:pPr>
        <w:spacing w:after="0" w:line="240" w:lineRule="auto"/>
        <w:ind w:left="1316" w:leftChars="598" w:right="-103" w:rightChars="-47" w:firstLine="402" w:firstLineChars="183"/>
        <w:contextualSpacing/>
        <w:jc w:val="both"/>
        <w:rPr>
          <w:rFonts w:eastAsia="SimSun" w:asciiTheme="majorBidi" w:hAnsiTheme="majorBidi" w:cstheme="majorBidi"/>
          <w:lang w:val="en-US"/>
        </w:rPr>
      </w:pPr>
    </w:p>
    <w:p>
      <w:pPr>
        <w:spacing w:after="0" w:line="312" w:lineRule="auto"/>
        <w:ind w:left="1316" w:leftChars="598" w:right="-103" w:rightChars="-47" w:firstLine="402" w:firstLineChars="183"/>
        <w:contextualSpacing/>
        <w:jc w:val="both"/>
        <w:rPr>
          <w:rFonts w:eastAsia="Arial" w:asciiTheme="majorBidi" w:hAnsiTheme="majorBidi" w:cstheme="majorBidi"/>
          <w:shd w:val="clear" w:color="auto" w:fill="FFFFFF"/>
        </w:rPr>
      </w:pPr>
      <w:r>
        <w:rPr>
          <w:rFonts w:eastAsia="SimSun" w:asciiTheme="majorBidi" w:hAnsiTheme="majorBidi" w:cstheme="majorBidi"/>
          <w:lang w:val="en-US"/>
        </w:rPr>
        <w:t xml:space="preserve">Dalam Hadis tersebut dijelaskan bahwa memberikan pengampunan lebih baik, karena sesungguhnya seorang imam (pemimpin) salah dalam memaafkan lebih baik, daripada salah dalam menjatuhi hukuman. </w:t>
      </w:r>
      <w:r>
        <w:rPr>
          <w:rFonts w:eastAsia="SimSun" w:asciiTheme="majorBidi" w:hAnsiTheme="majorBidi" w:cstheme="majorBidi"/>
        </w:rPr>
        <w:t xml:space="preserve">Ini menekankan bahwa meskipun hukuman pembunuhan bisa dijatuhkan sesuai dengan hukum Islam, tetapi memberikan maaf merupakan tindakan yang lebih baik dan </w:t>
      </w:r>
      <w:r>
        <w:rPr>
          <w:rFonts w:eastAsia="SimSun" w:asciiTheme="majorBidi" w:hAnsiTheme="majorBidi" w:cstheme="majorBidi"/>
          <w:lang w:val="en-US"/>
        </w:rPr>
        <w:t>mulia</w:t>
      </w:r>
      <w:r>
        <w:rPr>
          <w:rFonts w:eastAsia="SimSun" w:asciiTheme="majorBidi" w:hAnsiTheme="majorBidi" w:cstheme="majorBidi"/>
        </w:rPr>
        <w:t xml:space="preserve">, yang mendapatkan balasan pahala dari </w:t>
      </w:r>
      <w:r>
        <w:rPr>
          <w:rFonts w:eastAsia="SimSun" w:asciiTheme="majorBidi" w:hAnsiTheme="majorBidi" w:cstheme="majorBidi"/>
          <w:lang w:val="en-US"/>
        </w:rPr>
        <w:t>Allah</w:t>
      </w:r>
      <w:r>
        <w:rPr>
          <w:rFonts w:eastAsia="SimSun" w:asciiTheme="majorBidi" w:hAnsiTheme="majorBidi" w:cstheme="majorBidi"/>
        </w:rPr>
        <w:t>.</w:t>
      </w:r>
    </w:p>
    <w:p>
      <w:pPr>
        <w:spacing w:after="0" w:line="312" w:lineRule="auto"/>
        <w:ind w:left="891" w:leftChars="405" w:firstLine="539" w:firstLineChars="245"/>
        <w:contextualSpacing/>
        <w:jc w:val="both"/>
        <w:rPr>
          <w:rFonts w:eastAsia="Arial" w:asciiTheme="majorBidi" w:hAnsiTheme="majorBidi" w:cstheme="majorBidi"/>
          <w:shd w:val="clear" w:color="auto" w:fill="FFFFFF"/>
          <w:lang w:val="en-US"/>
        </w:rPr>
      </w:pPr>
      <w:r>
        <w:rPr>
          <w:rFonts w:eastAsia="Arial" w:asciiTheme="majorBidi" w:hAnsiTheme="majorBidi" w:cstheme="majorBidi"/>
          <w:shd w:val="clear" w:color="auto" w:fill="FFFFFF"/>
          <w:lang w:val="en-US"/>
        </w:rPr>
        <w:t>Pemaafan dalam konsep Islam sangat dominan dipengaruhi oleh faktor keberagamaan (religiusitas). Hal ini karena, bagi seorang Muslim, agama adalah inspirasi utama dan sumber ajaran kebaikan yang harus diartikulasikan dalam kehidupan nyata demi kemaslahatan dan kerahmatan alam semesta.</w:t>
      </w:r>
      <w:r>
        <w:rPr>
          <w:rStyle w:val="17"/>
          <w:rFonts w:eastAsia="Arial" w:asciiTheme="majorBidi" w:hAnsiTheme="majorBidi" w:cstheme="majorBidi"/>
          <w:shd w:val="clear" w:color="auto" w:fill="FFFFFF"/>
          <w:lang w:val="en-US"/>
        </w:rPr>
        <w:footnoteReference w:id="98"/>
      </w:r>
    </w:p>
    <w:p>
      <w:pPr>
        <w:spacing w:after="0" w:line="312" w:lineRule="auto"/>
        <w:ind w:left="891" w:leftChars="405" w:firstLine="539" w:firstLineChars="245"/>
        <w:contextualSpacing/>
        <w:jc w:val="both"/>
        <w:rPr>
          <w:rFonts w:eastAsia="Arial" w:asciiTheme="majorBidi" w:hAnsiTheme="majorBidi" w:cstheme="majorBidi"/>
          <w:shd w:val="clear" w:color="auto" w:fill="FFFFFF"/>
        </w:rPr>
      </w:pPr>
      <w:r>
        <w:rPr>
          <w:rFonts w:eastAsia="Arial" w:asciiTheme="majorBidi" w:hAnsiTheme="majorBidi" w:cstheme="majorBidi"/>
          <w:shd w:val="clear" w:color="auto" w:fill="FFFFFF"/>
          <w:lang w:val="en-US"/>
        </w:rPr>
        <w:t>Siapa saja berhak mendapatkan maaf atas perbuatan apapun yang dilakukan. Dengan niat tulus ingin mendekatkan diri kepada Allah menjadi, Muslim yang taat keada Allah. Bertaubat menyesali atas apa yang dilakukan.</w:t>
      </w:r>
    </w:p>
    <w:p>
      <w:pPr>
        <w:spacing w:after="0" w:line="312" w:lineRule="auto"/>
        <w:ind w:left="891" w:leftChars="405" w:firstLine="539" w:firstLineChars="245"/>
        <w:contextualSpacing/>
        <w:jc w:val="both"/>
        <w:rPr>
          <w:rFonts w:eastAsia="Arial" w:asciiTheme="majorBidi" w:hAnsiTheme="majorBidi" w:cstheme="majorBidi"/>
          <w:shd w:val="clear" w:color="auto" w:fill="FFFFFF"/>
        </w:rPr>
      </w:pPr>
      <w:r>
        <w:rPr>
          <w:rFonts w:eastAsia="Arial" w:asciiTheme="majorBidi" w:hAnsiTheme="majorBidi" w:cstheme="majorBidi"/>
          <w:shd w:val="clear" w:color="auto" w:fill="FFFFFF"/>
        </w:rPr>
        <w:t xml:space="preserve">Dalam hukum Islam pemberian grasi sangat danjurkan degan mempertimbangan beberapa hal dilihat dri rahmat dan kasih sayang </w:t>
      </w:r>
      <w:r>
        <w:rPr>
          <w:rFonts w:eastAsia="Arial" w:asciiTheme="majorBidi" w:hAnsiTheme="majorBidi" w:cstheme="majorBidi"/>
          <w:shd w:val="clear" w:color="auto" w:fill="FFFFFF"/>
          <w:lang w:val="en-US"/>
        </w:rPr>
        <w:t>Allah</w:t>
      </w:r>
      <w:r>
        <w:rPr>
          <w:rFonts w:eastAsia="Arial" w:asciiTheme="majorBidi" w:hAnsiTheme="majorBidi" w:cstheme="majorBidi"/>
          <w:shd w:val="clear" w:color="auto" w:fill="FFFFFF"/>
        </w:rPr>
        <w:t xml:space="preserve"> Yang diberikan kepada umat Islam, bahkan aaaaa</w:t>
      </w:r>
      <w:r>
        <w:rPr>
          <w:rFonts w:eastAsia="Arial" w:asciiTheme="majorBidi" w:hAnsiTheme="majorBidi" w:cstheme="majorBidi"/>
          <w:shd w:val="clear" w:color="auto" w:fill="FFFFFF"/>
          <w:lang w:val="en-US"/>
        </w:rPr>
        <w:t>Allah</w:t>
      </w:r>
      <w:r>
        <w:rPr>
          <w:rFonts w:eastAsia="Arial" w:asciiTheme="majorBidi" w:hAnsiTheme="majorBidi" w:cstheme="majorBidi"/>
          <w:shd w:val="clear" w:color="auto" w:fill="FFFFFF"/>
        </w:rPr>
        <w:t xml:space="preserve"> bersifaft ghafur maha pengampunan apabila umatnnya ingin bertaubat dengan tulus yang ingin bersungguh-sungguh memperbaiki diri. Pengampunan ini sebagai bentuk kasih sayang Allah kepada hambanya. </w:t>
      </w:r>
    </w:p>
    <w:p>
      <w:pPr>
        <w:spacing w:after="0" w:line="312" w:lineRule="auto"/>
        <w:ind w:left="451" w:leftChars="205" w:firstLine="426" w:firstLineChars="194"/>
        <w:contextualSpacing/>
        <w:jc w:val="both"/>
        <w:rPr>
          <w:rFonts w:asciiTheme="majorBidi" w:hAnsiTheme="majorBidi" w:cstheme="majorBidi"/>
        </w:rPr>
      </w:pPr>
      <w:r>
        <w:rPr>
          <w:rFonts w:asciiTheme="majorBidi" w:hAnsiTheme="majorBidi" w:cstheme="majorBidi"/>
          <w:lang w:val="en-US"/>
        </w:rPr>
        <w:t>Dalam analisis ini penulis mengambil alasan diberikannya grasi di dalam hukum pidana Islam yang diambil dari Alqur’an, antara lain sebagai berikut:</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 xml:space="preserve">Memberi </w:t>
      </w:r>
      <w:r>
        <w:rPr>
          <w:rFonts w:asciiTheme="majorBidi" w:hAnsiTheme="majorBidi" w:cstheme="majorBidi"/>
          <w:i/>
          <w:iCs/>
          <w:lang w:val="en-US"/>
        </w:rPr>
        <w:t>Syafa’at</w:t>
      </w:r>
      <w:r>
        <w:rPr>
          <w:rFonts w:asciiTheme="majorBidi" w:hAnsiTheme="majorBidi" w:cstheme="majorBidi"/>
          <w:lang w:val="en-US"/>
        </w:rPr>
        <w:t xml:space="preserve"> Kepada Pelaku Tindak Pidana Sesuai Qur’an Surat Al Baqarah Ayat 255. </w:t>
      </w:r>
    </w:p>
    <w:p>
      <w:pPr>
        <w:tabs>
          <w:tab w:val="left" w:pos="1200"/>
        </w:tabs>
        <w:spacing w:after="0" w:line="312" w:lineRule="auto"/>
        <w:ind w:left="880" w:leftChars="400" w:firstLine="437" w:firstLineChars="199"/>
        <w:contextualSpacing/>
        <w:jc w:val="both"/>
        <w:rPr>
          <w:rFonts w:asciiTheme="majorBidi" w:hAnsiTheme="majorBidi" w:cstheme="majorBidi"/>
          <w:lang w:val="en-US"/>
        </w:rPr>
      </w:pPr>
      <w:r>
        <w:rPr>
          <w:rFonts w:asciiTheme="majorBidi" w:hAnsiTheme="majorBidi" w:cstheme="majorBidi"/>
          <w:lang w:val="en-US"/>
        </w:rPr>
        <w:t>Artinya Allah telah memberkan isyarat kepada para pemimpin atau penguasa untuk memberikan maaf kepada siapapun Muslim yang telah melanggar peraturan. Karena hanya Allahlah yang mengetahui kebenaran apa yang dihadapan dan dibelakangnya</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Pemberian Maaf Lebih Baik dari Pada Sedekah Sesuai Qur’an Surat Al Baqarah Ayat 263</w:t>
      </w:r>
    </w:p>
    <w:p>
      <w:pPr>
        <w:spacing w:after="0" w:line="312" w:lineRule="auto"/>
        <w:ind w:left="880" w:leftChars="400" w:firstLine="437" w:firstLineChars="199"/>
        <w:contextualSpacing/>
        <w:jc w:val="both"/>
        <w:rPr>
          <w:rFonts w:asciiTheme="majorBidi" w:hAnsiTheme="majorBidi" w:cstheme="majorBidi"/>
        </w:rPr>
      </w:pPr>
      <w:r>
        <w:rPr>
          <w:rFonts w:asciiTheme="majorBidi" w:hAnsiTheme="majorBidi" w:cstheme="majorBidi"/>
          <w:lang w:val="en-US"/>
        </w:rPr>
        <w:t>Di dalam Ayat tersebut dijlaskan bahwa perkataan yang baik dan pemberian maaf lebih baik dari pada sedekah. Sedekah merupakan perbuatan yang mulia dan memiliki pahala yang besar, bahkan pemberian maaf kepada seseorang lebih baik dari pada sedekah, sunggu Allah maha pemurah dan pengampun.</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Berpalinglah Dari Mereka (Memberi Mereka Maaf) Dengan Memberi Nasihat Dan Perkataan Yang Membekas Sesuai Al Qur’an Surat An Nisa Ayat 63</w:t>
      </w:r>
    </w:p>
    <w:p>
      <w:pPr>
        <w:tabs>
          <w:tab w:val="left" w:pos="1200"/>
        </w:tabs>
        <w:spacing w:after="0" w:line="312" w:lineRule="auto"/>
        <w:ind w:left="880" w:leftChars="400" w:firstLine="437" w:firstLineChars="199"/>
        <w:contextualSpacing/>
        <w:jc w:val="both"/>
        <w:rPr>
          <w:rFonts w:asciiTheme="majorBidi" w:hAnsiTheme="majorBidi" w:cstheme="majorBidi"/>
        </w:rPr>
      </w:pPr>
      <w:r>
        <w:rPr>
          <w:rFonts w:asciiTheme="majorBidi" w:hAnsiTheme="majorBidi" w:cstheme="majorBidi"/>
        </w:rPr>
        <w:t xml:space="preserve">Dalam Ayat tersebut dijelaskan bahwa hanya Allah yang mengetahui isi hati mereka, maka berpalinglah dari mereka dengan memperi pengampunan dengan dibarengi memberi nasihat dan perkataan yang mmbekas dihatinya. </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Orang Yang Memberi Maaf Akan Mendapat Pahala Sesuai AL Qur’an Surat As Syura Ayat 70</w:t>
      </w:r>
    </w:p>
    <w:p>
      <w:pPr>
        <w:tabs>
          <w:tab w:val="left" w:pos="1200"/>
        </w:tabs>
        <w:spacing w:after="0" w:line="312" w:lineRule="auto"/>
        <w:ind w:left="880" w:leftChars="400" w:firstLine="437" w:firstLineChars="199"/>
        <w:contextualSpacing/>
        <w:jc w:val="both"/>
        <w:rPr>
          <w:rFonts w:asciiTheme="majorBidi" w:hAnsiTheme="majorBidi" w:cstheme="majorBidi"/>
        </w:rPr>
      </w:pPr>
      <w:r>
        <w:rPr>
          <w:rFonts w:asciiTheme="majorBidi" w:hAnsiTheme="majorBidi" w:cstheme="majorBidi"/>
          <w:lang w:val="en-US"/>
        </w:rPr>
        <w:t xml:space="preserve">Dalam Ayat tersebut dijelaskan bahwa orang yang memaafkan dan berbuat baik kepada orang yang berbuat jahat, maka pahalanya dari Allah. </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Bertaubat Kepada Allah Maka Kejahatan Itu Akan Digantikan Dengan Kebaikan Sesuai Qur’an Surat Al Furqon Ayat 70</w:t>
      </w:r>
    </w:p>
    <w:p>
      <w:pPr>
        <w:tabs>
          <w:tab w:val="left" w:pos="1200"/>
        </w:tabs>
        <w:spacing w:after="0" w:line="312" w:lineRule="auto"/>
        <w:ind w:left="880" w:leftChars="400" w:firstLine="437" w:firstLineChars="199"/>
        <w:contextualSpacing/>
        <w:jc w:val="both"/>
        <w:rPr>
          <w:rFonts w:asciiTheme="majorBidi" w:hAnsiTheme="majorBidi" w:cstheme="majorBidi"/>
        </w:rPr>
      </w:pPr>
      <w:r>
        <w:rPr>
          <w:rFonts w:asciiTheme="majorBidi" w:hAnsiTheme="majorBidi" w:cstheme="majorBidi"/>
        </w:rPr>
        <w:t xml:space="preserve">Dalam Ayat tersebut dijelaskan bahwa bagi siapa saja yang melakukan kesalahan baik kesalahn itu besar atau kecil, apabila seorang itu mau bertaubat mengakui kesalahannya, tidak akan melanggar lagi, bersungguh-sungguh memohon ampunan kepada Allah. Maka </w:t>
      </w:r>
      <w:r>
        <w:rPr>
          <w:rFonts w:asciiTheme="majorBidi" w:hAnsiTheme="majorBidi" w:cstheme="majorBidi"/>
          <w:lang w:val="en-US"/>
        </w:rPr>
        <w:t>Allah</w:t>
      </w:r>
      <w:r>
        <w:rPr>
          <w:rFonts w:asciiTheme="majorBidi" w:hAnsiTheme="majorBidi" w:cstheme="majorBidi"/>
        </w:rPr>
        <w:t xml:space="preserve"> akan menggantikan kejahatan mereka dengan kebaikan.</w:t>
      </w:r>
    </w:p>
    <w:p>
      <w:pPr>
        <w:numPr>
          <w:ilvl w:val="0"/>
          <w:numId w:val="56"/>
        </w:numPr>
        <w:tabs>
          <w:tab w:val="left" w:pos="880"/>
          <w:tab w:val="clear" w:pos="425"/>
        </w:tabs>
        <w:spacing w:after="0" w:line="312" w:lineRule="auto"/>
        <w:ind w:left="882" w:leftChars="200" w:hanging="442" w:hangingChars="201"/>
        <w:contextualSpacing/>
        <w:jc w:val="both"/>
        <w:rPr>
          <w:rFonts w:asciiTheme="majorBidi" w:hAnsiTheme="majorBidi" w:cstheme="majorBidi"/>
        </w:rPr>
      </w:pPr>
      <w:r>
        <w:rPr>
          <w:rFonts w:asciiTheme="majorBidi" w:hAnsiTheme="majorBidi" w:cstheme="majorBidi"/>
          <w:lang w:val="en-US"/>
        </w:rPr>
        <w:t>Rahmat Allah Yang Bergitu Besar (Kejahatan Sebesar Apapun Akan Diampuni Oleh Allah) Sesuai Qur’an Surat Az Zumar Ayat 53</w:t>
      </w:r>
    </w:p>
    <w:p>
      <w:pPr>
        <w:tabs>
          <w:tab w:val="left" w:pos="1200"/>
        </w:tabs>
        <w:spacing w:after="0" w:line="312" w:lineRule="auto"/>
        <w:ind w:left="880" w:leftChars="400" w:firstLine="437" w:firstLineChars="199"/>
        <w:contextualSpacing/>
        <w:jc w:val="both"/>
        <w:rPr>
          <w:rFonts w:eastAsia="SimSun" w:asciiTheme="majorBidi" w:hAnsiTheme="majorBidi" w:cstheme="majorBidi"/>
          <w:lang w:val="en-US"/>
        </w:rPr>
      </w:pPr>
      <w:r>
        <w:rPr>
          <w:rFonts w:asciiTheme="majorBidi" w:hAnsiTheme="majorBidi" w:cstheme="majorBidi"/>
          <w:lang w:val="en-US"/>
        </w:rPr>
        <w:t>Dalam Ayat tersebut dijelaskan bahwa janganlah berputus asa dari rahmat Allah. Kasih sayang Allah sangat besar, bahkan kepada pelaku tindak pidana. Sebesar apapun dosanya, apabila ada kemauan untuk meminta rahmat Allah agar diampuni segala dosa yang diperbuat, sesunggguhnya Allah mengampuni dosa-dosa semuanya.</w:t>
      </w:r>
      <w:r>
        <w:rPr>
          <w:rFonts w:eastAsia="SimSun" w:asciiTheme="majorBidi" w:hAnsiTheme="majorBidi" w:cstheme="majorBidi"/>
          <w:lang w:val="en-US"/>
        </w:rPr>
        <w:t xml:space="preserve"> </w:t>
      </w:r>
    </w:p>
    <w:p>
      <w:pPr>
        <w:spacing w:before="240" w:after="0" w:line="312" w:lineRule="auto"/>
        <w:ind w:left="660" w:leftChars="300" w:right="-103" w:rightChars="-47" w:firstLine="440" w:firstLineChars="200"/>
        <w:contextualSpacing/>
        <w:jc w:val="both"/>
        <w:rPr>
          <w:rFonts w:eastAsia="SimSun" w:asciiTheme="majorBidi" w:hAnsiTheme="majorBidi" w:cstheme="majorBidi"/>
          <w:lang w:val="en-US"/>
        </w:rPr>
      </w:pPr>
      <w:r>
        <w:rPr>
          <w:rFonts w:ascii="Times New Roman" w:hAnsi="Times New Roman" w:cs="Times New Roman"/>
          <w:lang w:val="en-US"/>
        </w:rPr>
        <w:t xml:space="preserve">Grasi dalam konteks ini, bukan sekedar hanya pengampunan. Tetapi, sebagai suatu alat untuk membimbing seseorang agar lebih baik lagi ke jalan yang lebih baik terlepas dari apa yang sudah di dilakukan sebelumnya. </w:t>
      </w:r>
      <w:r>
        <w:rPr>
          <w:rFonts w:ascii="Times New Roman" w:hAnsi="Times New Roman" w:eastAsia="SimSun" w:cs="Times New Roman"/>
          <w:lang w:val="en-US"/>
        </w:rPr>
        <w:t>A</w:t>
      </w:r>
      <w:r>
        <w:rPr>
          <w:rFonts w:ascii="Times New Roman" w:hAnsi="Times New Roman" w:eastAsia="SimSun" w:cs="Times New Roman"/>
        </w:rPr>
        <w:t xml:space="preserve">da nilai penting dalam memberikan kesempatan bagi individu untuk bertobat </w:t>
      </w:r>
      <w:r>
        <w:rPr>
          <w:rFonts w:ascii="Times New Roman" w:hAnsi="Times New Roman" w:eastAsia="SimSun" w:cs="Times New Roman"/>
          <w:lang w:val="en-US"/>
        </w:rPr>
        <w:t xml:space="preserve">dan berbuat kebaikan serta, </w:t>
      </w:r>
      <w:r>
        <w:rPr>
          <w:rFonts w:ascii="Times New Roman" w:hAnsi="Times New Roman" w:eastAsia="SimSun" w:cs="Times New Roman"/>
        </w:rPr>
        <w:t>kembali ke dalam jamaah umat Islam.</w:t>
      </w:r>
    </w:p>
    <w:p>
      <w:pPr>
        <w:spacing w:after="0" w:line="312" w:lineRule="auto"/>
        <w:ind w:left="660" w:leftChars="300" w:right="-103" w:rightChars="-47" w:firstLine="440" w:firstLineChars="200"/>
        <w:contextualSpacing/>
        <w:jc w:val="both"/>
        <w:rPr>
          <w:rFonts w:eastAsia="SimSun" w:asciiTheme="majorBidi" w:hAnsiTheme="majorBidi" w:cstheme="majorBidi"/>
          <w:lang w:val="en-US"/>
        </w:rPr>
      </w:pPr>
      <w:r>
        <w:rPr>
          <w:rFonts w:eastAsia="SimSun" w:asciiTheme="majorBidi" w:hAnsiTheme="majorBidi" w:cstheme="majorBidi"/>
          <w:lang w:val="en-US"/>
        </w:rPr>
        <w:t>Grasi bisa diberikan kepada siapa saja yang bersunggu-sungguh mengakui kesalahan dan mau memperbaiki diri. Islam adalah agama yang menjunjung tinggi nilai kemanusiaan, memberikan kesempatan untuk seseorang yang telah melakukan kejahatan untuk menjadi peribadi yang lebih baik lagi. Karena Allah SWT Maha Pengampun, maha pemurah atas apa yang diperbuat hambanya.</w:t>
      </w:r>
    </w:p>
    <w:p>
      <w:pPr>
        <w:spacing w:after="0" w:line="312" w:lineRule="auto"/>
        <w:ind w:left="660" w:leftChars="300" w:right="-103" w:rightChars="-47" w:firstLine="440" w:firstLineChars="200"/>
        <w:contextualSpacing/>
        <w:jc w:val="both"/>
        <w:rPr>
          <w:rFonts w:eastAsia="SimSun" w:asciiTheme="majorBidi" w:hAnsiTheme="majorBidi" w:cstheme="majorBidi"/>
          <w:lang w:val="en-US"/>
        </w:rPr>
      </w:pPr>
      <w:r>
        <w:rPr>
          <w:rFonts w:eastAsia="SimSun" w:asciiTheme="majorBidi" w:hAnsiTheme="majorBidi" w:cstheme="majorBidi"/>
          <w:lang w:val="en-US"/>
        </w:rPr>
        <w:t xml:space="preserve">Dalam Al qur’an tidak ada Ayat yang secara tegas memerintahkan untuk meminta maaf, akan tetapi ayat yang membahas memberikan maaf sangat banyak. Terdapat 91 kata </w:t>
      </w:r>
      <w:r>
        <w:rPr>
          <w:rFonts w:eastAsia="SimSun" w:asciiTheme="majorBidi" w:hAnsiTheme="majorBidi" w:cstheme="majorBidi"/>
          <w:i/>
          <w:iCs/>
          <w:lang w:val="en-US"/>
        </w:rPr>
        <w:t>ghofurun</w:t>
      </w:r>
      <w:r>
        <w:rPr>
          <w:rFonts w:eastAsia="SimSun" w:asciiTheme="majorBidi" w:hAnsiTheme="majorBidi" w:cstheme="majorBidi"/>
          <w:lang w:val="en-US"/>
        </w:rPr>
        <w:t xml:space="preserve"> di dalam Al qur’an, yang mana kalimat tersebut merupakan bentuk pengampunan Allah yang sangat besar kepada hambanya.  Sebesar apapun dosanya, kalau seseorang itu mau bertabaubat, meminta ampunan, dan menjadi lebih baik, Allah pasti akan memafkan.</w:t>
      </w:r>
    </w:p>
    <w:p>
      <w:pPr>
        <w:spacing w:after="0" w:line="312" w:lineRule="auto"/>
        <w:ind w:right="-103" w:rightChars="-47"/>
        <w:contextualSpacing/>
        <w:jc w:val="both"/>
        <w:rPr>
          <w:rFonts w:eastAsia="SimSun" w:asciiTheme="majorBidi" w:hAnsiTheme="majorBidi" w:cstheme="majorBidi"/>
          <w:lang w:val="en-US"/>
        </w:rPr>
      </w:pPr>
    </w:p>
    <w:p>
      <w:pPr>
        <w:pStyle w:val="3"/>
        <w:numPr>
          <w:ilvl w:val="0"/>
          <w:numId w:val="44"/>
        </w:numPr>
        <w:ind w:left="426" w:hanging="426"/>
      </w:pPr>
      <w:bookmarkStart w:id="37" w:name="_Toc199801682"/>
      <w:r>
        <w:t>Narkotika dan Proses Pemberian Grasi Dalam Hukum Pidana</w:t>
      </w:r>
      <w:bookmarkEnd w:id="37"/>
      <w:r>
        <w:t xml:space="preserve"> (</w:t>
      </w:r>
      <w:r>
        <w:rPr>
          <w:lang w:val="en-US"/>
        </w:rPr>
        <w:t>Keppres</w:t>
      </w:r>
      <w:r>
        <w:t xml:space="preserve"> Nomor 1/G/2023)</w:t>
      </w:r>
    </w:p>
    <w:p>
      <w:pPr>
        <w:spacing w:after="0" w:line="312" w:lineRule="auto"/>
        <w:ind w:left="440" w:leftChars="200" w:right="-103" w:rightChars="-47" w:firstLine="440" w:firstLineChars="200"/>
        <w:contextualSpacing/>
        <w:jc w:val="both"/>
        <w:rPr>
          <w:rFonts w:eastAsia="SimSun" w:asciiTheme="majorBidi" w:hAnsiTheme="majorBidi" w:cstheme="majorBidi"/>
        </w:rPr>
      </w:pPr>
      <w:r>
        <w:rPr>
          <w:rFonts w:ascii="Times New Roman" w:hAnsi="Times New Roman" w:eastAsia="Times New Roman" w:cs="Times New Roman"/>
          <w:kern w:val="0"/>
          <w:lang w:val="en-US"/>
          <w14:ligatures w14:val="none"/>
        </w:rPr>
        <w:t>Menurut Pasal 1 angka 1 Undang-Undang Nomor 35 Tahun 2009 tentang Narkotika, narkotika adalah zat atau obat, baik yang berasal dari tanaman maupun bukan tanaman, termasuk yang bersifat sintetis atau semisintetis, yang dapat menyebabkan perubahan atau penurunan kesadaran, menghilangkan rasa nyeri, mengurangi sensasi, dan menimbulkan ketergantungan</w:t>
      </w:r>
      <w:r>
        <w:rPr>
          <w:rFonts w:eastAsia="SimSun" w:asciiTheme="majorBidi" w:hAnsiTheme="majorBidi" w:cstheme="majorBidi"/>
        </w:rPr>
        <w:t>.</w:t>
      </w:r>
      <w:r>
        <w:rPr>
          <w:rStyle w:val="17"/>
          <w:rFonts w:eastAsia="SimSun" w:asciiTheme="majorBidi" w:hAnsiTheme="majorBidi" w:cstheme="majorBidi"/>
        </w:rPr>
        <w:footnoteReference w:id="99"/>
      </w:r>
    </w:p>
    <w:p>
      <w:pPr>
        <w:spacing w:after="0" w:line="312" w:lineRule="auto"/>
        <w:ind w:left="440" w:leftChars="200" w:firstLine="440" w:firstLineChars="200"/>
        <w:contextualSpacing/>
        <w:jc w:val="both"/>
        <w:rPr>
          <w:rFonts w:eastAsia="SimSun" w:asciiTheme="majorBidi" w:hAnsiTheme="majorBidi" w:cstheme="majorBidi"/>
        </w:rPr>
      </w:pPr>
      <w:r>
        <w:rPr>
          <w:rFonts w:eastAsia="SimSun" w:asciiTheme="majorBidi" w:hAnsiTheme="majorBidi" w:cstheme="majorBidi"/>
          <w:lang w:val="en-US"/>
        </w:rPr>
        <w:t>MU terbukti telah membawa narkotika jenis heroin di dalam tas setelah pulang meggunakan jalur pesawat dari Nepal, di Bandara Soekarno-Hatta. Macam Narkotika alami jenis Heroin adalah</w:t>
      </w:r>
      <w:r>
        <w:rPr>
          <w:rFonts w:eastAsia="SimSun" w:asciiTheme="majorBidi" w:hAnsiTheme="majorBidi" w:cstheme="majorBidi"/>
        </w:rPr>
        <w:t xml:space="preserve"> bubuk atau puyer, bentuk heroin seperti ini sering diberi nama PT, pete, etep, putih atau bedak. Bubuk ini tampak lebih kotor seperti tepung terigu.</w:t>
      </w:r>
      <w:r>
        <w:rPr>
          <w:rStyle w:val="17"/>
          <w:rFonts w:eastAsia="SimSun" w:asciiTheme="majorBidi" w:hAnsiTheme="majorBidi" w:cstheme="majorBidi"/>
        </w:rPr>
        <w:footnoteReference w:id="100"/>
      </w:r>
    </w:p>
    <w:p>
      <w:pPr>
        <w:spacing w:after="0" w:line="312" w:lineRule="auto"/>
        <w:ind w:left="440" w:leftChars="200" w:firstLine="440" w:firstLineChars="200"/>
        <w:contextualSpacing/>
        <w:jc w:val="both"/>
        <w:rPr>
          <w:rFonts w:eastAsia="SimSun" w:asciiTheme="majorBidi" w:hAnsiTheme="majorBidi" w:cstheme="majorBidi"/>
        </w:rPr>
      </w:pPr>
      <w:r>
        <w:rPr>
          <w:rFonts w:eastAsia="SimSun" w:asciiTheme="majorBidi" w:hAnsiTheme="majorBidi" w:cstheme="majorBidi"/>
        </w:rPr>
        <w:t xml:space="preserve">MU dinyatakan bersalah telah melanggar Pasal 82 Ayat (1) huruf a Undang-Undang Narkotika No. 22 Tahun 1997, yang berbunyi: “Barang siapa tanpa hak dan melawan hukum memproduksi, mengolah, mengekstrasi, mengkonversi, merakit, atau menyediakan narkotika Golongaengan berbagai upaya hukum yang dijalani MU dari banding, kasasi, sampai peninjauan kembali hasilnya tetap sama tidak ada perubahan atau pengurangan atas penjatuhan hukuman sebelumnya. </w:t>
      </w:r>
    </w:p>
    <w:p>
      <w:pPr>
        <w:spacing w:after="0" w:line="312" w:lineRule="auto"/>
        <w:ind w:left="440" w:leftChars="200" w:firstLine="440" w:firstLineChars="200"/>
        <w:contextualSpacing/>
        <w:jc w:val="both"/>
        <w:rPr>
          <w:rFonts w:asciiTheme="majorBidi" w:hAnsiTheme="majorBidi" w:cstheme="majorBidi"/>
        </w:rPr>
      </w:pPr>
      <w:r>
        <w:rPr>
          <w:rFonts w:eastAsia="SimSun" w:asciiTheme="majorBidi" w:hAnsiTheme="majorBidi" w:cstheme="majorBidi"/>
          <w:lang w:val="en-US"/>
        </w:rPr>
        <w:t xml:space="preserve">Pada Tahun 2016 sebelum dieksekusi mati bersama tahanan yang lain, MU mengajukan grasi kepada Presiden Jokowi. Sehingga masa ekesekusi mati ditunda sampai waktu yang tidak ditentukan. Setelah menunggu kurang lebih 7 Tahun akhirnya Surat grasi turun dengan Keputusan Presiden No 1/G/2023, yang mengubah pidana mati MU menjadi pidana penjara seumur hidup. </w:t>
      </w:r>
    </w:p>
    <w:p>
      <w:pPr>
        <w:numPr>
          <w:ilvl w:val="0"/>
          <w:numId w:val="57"/>
        </w:numPr>
        <w:spacing w:after="0" w:line="312" w:lineRule="auto"/>
        <w:ind w:left="838" w:leftChars="200" w:hanging="398" w:hangingChars="181"/>
        <w:contextualSpacing/>
        <w:jc w:val="both"/>
        <w:rPr>
          <w:rFonts w:asciiTheme="majorBidi" w:hAnsiTheme="majorBidi" w:cstheme="majorBidi"/>
        </w:rPr>
      </w:pPr>
      <w:r>
        <w:rPr>
          <w:rFonts w:asciiTheme="majorBidi" w:hAnsiTheme="majorBidi" w:cstheme="majorBidi"/>
          <w:lang w:val="en-US"/>
        </w:rPr>
        <w:t>Proses Pemberian Grasi Merri Utami</w:t>
      </w:r>
    </w:p>
    <w:p>
      <w:pPr>
        <w:tabs>
          <w:tab w:val="left" w:pos="660"/>
        </w:tabs>
        <w:spacing w:after="0" w:line="312" w:lineRule="auto"/>
        <w:ind w:left="673" w:leftChars="306" w:firstLine="424" w:firstLineChars="193"/>
        <w:jc w:val="both"/>
        <w:rPr>
          <w:rFonts w:asciiTheme="majorBidi" w:hAnsiTheme="majorBidi" w:cstheme="majorBidi"/>
        </w:rPr>
      </w:pPr>
      <w:r>
        <w:rPr>
          <w:rFonts w:asciiTheme="majorBidi" w:hAnsiTheme="majorBidi" w:cstheme="majorBidi"/>
        </w:rPr>
        <w:t>Grasi yang diberikan Jokowi kepada Merri Utami diterbitkan pada 27 Februari 2023 Namun demikian kuasa hukum MU baru mengabarkan kepada pada 24 Maret 2023 melalui sambungan telepon pada 6 April 2023 LBH masyarakat datang ke lapas memastikan hukuman dari Merry Utami sudah berubah setelah mendapat grasi. Dalam keputusan tersebut, presiden telah membe</w:t>
      </w:r>
      <w:r>
        <w:rPr>
          <w:rFonts w:asciiTheme="majorBidi" w:hAnsiTheme="majorBidi" w:cstheme="majorBidi"/>
          <w:lang w:val="en-US"/>
        </w:rPr>
        <w:t>r</w:t>
      </w:r>
      <w:r>
        <w:rPr>
          <w:rFonts w:asciiTheme="majorBidi" w:hAnsiTheme="majorBidi" w:cstheme="majorBidi"/>
        </w:rPr>
        <w:t xml:space="preserve">ikan grasi kepada terpidana </w:t>
      </w:r>
      <w:r>
        <w:rPr>
          <w:rFonts w:asciiTheme="majorBidi" w:hAnsiTheme="majorBidi" w:cstheme="majorBidi"/>
          <w:lang w:val="en-US"/>
        </w:rPr>
        <w:t xml:space="preserve">MU </w:t>
      </w:r>
      <w:r>
        <w:rPr>
          <w:rFonts w:asciiTheme="majorBidi" w:hAnsiTheme="majorBidi" w:cstheme="majorBidi"/>
        </w:rPr>
        <w:t xml:space="preserve">binti </w:t>
      </w:r>
      <w:r>
        <w:rPr>
          <w:rFonts w:asciiTheme="majorBidi" w:hAnsiTheme="majorBidi" w:cstheme="majorBidi"/>
          <w:lang w:val="en-US"/>
        </w:rPr>
        <w:t>S</w:t>
      </w:r>
      <w:r>
        <w:rPr>
          <w:rFonts w:asciiTheme="majorBidi" w:hAnsiTheme="majorBidi" w:cstheme="majorBidi"/>
        </w:rPr>
        <w:t xml:space="preserve">iswandi, yang sebelumnya ditetapka hukuman mati menjadi pidana penjara </w:t>
      </w:r>
      <w:r>
        <w:rPr>
          <w:rFonts w:asciiTheme="majorBidi" w:hAnsiTheme="majorBidi" w:cstheme="majorBidi"/>
          <w:lang w:val="en-US"/>
        </w:rPr>
        <w:t>seumur</w:t>
      </w:r>
      <w:r>
        <w:rPr>
          <w:rFonts w:asciiTheme="majorBidi" w:hAnsiTheme="majorBidi" w:cstheme="majorBidi"/>
        </w:rPr>
        <w:t xml:space="preserve"> hidup. Dengan </w:t>
      </w:r>
      <w:r>
        <w:rPr>
          <w:rFonts w:asciiTheme="majorBidi" w:hAnsiTheme="majorBidi" w:cstheme="majorBidi"/>
          <w:lang w:val="en-US"/>
        </w:rPr>
        <w:t>Keppres</w:t>
      </w:r>
      <w:r>
        <w:rPr>
          <w:rFonts w:asciiTheme="majorBidi" w:hAnsiTheme="majorBidi" w:cstheme="majorBidi"/>
        </w:rPr>
        <w:t xml:space="preserve"> Nomor 1/G/2023.</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asciiTheme="majorBidi" w:hAnsiTheme="majorBidi" w:cstheme="majorBidi"/>
        </w:rPr>
        <w:t xml:space="preserve">Pada 26 Juli 2016, LBH Masyarakat selaku tim kuasa hukum MU telah mengajukan grasi melalui Pengadilan Negeri Tangerang yang tertuang dalam akta permohonan </w:t>
      </w:r>
      <w:r>
        <w:rPr>
          <w:rFonts w:eastAsia="SimSun" w:asciiTheme="majorBidi" w:hAnsiTheme="majorBidi" w:cstheme="majorBidi"/>
        </w:rPr>
        <w:t xml:space="preserve">Nomor: 02/Pid.2016/PN.TNG, saat MU masih mendekam dalam sel isolasi dilapas Batu Nusakambangan pada saat itu yang akan melaksanakan eksekusi mati. </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Times New Roman" w:asciiTheme="majorBidi" w:hAnsiTheme="majorBidi" w:cstheme="majorBidi"/>
          <w:kern w:val="0"/>
          <w:lang w:val="en-US"/>
          <w14:ligatures w14:val="none"/>
        </w:rPr>
        <w:t>Penyelesaian permohonan grasi diatur dalam Pasal 9 UU Grasi No. 5 Tahun 2010, yang menyatakan bahwa pengadilan tingkat pertama wajib mengirimkan salinan permohonan grasi dan berkas perkara terpidana kepada Mahkamah Agung paling lambat 20 hari sejak menerima salinan permohonan tersebut</w:t>
      </w:r>
      <w:r>
        <w:rPr>
          <w:rFonts w:eastAsia="SimSun" w:asciiTheme="majorBidi" w:hAnsiTheme="majorBidi" w:cstheme="majorBidi"/>
        </w:rPr>
        <w:t>.</w:t>
      </w:r>
      <w:r>
        <w:rPr>
          <w:rStyle w:val="17"/>
          <w:rFonts w:eastAsia="SimSun" w:asciiTheme="majorBidi" w:hAnsiTheme="majorBidi" w:cstheme="majorBidi"/>
        </w:rPr>
        <w:footnoteReference w:id="101"/>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SimSun" w:asciiTheme="majorBidi" w:hAnsiTheme="majorBidi" w:cstheme="majorBidi"/>
        </w:rPr>
        <w:t xml:space="preserve">Pada 29 Juli 2016, Mahkamah Agung telah menerima berkas tersebut dan dicatat pada Registrasi Perkara Nomor: 19 Sus/MA/2016. setelah permohonan grasi itu diterima oleh Mahkamah Agung, akhirnya eksekusi mati MU ditangguhkan sampai waktu yang tidak ditentukan. </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Times New Roman" w:asciiTheme="majorBidi" w:hAnsiTheme="majorBidi" w:cstheme="majorBidi"/>
          <w:kern w:val="0"/>
          <w:lang w:val="en-US"/>
          <w14:ligatures w14:val="none"/>
        </w:rPr>
        <w:t>Penanganan permohonan grasi di Mahkamah Agung memerlukan waktu pertimbangan paling lama 30 hari sejak berkas diterima. Pertimbangan hakim agung disampaikan kepada Ketua Mahkamah Agung untuk dipertimbangkan sebagai putusan lembaga, kemudian dikirim oleh panitera muda kepada Presiden RI melalui Sekretariat Negara, dengan tanggal pengiriman sebagai tanda selesainya tugas Mahkamah Agung</w:t>
      </w:r>
      <w:r>
        <w:rPr>
          <w:rFonts w:eastAsia="sans-serif" w:asciiTheme="majorBidi" w:hAnsiTheme="majorBidi" w:cstheme="majorBidi"/>
          <w:shd w:val="clear" w:color="auto" w:fill="FFFFFF"/>
        </w:rPr>
        <w:t>.</w:t>
      </w:r>
      <w:r>
        <w:rPr>
          <w:rStyle w:val="17"/>
          <w:rFonts w:eastAsia="sans-serif" w:asciiTheme="majorBidi" w:hAnsiTheme="majorBidi" w:cstheme="majorBidi"/>
          <w:shd w:val="clear" w:color="auto" w:fill="FFFFFF"/>
        </w:rPr>
        <w:footnoteReference w:id="102"/>
      </w:r>
    </w:p>
    <w:p>
      <w:pPr>
        <w:tabs>
          <w:tab w:val="left" w:pos="660"/>
        </w:tabs>
        <w:spacing w:after="0" w:line="312" w:lineRule="auto"/>
        <w:ind w:left="673" w:leftChars="306" w:right="-103" w:rightChars="-47" w:firstLine="424" w:firstLineChars="193"/>
        <w:contextualSpacing/>
        <w:jc w:val="both"/>
        <w:rPr>
          <w:rFonts w:asciiTheme="majorBidi" w:hAnsiTheme="majorBidi" w:cstheme="majorBidi"/>
          <w:lang w:val="en-US"/>
        </w:rPr>
      </w:pPr>
      <w:r>
        <w:rPr>
          <w:rFonts w:asciiTheme="majorBidi" w:hAnsiTheme="majorBidi" w:cstheme="majorBidi"/>
        </w:rPr>
        <w:t xml:space="preserve">Pada 29 Juli 2016 juga </w:t>
      </w:r>
      <w:r>
        <w:rPr>
          <w:rFonts w:asciiTheme="majorBidi" w:hAnsiTheme="majorBidi" w:cstheme="majorBidi"/>
          <w:lang w:val="en-US"/>
        </w:rPr>
        <w:t>Surat</w:t>
      </w:r>
      <w:r>
        <w:rPr>
          <w:rFonts w:asciiTheme="majorBidi" w:hAnsiTheme="majorBidi" w:cstheme="majorBidi"/>
        </w:rPr>
        <w:t xml:space="preserve"> permohonan grasi </w:t>
      </w:r>
      <w:r>
        <w:rPr>
          <w:rFonts w:asciiTheme="majorBidi" w:hAnsiTheme="majorBidi" w:cstheme="majorBidi"/>
          <w:lang w:val="en-US"/>
        </w:rPr>
        <w:t xml:space="preserve">MU </w:t>
      </w:r>
      <w:r>
        <w:rPr>
          <w:rFonts w:asciiTheme="majorBidi" w:hAnsiTheme="majorBidi" w:cstheme="majorBidi"/>
        </w:rPr>
        <w:t>diterima oleh Kementrian Sekertaris Negara. Pratikno yang pada saat itu m</w:t>
      </w:r>
      <w:r>
        <w:rPr>
          <w:rFonts w:asciiTheme="majorBidi" w:hAnsiTheme="majorBidi" w:cstheme="majorBidi"/>
          <w:lang w:val="en-US"/>
        </w:rPr>
        <w:t>en</w:t>
      </w:r>
      <w:r>
        <w:rPr>
          <w:rFonts w:asciiTheme="majorBidi" w:hAnsiTheme="majorBidi" w:cstheme="majorBidi"/>
        </w:rPr>
        <w:t>jabat sebagai Me</w:t>
      </w:r>
      <w:r>
        <w:rPr>
          <w:rFonts w:asciiTheme="majorBidi" w:hAnsiTheme="majorBidi" w:cstheme="majorBidi"/>
          <w:lang w:val="en-US"/>
        </w:rPr>
        <w:t>n</w:t>
      </w:r>
      <w:r>
        <w:rPr>
          <w:rFonts w:asciiTheme="majorBidi" w:hAnsiTheme="majorBidi" w:cstheme="majorBidi"/>
        </w:rPr>
        <w:t xml:space="preserve">teri Sekertaris Negara langsung meneruskan permohonan </w:t>
      </w:r>
      <w:r>
        <w:rPr>
          <w:rFonts w:asciiTheme="majorBidi" w:hAnsiTheme="majorBidi" w:cstheme="majorBidi"/>
          <w:lang w:val="en-US"/>
        </w:rPr>
        <w:t xml:space="preserve">MU </w:t>
      </w:r>
      <w:r>
        <w:rPr>
          <w:rFonts w:asciiTheme="majorBidi" w:hAnsiTheme="majorBidi" w:cstheme="majorBidi"/>
        </w:rPr>
        <w:t xml:space="preserve">kepada Presiden Jokowidodo. Pada saaat itu Presiden belum memberikan sikap mengenai permohonan grasi tersebut, karena </w:t>
      </w:r>
      <w:r>
        <w:rPr>
          <w:rFonts w:asciiTheme="majorBidi" w:hAnsiTheme="majorBidi" w:cstheme="majorBidi"/>
          <w:lang w:val="en-US"/>
        </w:rPr>
        <w:t>mungkin</w:t>
      </w:r>
      <w:r>
        <w:rPr>
          <w:rFonts w:asciiTheme="majorBidi" w:hAnsiTheme="majorBidi" w:cstheme="majorBidi"/>
        </w:rPr>
        <w:t xml:space="preserve"> masih banyak pertimbangan dan menunggu pemberitahuan pertimbangan Mahkamah Agung mengenai keputusan grasi </w:t>
      </w:r>
      <w:r>
        <w:rPr>
          <w:rFonts w:asciiTheme="majorBidi" w:hAnsiTheme="majorBidi" w:cstheme="majorBidi"/>
          <w:lang w:val="en-US"/>
        </w:rPr>
        <w:t xml:space="preserve">MU </w:t>
      </w:r>
      <w:r>
        <w:rPr>
          <w:rFonts w:asciiTheme="majorBidi" w:hAnsiTheme="majorBidi" w:cstheme="majorBidi"/>
        </w:rPr>
        <w:t>tersebut.</w:t>
      </w:r>
      <w:r>
        <w:rPr>
          <w:rFonts w:asciiTheme="majorBidi" w:hAnsiTheme="majorBidi" w:cstheme="majorBidi"/>
          <w:lang w:val="en-US"/>
        </w:rPr>
        <w:t xml:space="preserve">  </w:t>
      </w:r>
    </w:p>
    <w:p>
      <w:pPr>
        <w:tabs>
          <w:tab w:val="left" w:pos="660"/>
        </w:tabs>
        <w:spacing w:after="0" w:line="312" w:lineRule="auto"/>
        <w:ind w:left="673" w:leftChars="306" w:right="-103" w:rightChars="-47" w:firstLine="424" w:firstLineChars="193"/>
        <w:contextualSpacing/>
        <w:jc w:val="both"/>
        <w:rPr>
          <w:rFonts w:asciiTheme="majorBidi" w:hAnsiTheme="majorBidi" w:cstheme="majorBidi"/>
        </w:rPr>
      </w:pPr>
      <w:r>
        <w:rPr>
          <w:rFonts w:asciiTheme="majorBidi" w:hAnsiTheme="majorBidi" w:cstheme="majorBidi"/>
        </w:rPr>
        <w:t>Adanya syarat Presiden harus memperhatikan pertimbangan Mahkamah Agung (MA) adalah agar terdapat </w:t>
      </w:r>
      <w:r>
        <w:rPr>
          <w:rFonts w:asciiTheme="majorBidi" w:hAnsiTheme="majorBidi" w:cstheme="majorBidi"/>
          <w:i/>
          <w:iCs/>
        </w:rPr>
        <w:t>check and balances</w:t>
      </w:r>
      <w:r>
        <w:rPr>
          <w:rFonts w:asciiTheme="majorBidi" w:hAnsiTheme="majorBidi" w:cstheme="majorBidi"/>
        </w:rPr>
        <w:t> antara eksekutif dan yudikatif. Jadi setiap pemberian grasi harus memperhatikan pertimbangan MA karena grasi mengenai atau menyangkut putusan hakim. Presiden juga berhak untuk mengabulkan atau menolak grasi yang telah mendapatkan pertimbangan dari MA.</w:t>
      </w:r>
      <w:r>
        <w:rPr>
          <w:rStyle w:val="17"/>
          <w:rFonts w:asciiTheme="majorBidi" w:hAnsiTheme="majorBidi" w:cstheme="majorBidi"/>
        </w:rPr>
        <w:footnoteReference w:id="103"/>
      </w:r>
      <w:r>
        <w:rPr>
          <w:rFonts w:asciiTheme="majorBidi" w:hAnsiTheme="majorBidi" w:cstheme="majorBidi"/>
        </w:rPr>
        <w:t> </w:t>
      </w:r>
    </w:p>
    <w:p>
      <w:pPr>
        <w:tabs>
          <w:tab w:val="left" w:pos="660"/>
        </w:tabs>
        <w:spacing w:after="0" w:line="312" w:lineRule="auto"/>
        <w:ind w:left="673" w:leftChars="306" w:right="-103" w:rightChars="-47" w:firstLine="424" w:firstLineChars="193"/>
        <w:contextualSpacing/>
        <w:jc w:val="both"/>
        <w:rPr>
          <w:rFonts w:ascii="Times New Roman" w:hAnsi="Times New Roman" w:cs="Times New Roman"/>
          <w:lang w:val="en-US"/>
        </w:rPr>
      </w:pPr>
      <w:r>
        <w:rPr>
          <w:rFonts w:ascii="Times New Roman" w:hAnsi="Times New Roman" w:eastAsia="SimSun" w:cs="Times New Roman"/>
        </w:rPr>
        <w:t xml:space="preserve">Menurut laporan tahunan MA tahun 2016, seluruh permohonan grasi di tahun </w:t>
      </w:r>
      <w:r>
        <w:rPr>
          <w:rFonts w:ascii="Times New Roman" w:hAnsi="Times New Roman" w:eastAsia="SimSun" w:cs="Times New Roman"/>
          <w:lang w:val="en-US"/>
        </w:rPr>
        <w:t xml:space="preserve">itu, </w:t>
      </w:r>
      <w:r>
        <w:rPr>
          <w:rFonts w:ascii="Times New Roman" w:hAnsi="Times New Roman" w:eastAsia="SimSun" w:cs="Times New Roman"/>
        </w:rPr>
        <w:t>termasuk milik Merri Utami</w:t>
      </w:r>
      <w:r>
        <w:rPr>
          <w:rFonts w:ascii="Times New Roman" w:hAnsi="Times New Roman" w:eastAsia="SimSun" w:cs="Times New Roman"/>
          <w:lang w:val="en-US"/>
        </w:rPr>
        <w:t xml:space="preserve"> </w:t>
      </w:r>
      <w:r>
        <w:rPr>
          <w:rFonts w:ascii="Times New Roman" w:hAnsi="Times New Roman" w:eastAsia="SimSun" w:cs="Times New Roman"/>
        </w:rPr>
        <w:t xml:space="preserve">telah diproses dan dipertimbangkan hingga </w:t>
      </w:r>
      <w:r>
        <w:rPr>
          <w:rStyle w:val="19"/>
          <w:rFonts w:ascii="Times New Roman" w:hAnsi="Times New Roman" w:eastAsia="SimSun" w:cs="Times New Roman"/>
          <w:b w:val="0"/>
          <w:bCs w:val="0"/>
        </w:rPr>
        <w:t>akhir Desember 2016</w:t>
      </w:r>
      <w:r>
        <w:rPr>
          <w:rFonts w:ascii="Times New Roman" w:hAnsi="Times New Roman" w:eastAsia="SimSun" w:cs="Times New Roman"/>
        </w:rPr>
        <w:t>, yang berarti pertimbangan MA telah dikirim ke Presiden pada periode tersebut</w:t>
      </w:r>
      <w:r>
        <w:rPr>
          <w:rFonts w:ascii="Times New Roman" w:hAnsi="Times New Roman" w:eastAsia="SimSun" w:cs="Times New Roman"/>
          <w:lang w:val="en-US"/>
        </w:rPr>
        <w:t>.</w:t>
      </w:r>
      <w:r>
        <w:rPr>
          <w:rStyle w:val="17"/>
          <w:rFonts w:ascii="Times New Roman" w:hAnsi="Times New Roman" w:eastAsia="SimSun" w:cs="Times New Roman"/>
          <w:lang w:val="en-US"/>
        </w:rPr>
        <w:footnoteReference w:id="104"/>
      </w:r>
      <w:r>
        <w:rPr>
          <w:rFonts w:ascii="Times New Roman" w:hAnsi="Times New Roman" w:eastAsia="SimSun" w:cs="Times New Roman"/>
          <w:lang w:val="en-US"/>
        </w:rPr>
        <w:t xml:space="preserve"> </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sans-serif" w:asciiTheme="majorBidi" w:hAnsiTheme="majorBidi" w:cstheme="majorBidi"/>
          <w:shd w:val="clear" w:color="auto" w:fill="FFFFFF"/>
        </w:rPr>
        <w:t xml:space="preserve">Dalam </w:t>
      </w:r>
      <w:r>
        <w:rPr>
          <w:rFonts w:eastAsia="sans-serif" w:asciiTheme="majorBidi" w:hAnsiTheme="majorBidi" w:cstheme="majorBidi"/>
          <w:shd w:val="clear" w:color="auto" w:fill="FFFFFF"/>
          <w:lang w:val="en-US"/>
        </w:rPr>
        <w:t>Undang-Undang</w:t>
      </w:r>
      <w:r>
        <w:rPr>
          <w:rFonts w:eastAsia="sans-serif" w:asciiTheme="majorBidi" w:hAnsiTheme="majorBidi" w:cstheme="majorBidi"/>
          <w:shd w:val="clear" w:color="auto" w:fill="FFFFFF"/>
        </w:rPr>
        <w:t xml:space="preserve"> grasi bab </w:t>
      </w:r>
      <w:r>
        <w:rPr>
          <w:rFonts w:eastAsia="sans-serif" w:asciiTheme="majorBidi" w:hAnsiTheme="majorBidi" w:cstheme="majorBidi"/>
          <w:shd w:val="clear" w:color="auto" w:fill="FFFFFF"/>
          <w:lang w:val="en-US"/>
        </w:rPr>
        <w:t>III</w:t>
      </w:r>
      <w:r>
        <w:rPr>
          <w:rFonts w:eastAsia="sans-serif" w:asciiTheme="majorBidi" w:hAnsiTheme="majorBidi" w:cstheme="majorBidi"/>
          <w:shd w:val="clear" w:color="auto" w:fill="FFFFFF"/>
        </w:rPr>
        <w:t xml:space="preserve"> tentang tata cara peyelesaian permohonan Grasi Pasal 10 UU No 5 Tahun 2010 yang berbunyi: “</w:t>
      </w:r>
      <w:r>
        <w:rPr>
          <w:rFonts w:eastAsia="SimSun" w:asciiTheme="majorBidi" w:hAnsiTheme="majorBidi" w:cstheme="majorBidi"/>
        </w:rPr>
        <w:t>Dalam jangka waktu paling lambat 30 (tiga puluh) hari terhitung sejak tanggal diterimanya salinan permohonan dan berkas perkara sebagaimana dimaksud dalam Pasal 9, Mahkamah Agung mengirimkan pertimbangan tertulis kepada Presiden”.</w:t>
      </w:r>
      <w:r>
        <w:rPr>
          <w:rStyle w:val="17"/>
          <w:rFonts w:eastAsia="SimSun" w:asciiTheme="majorBidi" w:hAnsiTheme="majorBidi" w:cstheme="majorBidi"/>
        </w:rPr>
        <w:footnoteReference w:id="105"/>
      </w:r>
      <w:r>
        <w:rPr>
          <w:rFonts w:eastAsia="SimSun" w:asciiTheme="majorBidi" w:hAnsiTheme="majorBidi" w:cstheme="majorBidi"/>
          <w:lang w:val="en-US"/>
        </w:rPr>
        <w:t xml:space="preserve"> Pertimbangan yang diberikan Mahkamah Agung mengenai pemberian grasi kepada terpidana, menjadi acuan bagi terpidana agar grasi dikabulkan oleh Presiden. Akan tetapi, pertimbangan dan kenapa Presiden menolak atau menerima grasi tidak disebutkan secara tansparan kepada masyarakat.</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SimSun" w:asciiTheme="majorBidi" w:hAnsiTheme="majorBidi" w:cstheme="majorBidi"/>
        </w:rPr>
        <w:t>Pertimbangan yang perlu diperhatikan Presiden dari Mahkamah Agung adalah</w:t>
      </w:r>
      <w:r>
        <w:rPr>
          <w:rFonts w:eastAsia="SimSun" w:asciiTheme="majorBidi" w:hAnsiTheme="majorBidi" w:cstheme="majorBidi"/>
          <w:lang w:val="en-US"/>
        </w:rPr>
        <w:t xml:space="preserve"> dengan bentuk</w:t>
      </w:r>
      <w:r>
        <w:rPr>
          <w:rFonts w:eastAsia="SimSun" w:asciiTheme="majorBidi" w:hAnsiTheme="majorBidi" w:cstheme="majorBidi"/>
        </w:rPr>
        <w:t xml:space="preserve"> tertulis, paling lambat 30 hari terhitung sejak diterimanya salinan permohonan dan berkas perkara tersebut. Setelah Mahkamah Agung memberikan pertimbangan kepada Presiden, Presiden memiliki wewenang untuk menerima atau menolak pemberian grasi tersebut. Kputusan Presiden tersebut bersifat final tidak bisa diganggu gugat oleh siapapun. Karena grasi merupakan hak proregatif presiden yaitu merujuk pada kekuasaan dan kewenangan khusus yang dimiliki, yang dapat digunakan untuk megambil keputusan tanpa perlu persetujuan dari pihak manapun. Baik itu memberikan grasi berupa pengampuanan atau keringanan yang telah dijatuhi hukuman pidana. Meskipun Mahkamah Agung memberikan pertimbangan, </w:t>
      </w:r>
      <w:r>
        <w:rPr>
          <w:rFonts w:eastAsia="SimSun" w:asciiTheme="majorBidi" w:hAnsiTheme="majorBidi" w:cstheme="majorBidi"/>
          <w:lang w:val="en-US"/>
        </w:rPr>
        <w:t>Namun</w:t>
      </w:r>
      <w:r>
        <w:rPr>
          <w:rFonts w:eastAsia="SimSun" w:asciiTheme="majorBidi" w:hAnsiTheme="majorBidi" w:cstheme="majorBidi"/>
        </w:rPr>
        <w:t xml:space="preserve"> keputusan tetap berada di tangan Presiden.</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rPr>
      </w:pPr>
      <w:r>
        <w:rPr>
          <w:rFonts w:eastAsia="Times New Roman" w:asciiTheme="majorBidi" w:hAnsiTheme="majorBidi" w:cstheme="majorBidi"/>
          <w:kern w:val="0"/>
          <w:lang w:val="en-US"/>
          <w14:ligatures w14:val="none"/>
        </w:rPr>
        <w:t>Keputusan Presiden atas permohonan grasi ditetapkan dalam waktu paling lambat tiga bulan sejak salinan putusan Peninjauan Kembali diterima, sebagaimana diatur dalam Pasal 14 Ayat (2) UU No. 5 Tahun 2010.</w:t>
      </w:r>
      <w:r>
        <w:rPr>
          <w:rFonts w:eastAsia="SimSun" w:asciiTheme="majorBidi" w:hAnsiTheme="majorBidi" w:cstheme="majorBidi"/>
          <w:lang w:val="en-US"/>
        </w:rPr>
        <w:t xml:space="preserve"> </w:t>
      </w:r>
      <w:r>
        <w:rPr>
          <w:rFonts w:eastAsia="SimSun" w:asciiTheme="majorBidi" w:hAnsiTheme="majorBidi" w:cstheme="majorBidi"/>
        </w:rPr>
        <w:t>yang berbunyi: “Keputusan permohonan grasi sebagaimana dimaksud pada Ayat (1) ditetapkan dalam jangka waktu paling lambat 3 (tiga) bulan terhitung sejak salinan putusan Peninjauan Kembali diterima Presiden.”</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lang w:val="en-US"/>
        </w:rPr>
      </w:pPr>
      <w:r>
        <w:rPr>
          <w:rFonts w:eastAsia="SimSun" w:asciiTheme="majorBidi" w:hAnsiTheme="majorBidi" w:cstheme="majorBidi"/>
          <w:lang w:val="en-US"/>
        </w:rPr>
        <w:t>Sampai Oktober 2022, Keppres belum turun dari Presiden, kuasa hukum MU mengajukan peninjauan kembali yang ke-2 pada 7 Oktober 2022. pengajuan PK tidak diterima karena beralasan tidak memenuhi syarat formal.</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lang w:val="en-US"/>
        </w:rPr>
      </w:pPr>
      <w:r>
        <w:rPr>
          <w:rFonts w:eastAsia="SimSun" w:asciiTheme="majorBidi" w:hAnsiTheme="majorBidi" w:cstheme="majorBidi"/>
          <w:lang w:val="en-US"/>
        </w:rPr>
        <w:t>Selang kurang dari 7 tahun, akhirnnya grasi MU turun pada 27 Februari tahun 2023 dengan Keppres Nomor 1/G/2023. Dan, merubah status hukuman MU yang sebelumnya hukuman mati menjadi seumur hidup. Penantian yang lama sampai kurang lebih 22 tahun di dalam dekaman penjara. Grasi ini merupakan grasi pertama yang diberikan Presiden Jokowi terhadap terpidana mati kasus narkotika.</w:t>
      </w:r>
    </w:p>
    <w:p>
      <w:pPr>
        <w:tabs>
          <w:tab w:val="left" w:pos="660"/>
        </w:tabs>
        <w:spacing w:after="0" w:line="312" w:lineRule="auto"/>
        <w:ind w:left="673" w:leftChars="306" w:right="-103" w:rightChars="-47" w:firstLine="424" w:firstLineChars="193"/>
        <w:contextualSpacing/>
        <w:jc w:val="both"/>
        <w:rPr>
          <w:rFonts w:eastAsia="SimSun" w:asciiTheme="majorBidi" w:hAnsiTheme="majorBidi" w:cstheme="majorBidi"/>
          <w:lang w:val="en-US"/>
        </w:rPr>
      </w:pPr>
      <w:r>
        <w:rPr>
          <w:rFonts w:eastAsia="SimSun" w:asciiTheme="majorBidi" w:hAnsiTheme="majorBidi" w:cstheme="majorBidi"/>
          <w:lang w:val="en-US"/>
        </w:rPr>
        <w:t>Sangat disayangkan kepastian hukum mengenai turunnya keputusan grasi MU lebih dari 3 bulan, bahkan kurang lebih 7 Tahun baru turun. Kejadian ini seharusnya menjadi evaluasi untuk ke depannya agar lebih baik lagi dalam memutuskan keputusan, bahkan perlu diperhatikandan menjadi pertimbangan dalam batas maksimal berapa lama keputusan grasi diberikan kepada terpidana oleh Presiden.</w:t>
      </w:r>
    </w:p>
    <w:p>
      <w:pPr>
        <w:numPr>
          <w:ilvl w:val="0"/>
          <w:numId w:val="57"/>
        </w:numPr>
        <w:spacing w:after="0" w:line="312" w:lineRule="auto"/>
        <w:ind w:left="677" w:leftChars="200" w:hanging="237" w:hangingChars="108"/>
        <w:contextualSpacing/>
        <w:jc w:val="both"/>
        <w:rPr>
          <w:rFonts w:asciiTheme="majorBidi" w:hAnsiTheme="majorBidi" w:cstheme="majorBidi"/>
        </w:rPr>
      </w:pPr>
      <w:r>
        <w:rPr>
          <w:rFonts w:asciiTheme="majorBidi" w:hAnsiTheme="majorBidi" w:cstheme="majorBidi"/>
          <w:lang w:val="en-US"/>
        </w:rPr>
        <w:t>Analisis Proses Pemberian Grasi Keppres Nomor 1/G/2023</w:t>
      </w:r>
    </w:p>
    <w:p>
      <w:pPr>
        <w:tabs>
          <w:tab w:val="left" w:pos="660"/>
        </w:tabs>
        <w:spacing w:after="0" w:line="312" w:lineRule="auto"/>
        <w:ind w:left="660" w:leftChars="300" w:firstLine="440" w:firstLineChars="200"/>
        <w:contextualSpacing/>
        <w:jc w:val="both"/>
        <w:rPr>
          <w:rFonts w:asciiTheme="majorBidi" w:hAnsiTheme="majorBidi" w:cstheme="majorBidi"/>
          <w:lang w:val="en-US"/>
        </w:rPr>
      </w:pPr>
      <w:r>
        <w:rPr>
          <w:rFonts w:asciiTheme="majorBidi" w:hAnsiTheme="majorBidi" w:cstheme="majorBidi"/>
          <w:lang w:val="en-US"/>
        </w:rPr>
        <w:t xml:space="preserve">Pemberian grasi kepada terpidana mati MU, terdapat keterlambatan atau ketidaksesuaian dengan peraturan Undang-Undang grasi dalam proses pelaksanaan pemberian grasi. Hal ini seharusnya perhatian lembaga dalam penegakan hukum agar sesuai dengan peraturan yang berlaku. </w:t>
      </w:r>
    </w:p>
    <w:p>
      <w:pPr>
        <w:tabs>
          <w:tab w:val="left" w:pos="660"/>
        </w:tabs>
        <w:spacing w:after="0" w:line="312" w:lineRule="auto"/>
        <w:ind w:left="660" w:leftChars="300" w:firstLine="440" w:firstLineChars="200"/>
        <w:contextualSpacing/>
        <w:jc w:val="both"/>
        <w:rPr>
          <w:rFonts w:asciiTheme="majorBidi" w:hAnsiTheme="majorBidi" w:cstheme="majorBidi"/>
          <w:lang w:val="en-US"/>
        </w:rPr>
      </w:pPr>
      <w:r>
        <w:rPr>
          <w:rFonts w:asciiTheme="majorBidi" w:hAnsiTheme="majorBidi" w:cstheme="majorBidi"/>
          <w:lang w:val="en-US"/>
        </w:rPr>
        <w:t>Dalam putusan terdapat kurangnya kepastian hukum, yaitu:</w:t>
      </w:r>
    </w:p>
    <w:p>
      <w:pPr>
        <w:tabs>
          <w:tab w:val="left" w:pos="800"/>
        </w:tabs>
        <w:spacing w:after="0" w:line="312" w:lineRule="auto"/>
        <w:ind w:left="880" w:leftChars="400"/>
        <w:contextualSpacing/>
        <w:jc w:val="center"/>
        <w:rPr>
          <w:rFonts w:asciiTheme="majorBidi" w:hAnsiTheme="majorBidi" w:cstheme="majorBidi"/>
          <w:b/>
          <w:bCs/>
          <w:lang w:val="en-US"/>
        </w:rPr>
      </w:pPr>
      <w:r>
        <w:rPr>
          <w:rFonts w:asciiTheme="majorBidi" w:hAnsiTheme="majorBidi" w:cstheme="majorBidi"/>
          <w:b/>
          <w:bCs/>
          <w:lang w:val="en-US"/>
        </w:rPr>
        <w:t xml:space="preserve">Tabel 4.1 </w:t>
      </w:r>
      <w:r>
        <w:rPr>
          <w:rFonts w:asciiTheme="majorBidi" w:hAnsiTheme="majorBidi" w:cstheme="majorBidi"/>
          <w:lang w:val="en-US"/>
        </w:rPr>
        <w:t>Kepastian Hukum Keppres Nomor 1/G/2023</w:t>
      </w:r>
    </w:p>
    <w:tbl>
      <w:tblPr>
        <w:tblStyle w:val="21"/>
        <w:tblW w:w="5228"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2300"/>
        <w:gridCol w:w="2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vAlign w:val="center"/>
          </w:tcPr>
          <w:p>
            <w:pPr>
              <w:spacing w:after="0" w:line="360" w:lineRule="auto"/>
              <w:jc w:val="center"/>
              <w:rPr>
                <w:rFonts w:ascii="Times New Roman" w:hAnsi="Times New Roman" w:cs="Times New Roman"/>
                <w:lang w:val="en-US" w:eastAsia="zh-CN"/>
              </w:rPr>
            </w:pPr>
            <w:r>
              <w:rPr>
                <w:rFonts w:ascii="Times New Roman" w:hAnsi="Times New Roman" w:cs="Times New Roman"/>
                <w:lang w:val="en-US" w:eastAsia="zh-CN"/>
              </w:rPr>
              <w:t>No</w:t>
            </w:r>
          </w:p>
        </w:tc>
        <w:tc>
          <w:tcPr>
            <w:tcW w:w="2300" w:type="dxa"/>
            <w:vAlign w:val="center"/>
          </w:tcPr>
          <w:p>
            <w:pPr>
              <w:spacing w:after="0" w:line="360" w:lineRule="auto"/>
              <w:jc w:val="center"/>
              <w:rPr>
                <w:rFonts w:ascii="Times New Roman" w:hAnsi="Times New Roman" w:cs="Times New Roman"/>
                <w:lang w:val="en-US" w:eastAsia="zh-CN"/>
              </w:rPr>
            </w:pPr>
            <w:r>
              <w:rPr>
                <w:rFonts w:ascii="Times New Roman" w:hAnsi="Times New Roman" w:cs="Times New Roman"/>
                <w:lang w:val="en-US" w:eastAsia="zh-CN"/>
              </w:rPr>
              <w:t>Undang-Undang Dasar 1945</w:t>
            </w:r>
          </w:p>
        </w:tc>
        <w:tc>
          <w:tcPr>
            <w:tcW w:w="2356" w:type="dxa"/>
            <w:vAlign w:val="center"/>
          </w:tcPr>
          <w:p>
            <w:pPr>
              <w:spacing w:after="0" w:line="360" w:lineRule="auto"/>
              <w:jc w:val="center"/>
              <w:rPr>
                <w:rFonts w:ascii="Times New Roman" w:hAnsi="Times New Roman" w:cs="Times New Roman"/>
                <w:lang w:val="en-US" w:eastAsia="zh-CN"/>
              </w:rPr>
            </w:pPr>
            <w:r>
              <w:rPr>
                <w:rFonts w:ascii="Times New Roman" w:hAnsi="Times New Roman" w:cs="Times New Roman"/>
                <w:lang w:val="en-US" w:eastAsia="zh-CN"/>
              </w:rPr>
              <w:t>Keputusan Grasi Nomor 1/G/2023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tcPr>
          <w:p>
            <w:pPr>
              <w:spacing w:after="0" w:line="360" w:lineRule="auto"/>
              <w:rPr>
                <w:rFonts w:ascii="Times New Roman" w:hAnsi="Times New Roman" w:cs="Times New Roman"/>
                <w:lang w:val="en-US" w:eastAsia="zh-CN"/>
              </w:rPr>
            </w:pPr>
            <w:r>
              <w:rPr>
                <w:rFonts w:ascii="Times New Roman" w:hAnsi="Times New Roman" w:cs="Times New Roman"/>
                <w:lang w:val="en-US" w:eastAsia="zh-CN"/>
              </w:rPr>
              <w:t>1.</w:t>
            </w:r>
          </w:p>
        </w:tc>
        <w:tc>
          <w:tcPr>
            <w:tcW w:w="2300" w:type="dxa"/>
            <w:vAlign w:val="center"/>
          </w:tcPr>
          <w:p>
            <w:pPr>
              <w:spacing w:after="0" w:line="360" w:lineRule="auto"/>
              <w:jc w:val="both"/>
              <w:rPr>
                <w:rFonts w:ascii="Times New Roman" w:hAnsi="Times New Roman" w:cs="Times New Roman"/>
                <w:lang w:val="en-US" w:eastAsia="zh-CN"/>
              </w:rPr>
            </w:pPr>
            <w:r>
              <w:rPr>
                <w:rFonts w:asciiTheme="majorBidi" w:hAnsiTheme="majorBidi" w:cstheme="majorBidi"/>
                <w:lang w:val="en-US" w:eastAsia="zh-CN"/>
              </w:rPr>
              <w:t>Pasal 11 Ayat 3 UU Grasi Nomor 5 Tahun 2010: “Jangka waktu pemberian atau penolakan grasi sebagaimana dimaksud pada Ayat (2) paling lambat (3) tiga bulan terhidung sejak diterimanya pertimbangan Mahkamah Agung.”</w:t>
            </w:r>
          </w:p>
        </w:tc>
        <w:tc>
          <w:tcPr>
            <w:tcW w:w="2356" w:type="dxa"/>
            <w:vAlign w:val="center"/>
          </w:tcPr>
          <w:p>
            <w:pPr>
              <w:spacing w:after="0" w:line="312" w:lineRule="auto"/>
              <w:ind w:firstLine="4"/>
              <w:contextualSpacing/>
              <w:jc w:val="both"/>
              <w:rPr>
                <w:rFonts w:asciiTheme="majorBidi" w:hAnsiTheme="majorBidi" w:cstheme="majorBidi"/>
                <w:lang w:eastAsia="zh-CN"/>
              </w:rPr>
            </w:pPr>
            <w:r>
              <w:rPr>
                <w:rFonts w:asciiTheme="majorBidi" w:hAnsiTheme="majorBidi" w:cstheme="majorBidi"/>
                <w:lang w:val="en-US" w:eastAsia="zh-CN"/>
              </w:rPr>
              <w:t>seharusnya keputusan grasi keluar maksimal 3 bulan setelah pemberian pertimbangan dari Mahkamah Agung paling lambat 30 hari setelah permohonan di terima Presiden. Akan tetapi keputusan grasi MU keluar 7 Tahun setelah permohonan grasi diajukan.</w:t>
            </w:r>
          </w:p>
          <w:p>
            <w:pPr>
              <w:spacing w:after="0" w:line="360" w:lineRule="auto"/>
              <w:jc w:val="both"/>
              <w:rPr>
                <w:rFonts w:ascii="Times New Roman" w:hAnsi="Times New Roman" w:cs="Times New Roma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tcPr>
          <w:p>
            <w:pPr>
              <w:spacing w:after="0" w:line="360" w:lineRule="auto"/>
              <w:rPr>
                <w:rFonts w:ascii="Times New Roman" w:hAnsi="Times New Roman" w:cs="Times New Roman"/>
                <w:lang w:val="en-US" w:eastAsia="zh-CN"/>
              </w:rPr>
            </w:pPr>
            <w:r>
              <w:rPr>
                <w:rFonts w:ascii="Times New Roman" w:hAnsi="Times New Roman" w:cs="Times New Roman"/>
                <w:lang w:val="en-US" w:eastAsia="zh-CN"/>
              </w:rPr>
              <w:t>2.</w:t>
            </w:r>
          </w:p>
        </w:tc>
        <w:tc>
          <w:tcPr>
            <w:tcW w:w="2300" w:type="dxa"/>
            <w:vAlign w:val="center"/>
          </w:tcPr>
          <w:p>
            <w:pPr>
              <w:spacing w:after="0" w:line="360" w:lineRule="auto"/>
              <w:jc w:val="both"/>
              <w:rPr>
                <w:rFonts w:ascii="Times New Roman" w:hAnsi="Times New Roman" w:cs="Times New Roman"/>
                <w:lang w:val="en-US" w:eastAsia="zh-CN"/>
              </w:rPr>
            </w:pPr>
            <w:r>
              <w:rPr>
                <w:rFonts w:asciiTheme="majorBidi" w:hAnsiTheme="majorBidi" w:cstheme="majorBidi"/>
                <w:lang w:val="en-US" w:eastAsia="zh-CN"/>
              </w:rPr>
              <w:t>Pasal 12 Ayat 4 KUHP: “Pidana penjara selama waktu tertentu sekali-kali tidak boleh melebihi 20 Tahun”.</w:t>
            </w:r>
          </w:p>
        </w:tc>
        <w:tc>
          <w:tcPr>
            <w:tcW w:w="2356" w:type="dxa"/>
            <w:vAlign w:val="center"/>
          </w:tcPr>
          <w:p>
            <w:pPr>
              <w:spacing w:after="0" w:line="360" w:lineRule="auto"/>
              <w:jc w:val="both"/>
              <w:rPr>
                <w:rFonts w:ascii="Times New Roman" w:hAnsi="Times New Roman" w:cs="Times New Roman"/>
                <w:lang w:val="en-US" w:eastAsia="zh-CN"/>
              </w:rPr>
            </w:pPr>
            <w:r>
              <w:rPr>
                <w:rFonts w:asciiTheme="majorBidi" w:hAnsiTheme="majorBidi" w:cstheme="majorBidi"/>
                <w:lang w:val="en-US" w:eastAsia="zh-CN"/>
              </w:rPr>
              <w:t>Masa tahanan penjara MU lebih dari 23 Tahun sejak Tahun 2001 sampai turun keputusan grasi pada Tahun 2023.</w:t>
            </w:r>
          </w:p>
        </w:tc>
      </w:tr>
    </w:tbl>
    <w:p>
      <w:pPr>
        <w:tabs>
          <w:tab w:val="left" w:pos="800"/>
        </w:tabs>
        <w:spacing w:after="0" w:line="312" w:lineRule="auto"/>
        <w:ind w:left="400"/>
        <w:contextualSpacing/>
        <w:jc w:val="both"/>
        <w:rPr>
          <w:rFonts w:asciiTheme="majorBidi" w:hAnsiTheme="majorBidi" w:cstheme="majorBidi"/>
          <w:b/>
          <w:bCs/>
        </w:rPr>
      </w:pPr>
    </w:p>
    <w:p>
      <w:pPr>
        <w:tabs>
          <w:tab w:val="left" w:pos="800"/>
        </w:tabs>
        <w:spacing w:after="0" w:line="312" w:lineRule="auto"/>
        <w:ind w:left="876" w:leftChars="398" w:right="-156" w:rightChars="-71" w:firstLine="402" w:firstLineChars="183"/>
        <w:contextualSpacing/>
        <w:jc w:val="both"/>
        <w:rPr>
          <w:rFonts w:asciiTheme="majorBidi" w:hAnsiTheme="majorBidi" w:cstheme="majorBidi"/>
        </w:rPr>
      </w:pPr>
      <w:r>
        <w:rPr>
          <w:rFonts w:asciiTheme="majorBidi" w:hAnsiTheme="majorBidi" w:cstheme="majorBidi"/>
          <w:lang w:val="en-US"/>
        </w:rPr>
        <w:t>Kepastian hukum dalam Keppres Nomor 1/G/2025 dianggap kurang, karena ada yang tidak sesuai dengan peraturan grasi. Seharusnya hasil keputusan grasi keluar 3 bulan setelah pengajuan grasi diajukan kepada Presiden. Akan tetapi, keputusan ini keluar setelah kurang lebih 7 Tahun menungu. Sesuai Pasal 11 poin 3 UU Grasi Nomer 5 Tahun 2010 yang berbunyi: “Jangka waktu pemberian atau penolakan grasi sebagaimana dimaksud pada Ayat (2) paling lambat (3) tiga bulan terhidung sejak diterimanya pertimbangan Mahkamah Agung.”</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rPr>
      </w:pPr>
      <w:r>
        <w:rPr>
          <w:rFonts w:asciiTheme="majorBidi" w:hAnsiTheme="majorBidi" w:cstheme="majorBidi"/>
          <w:lang w:val="en-US"/>
        </w:rPr>
        <w:t xml:space="preserve">Sebagaimana di maksud dalam Pasal 10 UU No 5 Tahun 2010 Undang-Undang tentang grasi, yang berbunyi: “Dalam jangka waktu (30) tiga puluh hari terhitung sejak tanggal diterimanya salinan permohonan dan berkas perkara sebagaimana dimaksud dalam Pasal 9, Makamah Agung mengirimkan perimbangan tertulis kepada Presiden”. </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rPr>
      </w:pPr>
      <w:r>
        <w:rPr>
          <w:rFonts w:asciiTheme="majorBidi" w:hAnsiTheme="majorBidi" w:cstheme="majorBidi"/>
          <w:lang w:val="en-US"/>
        </w:rPr>
        <w:t>Dari penjelasan peraturan Undang-undang di atas, kepastian hukum terhadap putusan grasi MU kurang, karena tidak sesuai Pasal 11 point 3 UU Grasi Nomor 5 Tahun 2010. seharusnya keputusan grasi keluar maksimal 3 bulan setelah pemberian pertimbangan dari Mahkamah Agung paling lambat 30 hari setelah permohonan di terima Presiden. Akan tetapi keputusan grasi MU keluar 7 Tahun setelah permohonan grasi diajukan.</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rPr>
      </w:pPr>
      <w:r>
        <w:rPr>
          <w:rFonts w:asciiTheme="majorBidi" w:hAnsiTheme="majorBidi" w:cstheme="majorBidi"/>
          <w:lang w:val="en-US"/>
        </w:rPr>
        <w:t>Selain itu kepastian hukum berdasarkan Pasal 12 Point 4 yang berbunyi: “Pidana penjara selama waktu tertentu sekali-kali tidak boleh melebihi 20 Tahun”. Namun, masa penjara MU lebih dari 23 Tahun sejak Tahun 2001 sampai turun keputusan grasi pada Tahun 2023. Hal ini menggambarkan bahwa peraturan hukum dan berjalannya teknis hukum tidak sesuai. Perlu adanya evaluasi untuk perbaikan berjalannya teknis hukum agar lebih memperhatikan waktu agar sesuai dengan pertauran yang berlaku.</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rPr>
      </w:pPr>
      <w:r>
        <w:rPr>
          <w:rFonts w:asciiTheme="majorBidi" w:hAnsiTheme="majorBidi" w:cstheme="majorBidi"/>
        </w:rPr>
        <w:t>Pasal 12 Ayat (4) KUHP menetapkan batasan pidana penjara selama waktu tertentu adalah paling lama 20 Tahun berturut-turut. Ini berarti, pidana penjara yang dijatuhkan tidak boleh lebih dari 20 Tahun, bahkan jika kejahatan yang dilakukan memiliki kemungkinan dijatuhkan pidana mati atau penjara seumur hidup.</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lang w:val="en-US"/>
        </w:rPr>
      </w:pPr>
      <w:r>
        <w:rPr>
          <w:rFonts w:asciiTheme="majorBidi" w:hAnsiTheme="majorBidi" w:cstheme="majorBidi"/>
          <w:lang w:val="en-US"/>
        </w:rPr>
        <w:t>Kalau dilihat dari awal proses pengajuan grasi sampai pertimbangan Mahkamah Agung, sudah selesai sampai akhir Desember 2016. Akan tetapi Presiden memberikan grasi pada tahun 2023.</w:t>
      </w:r>
    </w:p>
    <w:p>
      <w:pPr>
        <w:tabs>
          <w:tab w:val="left" w:pos="800"/>
        </w:tabs>
        <w:spacing w:after="0" w:line="312" w:lineRule="auto"/>
        <w:ind w:left="876" w:leftChars="398" w:right="-156" w:rightChars="-71" w:firstLine="402" w:firstLineChars="183"/>
        <w:contextualSpacing/>
        <w:jc w:val="both"/>
        <w:rPr>
          <w:rFonts w:asciiTheme="majorBidi" w:hAnsiTheme="majorBidi" w:cstheme="majorBidi"/>
          <w:lang w:val="en-US"/>
        </w:rPr>
      </w:pPr>
      <w:r>
        <w:rPr>
          <w:rFonts w:asciiTheme="majorBidi" w:hAnsiTheme="majorBidi" w:cstheme="majorBidi"/>
          <w:lang w:val="en-US"/>
        </w:rPr>
        <w:t>Karena adanya keterlambatan dalam proses pemberian grasi ini, penulis menganalisis ada beberapa penyebab yang mempengaruhi efektifitas lembaga hukum, yaitu:</w:t>
      </w:r>
    </w:p>
    <w:p>
      <w:pPr>
        <w:numPr>
          <w:ilvl w:val="0"/>
          <w:numId w:val="58"/>
        </w:numPr>
        <w:tabs>
          <w:tab w:val="left" w:pos="1320"/>
          <w:tab w:val="clear" w:pos="425"/>
        </w:tabs>
        <w:spacing w:after="0" w:line="312" w:lineRule="auto"/>
        <w:ind w:left="1309" w:leftChars="400" w:right="-156" w:rightChars="-71" w:hanging="429" w:hangingChars="195"/>
        <w:contextualSpacing/>
        <w:jc w:val="both"/>
        <w:rPr>
          <w:rFonts w:asciiTheme="majorBidi" w:hAnsiTheme="majorBidi" w:cstheme="majorBidi"/>
          <w:lang w:val="en-US"/>
        </w:rPr>
      </w:pPr>
      <w:r>
        <w:rPr>
          <w:rFonts w:asciiTheme="majorBidi" w:hAnsiTheme="majorBidi" w:cstheme="majorBidi"/>
          <w:lang w:val="en-US"/>
        </w:rPr>
        <w:t xml:space="preserve">Tidak Adanya Pedoman Pelaksanaan Teknis Secara Rinci </w:t>
      </w:r>
    </w:p>
    <w:p>
      <w:pPr>
        <w:pStyle w:val="11"/>
        <w:tabs>
          <w:tab w:val="left" w:pos="1320"/>
        </w:tabs>
        <w:spacing w:beforeAutospacing="0" w:afterAutospacing="0" w:line="312" w:lineRule="auto"/>
        <w:ind w:left="1320" w:leftChars="600" w:firstLine="402" w:firstLineChars="183"/>
        <w:jc w:val="both"/>
        <w:rPr>
          <w:sz w:val="22"/>
          <w:szCs w:val="22"/>
        </w:rPr>
      </w:pPr>
      <w:r>
        <w:rPr>
          <w:sz w:val="22"/>
          <w:szCs w:val="22"/>
        </w:rPr>
        <w:t xml:space="preserve">Salah satu hambatan utama dalam proses pemberian grasi di Indonesia, termasuk dalam kasus Merri Utami, adalah </w:t>
      </w:r>
      <w:r>
        <w:rPr>
          <w:rStyle w:val="19"/>
          <w:b w:val="0"/>
          <w:bCs w:val="0"/>
          <w:sz w:val="22"/>
          <w:szCs w:val="22"/>
        </w:rPr>
        <w:t>tidak adanya pedoman teknis yang rinci</w:t>
      </w:r>
      <w:r>
        <w:rPr>
          <w:sz w:val="22"/>
          <w:szCs w:val="22"/>
        </w:rPr>
        <w:t xml:space="preserve"> sebagai acuan operasional bagi instansi-instansi terkait. Meskipun secara normatif telah diatur dalam </w:t>
      </w:r>
      <w:r>
        <w:fldChar w:fldCharType="begin"/>
      </w:r>
      <w:r>
        <w:instrText xml:space="preserve"> HYPERLINK "https://chatgpt.com?q=Undang-Undang%20Nomor%2022%20Tahun%202002" </w:instrText>
      </w:r>
      <w:r>
        <w:fldChar w:fldCharType="separate"/>
      </w:r>
      <w:r>
        <w:rPr>
          <w:rStyle w:val="18"/>
          <w:color w:val="auto"/>
          <w:sz w:val="22"/>
          <w:szCs w:val="22"/>
          <w:u w:val="none"/>
        </w:rPr>
        <w:t>Undang-Undang Nomor 22 Tahun 2002</w:t>
      </w:r>
      <w:r>
        <w:rPr>
          <w:rStyle w:val="18"/>
          <w:color w:val="auto"/>
          <w:sz w:val="22"/>
          <w:szCs w:val="22"/>
          <w:u w:val="none"/>
        </w:rPr>
        <w:fldChar w:fldCharType="end"/>
      </w:r>
      <w:r>
        <w:rPr>
          <w:sz w:val="22"/>
          <w:szCs w:val="22"/>
        </w:rPr>
        <w:t xml:space="preserve"> tentang Grasi sebagaimana telah diubah dengan </w:t>
      </w:r>
      <w:r>
        <w:fldChar w:fldCharType="begin"/>
      </w:r>
      <w:r>
        <w:instrText xml:space="preserve"> HYPERLINK "https://chatgpt.com?q=Undang-Undang%20Nomor%205%20Tahun%202010" </w:instrText>
      </w:r>
      <w:r>
        <w:fldChar w:fldCharType="separate"/>
      </w:r>
      <w:r>
        <w:rPr>
          <w:rStyle w:val="18"/>
          <w:color w:val="auto"/>
          <w:sz w:val="22"/>
          <w:szCs w:val="22"/>
          <w:u w:val="none"/>
        </w:rPr>
        <w:t>Undang-Undang Nomor 5 Tahun 2010</w:t>
      </w:r>
      <w:r>
        <w:rPr>
          <w:rStyle w:val="18"/>
          <w:color w:val="auto"/>
          <w:sz w:val="22"/>
          <w:szCs w:val="22"/>
          <w:u w:val="none"/>
        </w:rPr>
        <w:fldChar w:fldCharType="end"/>
      </w:r>
      <w:r>
        <w:rPr>
          <w:sz w:val="22"/>
          <w:szCs w:val="22"/>
        </w:rPr>
        <w:t xml:space="preserve">, namun </w:t>
      </w:r>
      <w:r>
        <w:rPr>
          <w:rStyle w:val="19"/>
          <w:b w:val="0"/>
          <w:bCs w:val="0"/>
          <w:sz w:val="22"/>
          <w:szCs w:val="22"/>
        </w:rPr>
        <w:t xml:space="preserve">aturan pelaksanaan di tingkat teknis seperti petunjuk pelaksanaan (juklak) atau petunjuk teknis (juknis) </w:t>
      </w:r>
      <w:r>
        <w:rPr>
          <w:sz w:val="22"/>
          <w:szCs w:val="22"/>
        </w:rPr>
        <w:t>masih sangat minim. Hal ini menyebabkan ketidakteraturan dalam pelaksanaan dan membuka ruang interpretasi yang berbeda-beda antar lembaga.</w:t>
      </w:r>
    </w:p>
    <w:p>
      <w:pPr>
        <w:pStyle w:val="11"/>
        <w:tabs>
          <w:tab w:val="left" w:pos="1320"/>
        </w:tabs>
        <w:spacing w:beforeAutospacing="0" w:afterAutospacing="0" w:line="312" w:lineRule="auto"/>
        <w:ind w:left="1320" w:leftChars="600" w:firstLine="402" w:firstLineChars="183"/>
        <w:jc w:val="both"/>
        <w:rPr>
          <w:sz w:val="22"/>
          <w:szCs w:val="22"/>
        </w:rPr>
      </w:pPr>
      <w:r>
        <w:rPr>
          <w:sz w:val="22"/>
          <w:szCs w:val="22"/>
        </w:rPr>
        <w:t xml:space="preserve">Ketiadaan pedoman teknis tersebut berdampak pada lamanya proses birokrasi, ketidakpastian waktu penyelesaian, serta ketidaksinkronan antara pihak-pihak yang terlibat, seperti </w:t>
      </w:r>
      <w:r>
        <w:fldChar w:fldCharType="begin"/>
      </w:r>
      <w:r>
        <w:instrText xml:space="preserve"> HYPERLINK "https://chatgpt.com?q=Mahkamah%20Agung" </w:instrText>
      </w:r>
      <w:r>
        <w:fldChar w:fldCharType="separate"/>
      </w:r>
      <w:r>
        <w:rPr>
          <w:rStyle w:val="18"/>
          <w:color w:val="auto"/>
          <w:sz w:val="22"/>
          <w:szCs w:val="22"/>
          <w:u w:val="none"/>
        </w:rPr>
        <w:t>Mahkamah Agung</w:t>
      </w:r>
      <w:r>
        <w:rPr>
          <w:rStyle w:val="18"/>
          <w:color w:val="auto"/>
          <w:sz w:val="22"/>
          <w:szCs w:val="22"/>
          <w:u w:val="none"/>
        </w:rPr>
        <w:fldChar w:fldCharType="end"/>
      </w:r>
      <w:r>
        <w:rPr>
          <w:sz w:val="22"/>
          <w:szCs w:val="22"/>
        </w:rPr>
        <w:t xml:space="preserve">, </w:t>
      </w:r>
      <w:r>
        <w:fldChar w:fldCharType="begin"/>
      </w:r>
      <w:r>
        <w:instrText xml:space="preserve"> HYPERLINK "https://chatgpt.com?q=Kementerian%20Hukum%20dan%20HAM" </w:instrText>
      </w:r>
      <w:r>
        <w:fldChar w:fldCharType="separate"/>
      </w:r>
      <w:r>
        <w:rPr>
          <w:rStyle w:val="18"/>
          <w:color w:val="auto"/>
          <w:sz w:val="22"/>
          <w:szCs w:val="22"/>
          <w:u w:val="none"/>
        </w:rPr>
        <w:t>Kementerian Hukum dan HAM</w:t>
      </w:r>
      <w:r>
        <w:rPr>
          <w:rStyle w:val="18"/>
          <w:color w:val="auto"/>
          <w:sz w:val="22"/>
          <w:szCs w:val="22"/>
          <w:u w:val="none"/>
        </w:rPr>
        <w:fldChar w:fldCharType="end"/>
      </w:r>
      <w:r>
        <w:rPr>
          <w:sz w:val="22"/>
          <w:szCs w:val="22"/>
        </w:rPr>
        <w:t xml:space="preserve">, dan </w:t>
      </w:r>
      <w:r>
        <w:fldChar w:fldCharType="begin"/>
      </w:r>
      <w:r>
        <w:instrText xml:space="preserve"> HYPERLINK "https://chatgpt.com?q=Sekretariat%20Negara" </w:instrText>
      </w:r>
      <w:r>
        <w:fldChar w:fldCharType="separate"/>
      </w:r>
      <w:r>
        <w:rPr>
          <w:rStyle w:val="18"/>
          <w:color w:val="auto"/>
          <w:sz w:val="22"/>
          <w:szCs w:val="22"/>
          <w:u w:val="none"/>
        </w:rPr>
        <w:t>Sekretariat Negara</w:t>
      </w:r>
      <w:r>
        <w:rPr>
          <w:rStyle w:val="18"/>
          <w:color w:val="auto"/>
          <w:sz w:val="22"/>
          <w:szCs w:val="22"/>
          <w:u w:val="none"/>
        </w:rPr>
        <w:fldChar w:fldCharType="end"/>
      </w:r>
      <w:r>
        <w:rPr>
          <w:sz w:val="22"/>
          <w:szCs w:val="22"/>
        </w:rPr>
        <w:t>. Dalam kasus Merri Utami, misalnya, terdapat jeda waktu yang cukup panjang antara pengajuan grasi, pertimbangan dari MA, hingga keputusan Presiden. Hal ini menunjukkan bahwa tanpa mekanisme teknis yang terstandar, proses grasi dapat berjalan lambat dan tidak efektif.</w:t>
      </w:r>
    </w:p>
    <w:p>
      <w:pPr>
        <w:pStyle w:val="11"/>
        <w:tabs>
          <w:tab w:val="left" w:pos="1320"/>
        </w:tabs>
        <w:spacing w:beforeAutospacing="0" w:afterAutospacing="0" w:line="312" w:lineRule="auto"/>
        <w:ind w:left="1320" w:leftChars="600" w:firstLine="402" w:firstLineChars="183"/>
        <w:jc w:val="both"/>
        <w:rPr>
          <w:sz w:val="22"/>
          <w:szCs w:val="22"/>
        </w:rPr>
      </w:pPr>
      <w:r>
        <w:rPr>
          <w:sz w:val="22"/>
          <w:szCs w:val="22"/>
        </w:rPr>
        <w:t>Selain itu, tidak adanya pedoman teknis juga mengakibatkan tidak adanya sistem monitoring atau evaluasi terhadap tahapan proses grasi yang sedang berlangsung. Akibatnya, pihak pemohon maupun publik tidak dapat memperoleh informasi yang jelas dan transparan mengenai status permohonan grasi yang diajukan. Ketiadaan transparansi ini berisiko menimbulkan ketidakpercayaan publik terhadap sistem peradilan pidana dan kebijakan pengampunan yang diberikan oleh Presiden.</w:t>
      </w:r>
    </w:p>
    <w:p>
      <w:pPr>
        <w:pStyle w:val="11"/>
        <w:tabs>
          <w:tab w:val="left" w:pos="1320"/>
        </w:tabs>
        <w:spacing w:beforeAutospacing="0" w:afterAutospacing="0" w:line="312" w:lineRule="auto"/>
        <w:ind w:left="1320" w:leftChars="600" w:firstLine="402" w:firstLineChars="183"/>
        <w:jc w:val="both"/>
        <w:rPr>
          <w:sz w:val="22"/>
          <w:szCs w:val="22"/>
        </w:rPr>
      </w:pPr>
      <w:r>
        <w:rPr>
          <w:sz w:val="22"/>
          <w:szCs w:val="22"/>
        </w:rPr>
        <w:t xml:space="preserve">Untuk mencegah keterlambatan dan memastikan kepastian hukum, maka dibutuhkan </w:t>
      </w:r>
      <w:r>
        <w:rPr>
          <w:rStyle w:val="19"/>
          <w:b w:val="0"/>
          <w:bCs w:val="0"/>
          <w:sz w:val="22"/>
          <w:szCs w:val="22"/>
        </w:rPr>
        <w:t>regulasi pelaksanaan yang lebih terperinci</w:t>
      </w:r>
      <w:r>
        <w:rPr>
          <w:sz w:val="22"/>
          <w:szCs w:val="22"/>
        </w:rPr>
        <w:t>, misalnya dalam bentuk Peraturan Presiden atau Peraturan Menteri. Pedoman tersebut perlu mengatur batas waktu maksimal pada tiap tahap proses grasi, alur komunikasi antar lembaga, serta standar pelayanan publik yang transparan. Adanya pedoman teknis ini juga penting untuk menjaga akuntabilitas Presiden dalam menggunakan hak prerogatifnya secara objektif dan tepat waktu.</w:t>
      </w:r>
    </w:p>
    <w:p>
      <w:pPr>
        <w:pStyle w:val="11"/>
        <w:tabs>
          <w:tab w:val="left" w:pos="1320"/>
        </w:tabs>
        <w:spacing w:beforeAutospacing="0" w:afterAutospacing="0" w:line="312" w:lineRule="auto"/>
        <w:ind w:left="1320" w:leftChars="600" w:firstLine="402" w:firstLineChars="183"/>
        <w:jc w:val="both"/>
        <w:rPr>
          <w:sz w:val="22"/>
          <w:szCs w:val="22"/>
        </w:rPr>
      </w:pPr>
    </w:p>
    <w:p>
      <w:pPr>
        <w:pStyle w:val="11"/>
        <w:tabs>
          <w:tab w:val="left" w:pos="1320"/>
        </w:tabs>
        <w:spacing w:beforeAutospacing="0" w:afterAutospacing="0" w:line="312" w:lineRule="auto"/>
        <w:ind w:left="1320" w:leftChars="600" w:firstLine="402" w:firstLineChars="183"/>
        <w:jc w:val="both"/>
        <w:rPr>
          <w:sz w:val="22"/>
          <w:szCs w:val="22"/>
        </w:rPr>
      </w:pPr>
    </w:p>
    <w:p>
      <w:pPr>
        <w:numPr>
          <w:ilvl w:val="0"/>
          <w:numId w:val="58"/>
        </w:numPr>
        <w:tabs>
          <w:tab w:val="left" w:pos="1320"/>
          <w:tab w:val="clear" w:pos="425"/>
        </w:tabs>
        <w:spacing w:after="0" w:line="312" w:lineRule="auto"/>
        <w:ind w:left="1309" w:leftChars="400" w:right="-156" w:rightChars="-71" w:hanging="429" w:hangingChars="195"/>
        <w:contextualSpacing/>
        <w:jc w:val="both"/>
        <w:rPr>
          <w:rFonts w:ascii="Times New Roman" w:hAnsi="Times New Roman" w:cs="Times New Roman"/>
        </w:rPr>
      </w:pPr>
      <w:r>
        <w:rPr>
          <w:rFonts w:asciiTheme="majorBidi" w:hAnsiTheme="majorBidi" w:cstheme="majorBidi"/>
          <w:lang w:val="en-US"/>
        </w:rPr>
        <w:t>Tidak Adanya Sanksi Terhadap Pelanggaran Tanggat Waktu Pemberian Grasi</w:t>
      </w:r>
      <w:r>
        <w:rPr>
          <w:rFonts w:ascii="Times New Roman" w:hAnsi="Times New Roman" w:cs="Times New Roman"/>
        </w:rPr>
        <w:t>.</w:t>
      </w:r>
    </w:p>
    <w:p>
      <w:pPr>
        <w:pStyle w:val="11"/>
        <w:spacing w:beforeAutospacing="0" w:afterAutospacing="0" w:line="312" w:lineRule="auto"/>
        <w:ind w:left="1320" w:leftChars="600" w:firstLine="440" w:firstLineChars="200"/>
        <w:jc w:val="both"/>
        <w:rPr>
          <w:sz w:val="22"/>
          <w:szCs w:val="22"/>
        </w:rPr>
      </w:pPr>
      <w:r>
        <w:rPr>
          <w:sz w:val="22"/>
          <w:szCs w:val="22"/>
        </w:rPr>
        <w:t xml:space="preserve">Meskipun </w:t>
      </w:r>
      <w:r>
        <w:fldChar w:fldCharType="begin"/>
      </w:r>
      <w:r>
        <w:instrText xml:space="preserve"> HYPERLINK "https://chatgpt.com?q=Undang-Undang%20Nomor%2022%20Tahun%202002" </w:instrText>
      </w:r>
      <w:r>
        <w:fldChar w:fldCharType="separate"/>
      </w:r>
      <w:r>
        <w:rPr>
          <w:rStyle w:val="18"/>
          <w:color w:val="auto"/>
          <w:sz w:val="22"/>
          <w:szCs w:val="22"/>
          <w:u w:val="none"/>
        </w:rPr>
        <w:t>Undang-Undang Nomor 22 Tahun 2002</w:t>
      </w:r>
      <w:r>
        <w:rPr>
          <w:rStyle w:val="18"/>
          <w:color w:val="auto"/>
          <w:sz w:val="22"/>
          <w:szCs w:val="22"/>
          <w:u w:val="none"/>
        </w:rPr>
        <w:fldChar w:fldCharType="end"/>
      </w:r>
      <w:r>
        <w:rPr>
          <w:sz w:val="22"/>
          <w:szCs w:val="22"/>
        </w:rPr>
        <w:t xml:space="preserve"> jo. </w:t>
      </w:r>
      <w:r>
        <w:fldChar w:fldCharType="begin"/>
      </w:r>
      <w:r>
        <w:instrText xml:space="preserve"> HYPERLINK "https://chatgpt.com?q=Undang-Undang%20Nomor%205%20Tahun%202010" </w:instrText>
      </w:r>
      <w:r>
        <w:fldChar w:fldCharType="separate"/>
      </w:r>
      <w:r>
        <w:rPr>
          <w:rStyle w:val="18"/>
          <w:color w:val="auto"/>
          <w:sz w:val="22"/>
          <w:szCs w:val="22"/>
          <w:u w:val="none"/>
        </w:rPr>
        <w:t>Undang-Undang Nomor 5 Tahun 2010</w:t>
      </w:r>
      <w:r>
        <w:rPr>
          <w:rStyle w:val="18"/>
          <w:color w:val="auto"/>
          <w:sz w:val="22"/>
          <w:szCs w:val="22"/>
          <w:u w:val="none"/>
        </w:rPr>
        <w:fldChar w:fldCharType="end"/>
      </w:r>
      <w:r>
        <w:rPr>
          <w:sz w:val="22"/>
          <w:szCs w:val="22"/>
        </w:rPr>
        <w:t xml:space="preserve"> tentang Grasi telah mengatur bahwa Presiden wajib memberikan keputusan atas permohonan grasi dalam jangka waktu </w:t>
      </w:r>
      <w:r>
        <w:rPr>
          <w:rStyle w:val="19"/>
          <w:b w:val="0"/>
          <w:bCs w:val="0"/>
          <w:sz w:val="22"/>
          <w:szCs w:val="22"/>
        </w:rPr>
        <w:t>tiga bulan sejak menerima pertimbangan Mahkamah Agung</w:t>
      </w:r>
      <w:r>
        <w:rPr>
          <w:sz w:val="22"/>
          <w:szCs w:val="22"/>
        </w:rPr>
        <w:t xml:space="preserve">, namun dalam praktiknya ketentuan tersebut </w:t>
      </w:r>
      <w:r>
        <w:rPr>
          <w:rStyle w:val="19"/>
          <w:b w:val="0"/>
          <w:bCs w:val="0"/>
          <w:sz w:val="22"/>
          <w:szCs w:val="22"/>
        </w:rPr>
        <w:t>tidak disertai dengan sanksi hukum</w:t>
      </w:r>
      <w:r>
        <w:rPr>
          <w:sz w:val="22"/>
          <w:szCs w:val="22"/>
        </w:rPr>
        <w:t xml:space="preserve"> apabila tenggat waktu itu dilanggar. Kekosongan norma sanksi ini membuat aturan waktu menjadi tidak efektif dan hanya bersifat administratif tanpa kekuatan memaksa.</w:t>
      </w:r>
    </w:p>
    <w:p>
      <w:pPr>
        <w:pStyle w:val="11"/>
        <w:spacing w:beforeAutospacing="0" w:afterAutospacing="0" w:line="312" w:lineRule="auto"/>
        <w:ind w:left="1320" w:leftChars="600" w:firstLine="440" w:firstLineChars="200"/>
        <w:jc w:val="both"/>
        <w:rPr>
          <w:sz w:val="22"/>
          <w:szCs w:val="22"/>
        </w:rPr>
      </w:pPr>
      <w:r>
        <w:rPr>
          <w:sz w:val="22"/>
          <w:szCs w:val="22"/>
        </w:rPr>
        <w:t xml:space="preserve">Dalam kasus Merri Utami, meskipun Mahkamah Agung telah memberikan pertimbangan sejak akhir tahun 2016, keputusan grasi dari Presiden baru dikeluarkan pada </w:t>
      </w:r>
      <w:r>
        <w:rPr>
          <w:rStyle w:val="19"/>
          <w:b w:val="0"/>
          <w:bCs w:val="0"/>
          <w:sz w:val="22"/>
          <w:szCs w:val="22"/>
        </w:rPr>
        <w:t>24 Agustus 2023</w:t>
      </w:r>
      <w:r>
        <w:rPr>
          <w:sz w:val="22"/>
          <w:szCs w:val="22"/>
        </w:rPr>
        <w:t xml:space="preserve">, yang berarti terdapat jeda waktu </w:t>
      </w:r>
      <w:r>
        <w:rPr>
          <w:rStyle w:val="19"/>
          <w:b w:val="0"/>
          <w:bCs w:val="0"/>
          <w:sz w:val="22"/>
          <w:szCs w:val="22"/>
        </w:rPr>
        <w:t>lebih dari enam tahun</w:t>
      </w:r>
      <w:r>
        <w:rPr>
          <w:sz w:val="22"/>
          <w:szCs w:val="22"/>
        </w:rPr>
        <w:t>. Ini merupakan bentuk pelanggaran terhadap batas waktu sebagaimana diatur dalam undang-undang, tetapi tidak ada konsekuensi hukum atau administratif yang dikenakan terhadap keterlambatan tersebut. Hal ini menunjukkan kelemahan serius dalam aspek penegakan hukum administrasi negara.</w:t>
      </w:r>
    </w:p>
    <w:p>
      <w:pPr>
        <w:pStyle w:val="11"/>
        <w:spacing w:beforeAutospacing="0" w:afterAutospacing="0" w:line="312" w:lineRule="auto"/>
        <w:ind w:left="1320" w:leftChars="600" w:firstLine="440" w:firstLineChars="200"/>
        <w:jc w:val="both"/>
        <w:rPr>
          <w:sz w:val="22"/>
          <w:szCs w:val="22"/>
        </w:rPr>
      </w:pPr>
      <w:r>
        <w:rPr>
          <w:sz w:val="22"/>
          <w:szCs w:val="22"/>
        </w:rPr>
        <w:t xml:space="preserve">Tidak adanya sanksi juga mencerminkan </w:t>
      </w:r>
      <w:r>
        <w:rPr>
          <w:rStyle w:val="19"/>
          <w:b w:val="0"/>
          <w:bCs w:val="0"/>
          <w:sz w:val="22"/>
          <w:szCs w:val="22"/>
        </w:rPr>
        <w:t>ketidakseimbangan kekuasaan dalam pelaksanaan hak prerogatif Presiden</w:t>
      </w:r>
      <w:r>
        <w:rPr>
          <w:sz w:val="22"/>
          <w:szCs w:val="22"/>
        </w:rPr>
        <w:t>, yang secara teoritis berada dalam sistem checks and balances, tetapi secara praktik menjadi mutlak dan tidak terkontrol. Presiden tidak dapat dimintai pertanggungjawaban secara hukum ketika melampaui tenggat waktu, sehingga membuka celah terjadinya pengabaian hak terpidana untuk mendapatkan kejelasan atas nasib hukumnya.</w:t>
      </w:r>
    </w:p>
    <w:p>
      <w:pPr>
        <w:pStyle w:val="11"/>
        <w:spacing w:beforeAutospacing="0" w:afterAutospacing="0" w:line="312" w:lineRule="auto"/>
        <w:ind w:left="1320" w:leftChars="600" w:firstLine="440" w:firstLineChars="200"/>
        <w:jc w:val="both"/>
        <w:rPr>
          <w:sz w:val="22"/>
          <w:szCs w:val="22"/>
        </w:rPr>
      </w:pPr>
      <w:r>
        <w:rPr>
          <w:sz w:val="22"/>
          <w:szCs w:val="22"/>
        </w:rPr>
        <w:t xml:space="preserve">Untuk menciptakan sistem yang lebih akuntabel dan adil, perlu dilakukan </w:t>
      </w:r>
      <w:r>
        <w:rPr>
          <w:rStyle w:val="19"/>
          <w:b w:val="0"/>
          <w:bCs w:val="0"/>
          <w:sz w:val="22"/>
          <w:szCs w:val="22"/>
        </w:rPr>
        <w:t>revisi undang-undang grasi</w:t>
      </w:r>
      <w:r>
        <w:rPr>
          <w:sz w:val="22"/>
          <w:szCs w:val="22"/>
        </w:rPr>
        <w:t xml:space="preserve"> agar memuat </w:t>
      </w:r>
      <w:r>
        <w:rPr>
          <w:rStyle w:val="19"/>
          <w:b w:val="0"/>
          <w:bCs w:val="0"/>
          <w:sz w:val="22"/>
          <w:szCs w:val="22"/>
        </w:rPr>
        <w:t>sanksi administratif atau peringatan institusional</w:t>
      </w:r>
      <w:r>
        <w:rPr>
          <w:sz w:val="22"/>
          <w:szCs w:val="22"/>
        </w:rPr>
        <w:t xml:space="preserve"> apabila pelaksanaan grasi tidak sesuai dengan tenggat waktu yang ditetapkan. Hal ini juga selaras dengan prinsip negara hukum, bahwa semua tindakan pejabat publik harus dapat diawasi dan dipertanggungjawabkan. Selain itu, pengawasan oleh lembaga independen seperti </w:t>
      </w:r>
      <w:r>
        <w:fldChar w:fldCharType="begin"/>
      </w:r>
      <w:r>
        <w:instrText xml:space="preserve"> HYPERLINK "https://chatgpt.com?q=Ombudsman%20Republik%20Indonesia" </w:instrText>
      </w:r>
      <w:r>
        <w:fldChar w:fldCharType="separate"/>
      </w:r>
      <w:r>
        <w:rPr>
          <w:rStyle w:val="18"/>
          <w:color w:val="auto"/>
          <w:sz w:val="22"/>
          <w:szCs w:val="22"/>
          <w:u w:val="none"/>
        </w:rPr>
        <w:t>Ombudsman Republik Indonesia</w:t>
      </w:r>
      <w:r>
        <w:rPr>
          <w:rStyle w:val="18"/>
          <w:color w:val="auto"/>
          <w:sz w:val="22"/>
          <w:szCs w:val="22"/>
          <w:u w:val="none"/>
        </w:rPr>
        <w:fldChar w:fldCharType="end"/>
      </w:r>
      <w:r>
        <w:rPr>
          <w:sz w:val="22"/>
          <w:szCs w:val="22"/>
        </w:rPr>
        <w:t xml:space="preserve"> juga menjadi penting dalam mendorong kepatuhan terhadap ketentuan prosedural grasi.</w:t>
      </w:r>
    </w:p>
    <w:p>
      <w:pPr>
        <w:numPr>
          <w:ilvl w:val="0"/>
          <w:numId w:val="58"/>
        </w:numPr>
        <w:tabs>
          <w:tab w:val="left" w:pos="1320"/>
          <w:tab w:val="clear" w:pos="425"/>
        </w:tabs>
        <w:spacing w:after="0" w:line="312" w:lineRule="auto"/>
        <w:ind w:left="1309" w:leftChars="400" w:right="-156" w:rightChars="-71" w:hanging="429" w:hangingChars="195"/>
        <w:contextualSpacing/>
        <w:jc w:val="both"/>
        <w:rPr>
          <w:rFonts w:asciiTheme="majorBidi" w:hAnsiTheme="majorBidi" w:cstheme="majorBidi"/>
          <w:lang w:val="en-US"/>
        </w:rPr>
      </w:pPr>
      <w:r>
        <w:rPr>
          <w:rFonts w:asciiTheme="majorBidi" w:hAnsiTheme="majorBidi" w:cstheme="majorBidi"/>
          <w:lang w:val="en-US"/>
        </w:rPr>
        <w:t>Kurangnya Transparasi dan Pengawasan</w:t>
      </w:r>
    </w:p>
    <w:p>
      <w:pPr>
        <w:pStyle w:val="11"/>
        <w:spacing w:beforeAutospacing="0" w:afterAutospacing="0" w:line="312" w:lineRule="auto"/>
        <w:ind w:left="1320" w:leftChars="600" w:firstLine="440" w:firstLineChars="200"/>
        <w:jc w:val="both"/>
        <w:rPr>
          <w:sz w:val="22"/>
          <w:szCs w:val="22"/>
        </w:rPr>
      </w:pPr>
      <w:r>
        <w:rPr>
          <w:sz w:val="22"/>
          <w:szCs w:val="22"/>
        </w:rPr>
        <w:t xml:space="preserve">Proses pemberian grasi di Indonesia selama ini dinilai masih </w:t>
      </w:r>
      <w:r>
        <w:rPr>
          <w:rStyle w:val="19"/>
          <w:b w:val="0"/>
          <w:bCs w:val="0"/>
          <w:sz w:val="22"/>
          <w:szCs w:val="22"/>
        </w:rPr>
        <w:t>minim transparansi</w:t>
      </w:r>
      <w:r>
        <w:rPr>
          <w:sz w:val="22"/>
          <w:szCs w:val="22"/>
        </w:rPr>
        <w:t>, baik kepada publik maupun kepada pihak terpidana yang mengajukan permohonan. Tidak tersedia sistem informasi yang terbuka mengenai status, tahapan, maupun alasan substantif yang mendasari diterima atau ditolaknya sebuah permohonan grasi. Akibatnya, masyarakat tidak dapat mengawasi atau menilai proses grasi secara objektif, dan pemohon grasi tidak memiliki akses yang memadai untuk mengetahui perkembangan permohonannya.</w:t>
      </w:r>
    </w:p>
    <w:p>
      <w:pPr>
        <w:pStyle w:val="11"/>
        <w:spacing w:beforeAutospacing="0" w:afterAutospacing="0" w:line="312" w:lineRule="auto"/>
        <w:ind w:left="1320" w:leftChars="600" w:firstLine="440" w:firstLineChars="200"/>
        <w:jc w:val="both"/>
        <w:rPr>
          <w:sz w:val="22"/>
          <w:szCs w:val="22"/>
        </w:rPr>
      </w:pPr>
      <w:r>
        <w:rPr>
          <w:sz w:val="22"/>
          <w:szCs w:val="22"/>
        </w:rPr>
        <w:t xml:space="preserve">Dalam kasus grasi Merri Utami, proses permohonannya tidak diketahui secara luas oleh publik, bahkan hingga Presiden mengeluarkan </w:t>
      </w:r>
      <w:r>
        <w:fldChar w:fldCharType="begin"/>
      </w:r>
      <w:r>
        <w:instrText xml:space="preserve"> HYPERLINK "https://chatgpt.com?q=Keputusan%20Presiden%20Nomor%201/G/2023" </w:instrText>
      </w:r>
      <w:r>
        <w:fldChar w:fldCharType="separate"/>
      </w:r>
      <w:r>
        <w:rPr>
          <w:rStyle w:val="18"/>
          <w:color w:val="auto"/>
          <w:sz w:val="22"/>
          <w:szCs w:val="22"/>
          <w:u w:val="none"/>
        </w:rPr>
        <w:t>Keputusan Presiden Nomor 1/G/2023</w:t>
      </w:r>
      <w:r>
        <w:rPr>
          <w:rStyle w:val="18"/>
          <w:color w:val="auto"/>
          <w:sz w:val="22"/>
          <w:szCs w:val="22"/>
          <w:u w:val="none"/>
        </w:rPr>
        <w:fldChar w:fldCharType="end"/>
      </w:r>
      <w:r>
        <w:rPr>
          <w:sz w:val="22"/>
          <w:szCs w:val="22"/>
        </w:rPr>
        <w:t xml:space="preserve"> tentang pemberian grasi, tidak pernah dijelaskan secara resmi alasan mengapa permohonannya baru diputuskan </w:t>
      </w:r>
      <w:r>
        <w:rPr>
          <w:rStyle w:val="19"/>
          <w:b w:val="0"/>
          <w:bCs w:val="0"/>
          <w:sz w:val="22"/>
          <w:szCs w:val="22"/>
        </w:rPr>
        <w:t>sekitar tujuh tahun</w:t>
      </w:r>
      <w:r>
        <w:rPr>
          <w:sz w:val="22"/>
          <w:szCs w:val="22"/>
        </w:rPr>
        <w:t xml:space="preserve"> setelah diajukan. Ketiadaan informasi ini memperkuat asumsi publik bahwa proses grasi bersifat tertutup, tidak akuntabel, dan rawan digunakan untuk kepentingan politik atau subjektivitas pribadi.</w:t>
      </w:r>
    </w:p>
    <w:p>
      <w:pPr>
        <w:pStyle w:val="11"/>
        <w:spacing w:beforeAutospacing="0" w:afterAutospacing="0" w:line="312" w:lineRule="auto"/>
        <w:ind w:left="1320" w:leftChars="600" w:firstLine="440" w:firstLineChars="200"/>
        <w:jc w:val="both"/>
        <w:rPr>
          <w:sz w:val="22"/>
          <w:szCs w:val="22"/>
        </w:rPr>
      </w:pPr>
      <w:r>
        <w:rPr>
          <w:sz w:val="22"/>
          <w:szCs w:val="22"/>
        </w:rPr>
        <w:t xml:space="preserve">Kurangnya pengawasan juga menjadi masalah besar dalam proses grasi. Hingga kini, belum ada mekanisme pengawasan yang efektif dan melembaga untuk mengawasi kinerja lembaga-lembaga negara dalam menangani permohonan grasi, mulai dari </w:t>
      </w:r>
      <w:r>
        <w:fldChar w:fldCharType="begin"/>
      </w:r>
      <w:r>
        <w:instrText xml:space="preserve"> HYPERLINK "https://chatgpt.com?q=Mahkamah%20Agung" </w:instrText>
      </w:r>
      <w:r>
        <w:fldChar w:fldCharType="separate"/>
      </w:r>
      <w:r>
        <w:rPr>
          <w:rStyle w:val="18"/>
          <w:color w:val="auto"/>
          <w:sz w:val="22"/>
          <w:szCs w:val="22"/>
          <w:u w:val="none"/>
        </w:rPr>
        <w:t>Mahkamah Agung</w:t>
      </w:r>
      <w:r>
        <w:rPr>
          <w:rStyle w:val="18"/>
          <w:color w:val="auto"/>
          <w:sz w:val="22"/>
          <w:szCs w:val="22"/>
          <w:u w:val="none"/>
        </w:rPr>
        <w:fldChar w:fldCharType="end"/>
      </w:r>
      <w:r>
        <w:rPr>
          <w:sz w:val="22"/>
          <w:szCs w:val="22"/>
        </w:rPr>
        <w:t xml:space="preserve">, </w:t>
      </w:r>
      <w:r>
        <w:fldChar w:fldCharType="begin"/>
      </w:r>
      <w:r>
        <w:instrText xml:space="preserve"> HYPERLINK "https://chatgpt.com?q=Kementerian%20Hukum%20dan%20HAM" </w:instrText>
      </w:r>
      <w:r>
        <w:fldChar w:fldCharType="separate"/>
      </w:r>
      <w:r>
        <w:rPr>
          <w:rStyle w:val="18"/>
          <w:color w:val="auto"/>
          <w:sz w:val="22"/>
          <w:szCs w:val="22"/>
          <w:u w:val="none"/>
        </w:rPr>
        <w:t>Kementerian Hukum dan HAM</w:t>
      </w:r>
      <w:r>
        <w:rPr>
          <w:rStyle w:val="18"/>
          <w:color w:val="auto"/>
          <w:sz w:val="22"/>
          <w:szCs w:val="22"/>
          <w:u w:val="none"/>
        </w:rPr>
        <w:fldChar w:fldCharType="end"/>
      </w:r>
      <w:r>
        <w:rPr>
          <w:sz w:val="22"/>
          <w:szCs w:val="22"/>
        </w:rPr>
        <w:t xml:space="preserve">, hingga Presiden. Lembaga seperti </w:t>
      </w:r>
      <w:r>
        <w:fldChar w:fldCharType="begin"/>
      </w:r>
      <w:r>
        <w:instrText xml:space="preserve"> HYPERLINK "https://chatgpt.com?q=Ombudsman%20RI" </w:instrText>
      </w:r>
      <w:r>
        <w:fldChar w:fldCharType="separate"/>
      </w:r>
      <w:r>
        <w:rPr>
          <w:rStyle w:val="18"/>
          <w:color w:val="auto"/>
          <w:sz w:val="22"/>
          <w:szCs w:val="22"/>
          <w:u w:val="none"/>
        </w:rPr>
        <w:t>Ombudsman RI</w:t>
      </w:r>
      <w:r>
        <w:rPr>
          <w:rStyle w:val="18"/>
          <w:color w:val="auto"/>
          <w:sz w:val="22"/>
          <w:szCs w:val="22"/>
          <w:u w:val="none"/>
        </w:rPr>
        <w:fldChar w:fldCharType="end"/>
      </w:r>
      <w:r>
        <w:rPr>
          <w:sz w:val="22"/>
          <w:szCs w:val="22"/>
        </w:rPr>
        <w:t>, yang seharusnya bisa mengawasi dugaan maladministrasi, belum diberi kewenangan yang cukup kuat untuk menindak lanjuti keterlambatan atau kelalaian dalam proses pemberian grasi.</w:t>
      </w:r>
    </w:p>
    <w:p>
      <w:pPr>
        <w:pStyle w:val="11"/>
        <w:spacing w:beforeAutospacing="0" w:afterAutospacing="0" w:line="312" w:lineRule="auto"/>
        <w:ind w:left="1320" w:leftChars="600" w:firstLine="440" w:firstLineChars="200"/>
        <w:jc w:val="both"/>
        <w:rPr>
          <w:rFonts w:asciiTheme="majorBidi" w:hAnsiTheme="majorBidi" w:cstheme="majorBidi"/>
        </w:rPr>
      </w:pPr>
      <w:r>
        <w:rPr>
          <w:sz w:val="22"/>
          <w:szCs w:val="22"/>
        </w:rPr>
        <w:t xml:space="preserve">Untuk memperbaiki hal ini, perlu dibentuk </w:t>
      </w:r>
      <w:r>
        <w:rPr>
          <w:rStyle w:val="19"/>
          <w:b w:val="0"/>
          <w:bCs w:val="0"/>
          <w:sz w:val="22"/>
          <w:szCs w:val="22"/>
        </w:rPr>
        <w:t>mekanisme pelaporan dan pengawasan terpadu</w:t>
      </w:r>
      <w:r>
        <w:rPr>
          <w:sz w:val="22"/>
          <w:szCs w:val="22"/>
        </w:rPr>
        <w:t>, seperti sistem informasi publik daring tentang status permohonan grasi, serta penguatan peran lembaga pengawas independen. Transparansi dan pengawasan yang efektif akan memastikan bahwa hak prerogatif Presiden tetap berjalan dalam koridor hukum dan prinsip-prinsip keadilan, serta mencegah penyalahgunaan kewenangan dalam pengambilan keputusan grasi.</w:t>
      </w:r>
    </w:p>
    <w:p>
      <w:pPr>
        <w:pStyle w:val="11"/>
        <w:spacing w:beforeAutospacing="0" w:afterAutospacing="0" w:line="312" w:lineRule="auto"/>
        <w:ind w:left="880" w:leftChars="400" w:firstLine="440" w:firstLineChars="200"/>
        <w:jc w:val="both"/>
        <w:rPr>
          <w:rStyle w:val="19"/>
          <w:b w:val="0"/>
          <w:bCs w:val="0"/>
          <w:sz w:val="22"/>
          <w:szCs w:val="22"/>
        </w:rPr>
      </w:pPr>
      <w:r>
        <w:rPr>
          <w:rStyle w:val="19"/>
          <w:b w:val="0"/>
          <w:bCs w:val="0"/>
          <w:sz w:val="22"/>
          <w:szCs w:val="22"/>
        </w:rPr>
        <w:t>Dalam hal ini perlu adanya perbaikan dalam proses pelaksanaan pemberian grasi berupa solusi atau upaya yang harus dilakukan untuk mengatasi permasaahan ini menurut penulis adalah:</w:t>
      </w:r>
    </w:p>
    <w:p>
      <w:pPr>
        <w:pStyle w:val="11"/>
        <w:numPr>
          <w:ilvl w:val="0"/>
          <w:numId w:val="59"/>
        </w:numPr>
        <w:tabs>
          <w:tab w:val="left" w:pos="660"/>
          <w:tab w:val="left" w:pos="880"/>
          <w:tab w:val="left" w:pos="1320"/>
          <w:tab w:val="clear" w:pos="425"/>
        </w:tabs>
        <w:spacing w:beforeAutospacing="0" w:afterAutospacing="0" w:line="312" w:lineRule="auto"/>
        <w:ind w:left="1305"/>
        <w:jc w:val="both"/>
        <w:rPr>
          <w:rStyle w:val="19"/>
          <w:b w:val="0"/>
          <w:bCs w:val="0"/>
          <w:sz w:val="22"/>
          <w:szCs w:val="22"/>
        </w:rPr>
      </w:pPr>
      <w:r>
        <w:rPr>
          <w:rStyle w:val="19"/>
          <w:b w:val="0"/>
          <w:bCs w:val="0"/>
          <w:sz w:val="22"/>
          <w:szCs w:val="22"/>
        </w:rPr>
        <w:t>Perlu Adanya Pedoman Pelaksannan Proses Pemberian Grasi</w:t>
      </w:r>
    </w:p>
    <w:p>
      <w:pPr>
        <w:pStyle w:val="11"/>
        <w:tabs>
          <w:tab w:val="left" w:pos="660"/>
          <w:tab w:val="left" w:pos="1320"/>
        </w:tabs>
        <w:spacing w:beforeAutospacing="0" w:afterAutospacing="0" w:line="312" w:lineRule="auto"/>
        <w:ind w:left="1320" w:leftChars="600" w:firstLine="440" w:firstLineChars="200"/>
        <w:jc w:val="both"/>
        <w:rPr>
          <w:rStyle w:val="19"/>
          <w:b w:val="0"/>
          <w:bCs w:val="0"/>
          <w:sz w:val="22"/>
          <w:szCs w:val="22"/>
        </w:rPr>
      </w:pPr>
      <w:r>
        <w:rPr>
          <w:sz w:val="22"/>
          <w:szCs w:val="22"/>
        </w:rPr>
        <w:t xml:space="preserve">Pentingnya keberadaan </w:t>
      </w:r>
      <w:r>
        <w:rPr>
          <w:rStyle w:val="19"/>
          <w:b w:val="0"/>
          <w:bCs w:val="0"/>
          <w:sz w:val="22"/>
          <w:szCs w:val="22"/>
        </w:rPr>
        <w:t>pedoman pelaksanaan yang jelas dan rinci</w:t>
      </w:r>
      <w:r>
        <w:rPr>
          <w:sz w:val="22"/>
          <w:szCs w:val="22"/>
        </w:rPr>
        <w:t xml:space="preserve"> dalam proses pemberian grasi tidak bisa diabaikan. Meskipun secara normatif grasi telah diatur dalam </w:t>
      </w:r>
      <w:r>
        <w:fldChar w:fldCharType="begin"/>
      </w:r>
      <w:r>
        <w:instrText xml:space="preserve"> HYPERLINK "https://chatgpt.com?q=Undang-Undang%20Nomor%2022%20Tahun%202002" </w:instrText>
      </w:r>
      <w:r>
        <w:fldChar w:fldCharType="separate"/>
      </w:r>
      <w:r>
        <w:rPr>
          <w:rStyle w:val="18"/>
          <w:color w:val="auto"/>
          <w:sz w:val="22"/>
          <w:szCs w:val="22"/>
          <w:u w:val="none"/>
        </w:rPr>
        <w:t>Undang-Undang Nomor 22 Tahun 2002</w:t>
      </w:r>
      <w:r>
        <w:rPr>
          <w:rStyle w:val="18"/>
          <w:color w:val="auto"/>
          <w:sz w:val="22"/>
          <w:szCs w:val="22"/>
          <w:u w:val="none"/>
        </w:rPr>
        <w:fldChar w:fldCharType="end"/>
      </w:r>
      <w:r>
        <w:rPr>
          <w:sz w:val="22"/>
          <w:szCs w:val="22"/>
        </w:rPr>
        <w:t xml:space="preserve"> jo. </w:t>
      </w:r>
      <w:r>
        <w:fldChar w:fldCharType="begin"/>
      </w:r>
      <w:r>
        <w:instrText xml:space="preserve"> HYPERLINK "https://chatgpt.com?q=Undang-Undang%20Nomor%205%20Tahun%202010" </w:instrText>
      </w:r>
      <w:r>
        <w:fldChar w:fldCharType="separate"/>
      </w:r>
      <w:r>
        <w:rPr>
          <w:rStyle w:val="18"/>
          <w:color w:val="auto"/>
          <w:sz w:val="22"/>
          <w:szCs w:val="22"/>
          <w:u w:val="none"/>
        </w:rPr>
        <w:t>Undang-Undang Nomor 5 Tahun 2010</w:t>
      </w:r>
      <w:r>
        <w:rPr>
          <w:rStyle w:val="18"/>
          <w:color w:val="auto"/>
          <w:sz w:val="22"/>
          <w:szCs w:val="22"/>
          <w:u w:val="none"/>
        </w:rPr>
        <w:fldChar w:fldCharType="end"/>
      </w:r>
      <w:r>
        <w:rPr>
          <w:sz w:val="22"/>
          <w:szCs w:val="22"/>
        </w:rPr>
        <w:t xml:space="preserve">, namun </w:t>
      </w:r>
      <w:r>
        <w:rPr>
          <w:rStyle w:val="19"/>
          <w:b w:val="0"/>
          <w:bCs w:val="0"/>
          <w:sz w:val="22"/>
          <w:szCs w:val="22"/>
        </w:rPr>
        <w:t>aturan operasional pelaksanaannya belum terstandarisasi secara menyeluruh</w:t>
      </w:r>
      <w:r>
        <w:rPr>
          <w:sz w:val="22"/>
          <w:szCs w:val="22"/>
        </w:rPr>
        <w:t xml:space="preserve">. Hal ini menimbulkan perbedaan interpretasi dan prosedur antar instansi yang terlibat, seperti </w:t>
      </w:r>
      <w:r>
        <w:fldChar w:fldCharType="begin"/>
      </w:r>
      <w:r>
        <w:instrText xml:space="preserve"> HYPERLINK "https://chatgpt.com?q=Mahkamah%20Agung" </w:instrText>
      </w:r>
      <w:r>
        <w:fldChar w:fldCharType="separate"/>
      </w:r>
      <w:r>
        <w:rPr>
          <w:rStyle w:val="18"/>
          <w:color w:val="auto"/>
          <w:sz w:val="22"/>
          <w:szCs w:val="22"/>
          <w:u w:val="none"/>
        </w:rPr>
        <w:t>Mahkamah Agung</w:t>
      </w:r>
      <w:r>
        <w:rPr>
          <w:rStyle w:val="18"/>
          <w:color w:val="auto"/>
          <w:sz w:val="22"/>
          <w:szCs w:val="22"/>
          <w:u w:val="none"/>
        </w:rPr>
        <w:fldChar w:fldCharType="end"/>
      </w:r>
      <w:r>
        <w:rPr>
          <w:sz w:val="22"/>
          <w:szCs w:val="22"/>
        </w:rPr>
        <w:t xml:space="preserve">, </w:t>
      </w:r>
      <w:r>
        <w:fldChar w:fldCharType="begin"/>
      </w:r>
      <w:r>
        <w:instrText xml:space="preserve"> HYPERLINK "https://chatgpt.com?q=Kementerian%20Hukum%20dan%20HAM" </w:instrText>
      </w:r>
      <w:r>
        <w:fldChar w:fldCharType="separate"/>
      </w:r>
      <w:r>
        <w:rPr>
          <w:rStyle w:val="18"/>
          <w:color w:val="auto"/>
          <w:sz w:val="22"/>
          <w:szCs w:val="22"/>
          <w:u w:val="none"/>
        </w:rPr>
        <w:t>Kementerian Hukum dan HAM</w:t>
      </w:r>
      <w:r>
        <w:rPr>
          <w:rStyle w:val="18"/>
          <w:color w:val="auto"/>
          <w:sz w:val="22"/>
          <w:szCs w:val="22"/>
          <w:u w:val="none"/>
        </w:rPr>
        <w:fldChar w:fldCharType="end"/>
      </w:r>
      <w:r>
        <w:rPr>
          <w:sz w:val="22"/>
          <w:szCs w:val="22"/>
        </w:rPr>
        <w:t>, dan Sekretariat Negara.</w:t>
      </w:r>
    </w:p>
    <w:p>
      <w:pPr>
        <w:pStyle w:val="11"/>
        <w:numPr>
          <w:ilvl w:val="0"/>
          <w:numId w:val="59"/>
        </w:numPr>
        <w:tabs>
          <w:tab w:val="left" w:pos="660"/>
          <w:tab w:val="left" w:pos="880"/>
          <w:tab w:val="left" w:pos="1320"/>
          <w:tab w:val="clear" w:pos="425"/>
        </w:tabs>
        <w:spacing w:beforeAutospacing="0" w:afterAutospacing="0" w:line="312" w:lineRule="auto"/>
        <w:ind w:left="1305"/>
        <w:jc w:val="both"/>
        <w:rPr>
          <w:sz w:val="22"/>
          <w:szCs w:val="22"/>
        </w:rPr>
      </w:pPr>
      <w:r>
        <w:rPr>
          <w:rStyle w:val="19"/>
          <w:b w:val="0"/>
          <w:bCs w:val="0"/>
          <w:sz w:val="22"/>
          <w:szCs w:val="22"/>
        </w:rPr>
        <w:t>Pengawasan Oleh Ombudsman Dan Komnas HAM</w:t>
      </w:r>
      <w:r>
        <w:rPr>
          <w:sz w:val="22"/>
          <w:szCs w:val="22"/>
        </w:rPr>
        <w:t>, Khususnya Jika Hak Terpidana Dirugikan.</w:t>
      </w:r>
    </w:p>
    <w:p>
      <w:pPr>
        <w:pStyle w:val="11"/>
        <w:tabs>
          <w:tab w:val="left" w:pos="660"/>
          <w:tab w:val="left" w:pos="1320"/>
        </w:tabs>
        <w:spacing w:beforeAutospacing="0" w:afterAutospacing="0" w:line="312" w:lineRule="auto"/>
        <w:ind w:left="1320" w:leftChars="600" w:firstLine="440" w:firstLineChars="200"/>
        <w:jc w:val="both"/>
        <w:rPr>
          <w:sz w:val="22"/>
          <w:szCs w:val="22"/>
        </w:rPr>
      </w:pPr>
      <w:r>
        <w:rPr>
          <w:sz w:val="22"/>
          <w:szCs w:val="22"/>
        </w:rPr>
        <w:t xml:space="preserve">Dalam konteks negara hukum yang menjunjung tinggi hak asasi manusia, </w:t>
      </w:r>
      <w:r>
        <w:rPr>
          <w:rStyle w:val="19"/>
          <w:b w:val="0"/>
          <w:bCs w:val="0"/>
          <w:sz w:val="22"/>
          <w:szCs w:val="22"/>
        </w:rPr>
        <w:t>pengawasan terhadap proses pemberian grasi sangat penting</w:t>
      </w:r>
      <w:r>
        <w:rPr>
          <w:sz w:val="22"/>
          <w:szCs w:val="22"/>
        </w:rPr>
        <w:t xml:space="preserve">, terutama jika terdapat indikasi pelanggaran hak-hak terpidana. Dua lembaga yang memiliki peran strategis dalam hal ini adalah </w:t>
      </w:r>
      <w:r>
        <w:fldChar w:fldCharType="begin"/>
      </w:r>
      <w:r>
        <w:instrText xml:space="preserve"> HYPERLINK "https://chatgpt.com?q=Ombudsman%20Republik%20Indonesia" </w:instrText>
      </w:r>
      <w:r>
        <w:fldChar w:fldCharType="separate"/>
      </w:r>
      <w:r>
        <w:rPr>
          <w:rStyle w:val="18"/>
          <w:color w:val="auto"/>
          <w:sz w:val="22"/>
          <w:szCs w:val="22"/>
          <w:u w:val="none"/>
        </w:rPr>
        <w:t>Ombudsman Republik Indonesia</w:t>
      </w:r>
      <w:r>
        <w:rPr>
          <w:rStyle w:val="18"/>
          <w:color w:val="auto"/>
          <w:sz w:val="22"/>
          <w:szCs w:val="22"/>
          <w:u w:val="none"/>
        </w:rPr>
        <w:fldChar w:fldCharType="end"/>
      </w:r>
      <w:r>
        <w:rPr>
          <w:sz w:val="22"/>
          <w:szCs w:val="22"/>
        </w:rPr>
        <w:t xml:space="preserve"> dan </w:t>
      </w:r>
      <w:r>
        <w:fldChar w:fldCharType="begin"/>
      </w:r>
      <w:r>
        <w:instrText xml:space="preserve"> HYPERLINK "https://chatgpt.com?q=Komisi%20Nasional%20Hak%20Asasi%20Manusia%20(Komnas%20HAM)" </w:instrText>
      </w:r>
      <w:r>
        <w:fldChar w:fldCharType="separate"/>
      </w:r>
      <w:r>
        <w:rPr>
          <w:rStyle w:val="18"/>
          <w:color w:val="auto"/>
          <w:sz w:val="22"/>
          <w:szCs w:val="22"/>
          <w:u w:val="none"/>
        </w:rPr>
        <w:t>Komisi Nasional Hak Asasi Manusia (Komnas HAM)</w:t>
      </w:r>
      <w:r>
        <w:rPr>
          <w:rStyle w:val="18"/>
          <w:color w:val="auto"/>
          <w:sz w:val="22"/>
          <w:szCs w:val="22"/>
          <w:u w:val="none"/>
        </w:rPr>
        <w:fldChar w:fldCharType="end"/>
      </w:r>
      <w:r>
        <w:rPr>
          <w:sz w:val="22"/>
          <w:szCs w:val="22"/>
        </w:rPr>
        <w:t>. Kedua lembaga ini dapat berfungsi sebagai pengawas eksternal terhadap dugaan maladministrasi dan pelanggaran HAM yang mungkin terjadi selama proses permohonan grasi berlangsung.</w:t>
      </w:r>
    </w:p>
    <w:p>
      <w:pPr>
        <w:pStyle w:val="11"/>
        <w:numPr>
          <w:ilvl w:val="0"/>
          <w:numId w:val="59"/>
        </w:numPr>
        <w:tabs>
          <w:tab w:val="left" w:pos="660"/>
          <w:tab w:val="left" w:pos="880"/>
          <w:tab w:val="left" w:pos="1320"/>
          <w:tab w:val="clear" w:pos="425"/>
        </w:tabs>
        <w:spacing w:beforeAutospacing="0" w:afterAutospacing="0" w:line="312" w:lineRule="auto"/>
        <w:ind w:left="1305"/>
        <w:jc w:val="both"/>
        <w:rPr>
          <w:sz w:val="22"/>
          <w:szCs w:val="22"/>
        </w:rPr>
      </w:pPr>
      <w:r>
        <w:rPr>
          <w:rStyle w:val="19"/>
          <w:b w:val="0"/>
          <w:bCs w:val="0"/>
          <w:sz w:val="22"/>
          <w:szCs w:val="22"/>
        </w:rPr>
        <w:t>Revisi UU Grasi</w:t>
      </w:r>
      <w:r>
        <w:rPr>
          <w:sz w:val="22"/>
          <w:szCs w:val="22"/>
        </w:rPr>
        <w:t xml:space="preserve"> Untuk Memperjelas Sanksi Dan Memperkuat Tenggat Waktu Proses Grasi.</w:t>
      </w:r>
    </w:p>
    <w:p>
      <w:pPr>
        <w:pStyle w:val="11"/>
        <w:tabs>
          <w:tab w:val="left" w:pos="660"/>
          <w:tab w:val="left" w:pos="1100"/>
          <w:tab w:val="left" w:pos="1320"/>
        </w:tabs>
        <w:spacing w:beforeAutospacing="0" w:afterAutospacing="0" w:line="312" w:lineRule="auto"/>
        <w:ind w:left="1320" w:firstLine="440" w:firstLineChars="200"/>
        <w:jc w:val="both"/>
        <w:rPr>
          <w:sz w:val="22"/>
          <w:szCs w:val="22"/>
        </w:rPr>
      </w:pPr>
      <w:r>
        <w:rPr>
          <w:sz w:val="22"/>
          <w:szCs w:val="22"/>
        </w:rPr>
        <w:t xml:space="preserve">Salah satu kelemahan mendasar dalam kerangka hukum pemberian grasi di Indonesia adalah </w:t>
      </w:r>
      <w:r>
        <w:rPr>
          <w:rStyle w:val="19"/>
          <w:b w:val="0"/>
          <w:bCs w:val="0"/>
          <w:sz w:val="22"/>
          <w:szCs w:val="22"/>
        </w:rPr>
        <w:t>tidak adanya ketegasan mengenai sanksi hukum jika terjadi pelanggaran tenggat waktu</w:t>
      </w:r>
      <w:r>
        <w:rPr>
          <w:sz w:val="22"/>
          <w:szCs w:val="22"/>
        </w:rPr>
        <w:t xml:space="preserve">, serta lemahnya pengaturan prosedur secara detail. Meskipun </w:t>
      </w:r>
      <w:r>
        <w:fldChar w:fldCharType="begin"/>
      </w:r>
      <w:r>
        <w:instrText xml:space="preserve"> HYPERLINK "https://chatgpt.com?q=Undang-Undang%20Nomor%2022%20Tahun%202002" </w:instrText>
      </w:r>
      <w:r>
        <w:fldChar w:fldCharType="separate"/>
      </w:r>
      <w:r>
        <w:rPr>
          <w:rStyle w:val="18"/>
          <w:color w:val="auto"/>
          <w:sz w:val="22"/>
          <w:szCs w:val="22"/>
          <w:u w:val="none"/>
        </w:rPr>
        <w:t>Undang-Undang Nomor 22 Tahun 2002</w:t>
      </w:r>
      <w:r>
        <w:rPr>
          <w:rStyle w:val="18"/>
          <w:color w:val="auto"/>
          <w:sz w:val="22"/>
          <w:szCs w:val="22"/>
          <w:u w:val="none"/>
        </w:rPr>
        <w:fldChar w:fldCharType="end"/>
      </w:r>
      <w:r>
        <w:rPr>
          <w:sz w:val="22"/>
          <w:szCs w:val="22"/>
        </w:rPr>
        <w:t xml:space="preserve"> jo. </w:t>
      </w:r>
      <w:r>
        <w:fldChar w:fldCharType="begin"/>
      </w:r>
      <w:r>
        <w:instrText xml:space="preserve"> HYPERLINK "https://chatgpt.com?q=Undang-Undang%20Nomor%205%20Tahun%202010" </w:instrText>
      </w:r>
      <w:r>
        <w:fldChar w:fldCharType="separate"/>
      </w:r>
      <w:r>
        <w:rPr>
          <w:rStyle w:val="18"/>
          <w:color w:val="auto"/>
          <w:sz w:val="22"/>
          <w:szCs w:val="22"/>
          <w:u w:val="none"/>
        </w:rPr>
        <w:t>Undang-Undang Nomor 5 Tahun 2010</w:t>
      </w:r>
      <w:r>
        <w:rPr>
          <w:rStyle w:val="18"/>
          <w:color w:val="auto"/>
          <w:sz w:val="22"/>
          <w:szCs w:val="22"/>
          <w:u w:val="none"/>
        </w:rPr>
        <w:fldChar w:fldCharType="end"/>
      </w:r>
      <w:r>
        <w:rPr>
          <w:sz w:val="22"/>
          <w:szCs w:val="22"/>
        </w:rPr>
        <w:t xml:space="preserve"> mengatur bahwa Presiden harus memberi keputusan dalam waktu tiga bulan setelah menerima pertimbangan Mahkamah Agung, kenyataannya aturan tersebut tidak memiliki kekuatan memaksa karena </w:t>
      </w:r>
      <w:r>
        <w:rPr>
          <w:rStyle w:val="19"/>
          <w:b w:val="0"/>
          <w:bCs w:val="0"/>
          <w:sz w:val="22"/>
          <w:szCs w:val="22"/>
        </w:rPr>
        <w:t>tidak disertai dengan konsekuensi hukum yang jelas apabila dilanggar</w:t>
      </w:r>
      <w:r>
        <w:rPr>
          <w:sz w:val="22"/>
          <w:szCs w:val="22"/>
        </w:rPr>
        <w:t>.</w:t>
      </w:r>
    </w:p>
    <w:p>
      <w:pPr>
        <w:numPr>
          <w:ilvl w:val="0"/>
          <w:numId w:val="57"/>
        </w:numPr>
        <w:spacing w:after="0" w:line="312" w:lineRule="auto"/>
        <w:ind w:left="838" w:leftChars="200" w:hanging="398" w:hangingChars="181"/>
        <w:contextualSpacing/>
        <w:jc w:val="both"/>
        <w:rPr>
          <w:rFonts w:asciiTheme="majorBidi" w:hAnsiTheme="majorBidi" w:cstheme="majorBidi"/>
        </w:rPr>
      </w:pPr>
      <w:r>
        <w:rPr>
          <w:rFonts w:asciiTheme="majorBidi" w:hAnsiTheme="majorBidi" w:cstheme="majorBidi"/>
          <w:lang w:val="en-US"/>
        </w:rPr>
        <w:t xml:space="preserve">Alasan Pemberian Grasi </w:t>
      </w:r>
    </w:p>
    <w:p>
      <w:pPr>
        <w:spacing w:after="0" w:line="312" w:lineRule="auto"/>
        <w:ind w:left="891" w:leftChars="405" w:firstLine="539" w:firstLineChars="245"/>
        <w:contextualSpacing/>
        <w:jc w:val="both"/>
        <w:rPr>
          <w:rFonts w:asciiTheme="majorBidi" w:hAnsiTheme="majorBidi" w:cstheme="majorBidi"/>
        </w:rPr>
      </w:pPr>
      <w:r>
        <w:rPr>
          <w:rFonts w:eastAsia="Arial" w:asciiTheme="majorBidi" w:hAnsiTheme="majorBidi" w:cstheme="majorBidi"/>
          <w:shd w:val="clear" w:color="auto" w:fill="FFFFFF"/>
        </w:rPr>
        <w:t xml:space="preserve">Dalam hukum pidana positif alasan diberikannya tidak dijelaskan secara rinci kepada msyarakat umum atau dipublikasikan kepada masyarakat, bagaimana alasan presiden memberikan grasi kepada terpidana. </w:t>
      </w:r>
      <w:r>
        <w:rPr>
          <w:rFonts w:eastAsia="Arial" w:asciiTheme="majorBidi" w:hAnsiTheme="majorBidi" w:cstheme="majorBidi"/>
          <w:shd w:val="clear" w:color="auto" w:fill="FFFFFF"/>
          <w:lang w:val="en-US"/>
        </w:rPr>
        <w:t xml:space="preserve">Alasan diberikannya hanya dijelaskan dalam Pasal 14 Ayat 1 bahwa: presiden memberkan grasi dan rehabilitasi dengan memperatikan pertimbangan mahkamah agung. </w:t>
      </w:r>
    </w:p>
    <w:p>
      <w:pPr>
        <w:spacing w:after="0" w:line="312" w:lineRule="auto"/>
        <w:ind w:left="709" w:firstLine="425"/>
        <w:contextualSpacing/>
        <w:jc w:val="both"/>
        <w:rPr>
          <w:rFonts w:ascii="Times New Roman" w:hAnsi="Times New Roman" w:eastAsia="Times New Roman" w:cs="Times New Roman"/>
          <w:kern w:val="0"/>
          <w:lang w:val="en-US"/>
          <w14:ligatures w14:val="none"/>
        </w:rPr>
      </w:pPr>
      <w:r>
        <w:rPr>
          <w:rFonts w:ascii="Times New Roman" w:hAnsi="Times New Roman" w:eastAsia="Times New Roman" w:cs="Times New Roman"/>
          <w:kern w:val="0"/>
          <w:lang w:val="en-US"/>
          <w14:ligatures w14:val="none"/>
        </w:rPr>
        <w:t>Menurut Utrecht, alasan pemberian grasi meliputi:</w:t>
      </w:r>
    </w:p>
    <w:p>
      <w:pPr>
        <w:numPr>
          <w:ilvl w:val="0"/>
          <w:numId w:val="60"/>
        </w:numPr>
        <w:tabs>
          <w:tab w:val="clear" w:pos="425"/>
        </w:tabs>
        <w:spacing w:after="0" w:line="312" w:lineRule="auto"/>
        <w:ind w:left="1185" w:right="-103" w:rightChars="-47" w:hanging="385"/>
        <w:contextualSpacing/>
        <w:jc w:val="both"/>
        <w:rPr>
          <w:rFonts w:asciiTheme="majorBidi" w:hAnsiTheme="majorBidi" w:cstheme="majorBidi"/>
        </w:rPr>
      </w:pPr>
      <w:r>
        <w:rPr>
          <w:rFonts w:ascii="Times New Roman" w:hAnsi="Times New Roman" w:eastAsia="Times New Roman" w:cs="Times New Roman"/>
          <w:kern w:val="0"/>
          <w:lang w:val="en-US"/>
          <w14:ligatures w14:val="none"/>
        </w:rPr>
        <w:t>Kepentingan keluarga terpidana.</w:t>
      </w:r>
    </w:p>
    <w:p>
      <w:pPr>
        <w:numPr>
          <w:ilvl w:val="0"/>
          <w:numId w:val="60"/>
        </w:numPr>
        <w:tabs>
          <w:tab w:val="clear" w:pos="425"/>
        </w:tabs>
        <w:spacing w:after="0" w:line="312" w:lineRule="auto"/>
        <w:ind w:left="1185" w:right="-103" w:rightChars="-47" w:hanging="385"/>
        <w:contextualSpacing/>
        <w:jc w:val="both"/>
        <w:rPr>
          <w:rFonts w:asciiTheme="majorBidi" w:hAnsiTheme="majorBidi" w:cstheme="majorBidi"/>
        </w:rPr>
      </w:pPr>
      <w:r>
        <w:rPr>
          <w:rFonts w:ascii="Times New Roman" w:hAnsi="Times New Roman" w:eastAsia="Times New Roman" w:cs="Times New Roman"/>
          <w:kern w:val="0"/>
          <w:lang w:val="en-US"/>
          <w14:ligatures w14:val="none"/>
        </w:rPr>
        <w:t>Jasa terpidana bagi masyarakat.</w:t>
      </w:r>
    </w:p>
    <w:p>
      <w:pPr>
        <w:numPr>
          <w:ilvl w:val="0"/>
          <w:numId w:val="60"/>
        </w:numPr>
        <w:tabs>
          <w:tab w:val="clear" w:pos="425"/>
        </w:tabs>
        <w:spacing w:after="0" w:line="312" w:lineRule="auto"/>
        <w:ind w:left="1185" w:right="-103" w:rightChars="-47" w:hanging="385"/>
        <w:contextualSpacing/>
        <w:jc w:val="both"/>
        <w:rPr>
          <w:rFonts w:asciiTheme="majorBidi" w:hAnsiTheme="majorBidi" w:cstheme="majorBidi"/>
        </w:rPr>
      </w:pPr>
      <w:r>
        <w:rPr>
          <w:rFonts w:ascii="Times New Roman" w:hAnsi="Times New Roman" w:eastAsia="Times New Roman" w:cs="Times New Roman"/>
          <w:kern w:val="0"/>
          <w:lang w:val="en-US"/>
          <w14:ligatures w14:val="none"/>
        </w:rPr>
        <w:t>Penyakit tidak tersembuhkan yang diderita terpidana.</w:t>
      </w:r>
    </w:p>
    <w:p>
      <w:pPr>
        <w:numPr>
          <w:ilvl w:val="0"/>
          <w:numId w:val="60"/>
        </w:numPr>
        <w:tabs>
          <w:tab w:val="clear" w:pos="425"/>
        </w:tabs>
        <w:spacing w:after="0" w:line="312" w:lineRule="auto"/>
        <w:ind w:left="1185" w:right="-103" w:rightChars="-47" w:hanging="385"/>
        <w:contextualSpacing/>
        <w:jc w:val="both"/>
        <w:rPr>
          <w:rFonts w:asciiTheme="majorBidi" w:hAnsiTheme="majorBidi" w:cstheme="majorBidi"/>
        </w:rPr>
      </w:pPr>
      <w:r>
        <w:rPr>
          <w:rFonts w:ascii="Times New Roman" w:hAnsi="Times New Roman" w:eastAsia="Times New Roman" w:cs="Times New Roman"/>
          <w:kern w:val="0"/>
          <w:lang w:val="en-US"/>
          <w14:ligatures w14:val="none"/>
        </w:rPr>
        <w:t>Perilaku baik dan penyesalan terpidana selama di penjara</w:t>
      </w:r>
      <w:r>
        <w:rPr>
          <w:rFonts w:asciiTheme="majorBidi" w:hAnsiTheme="majorBidi" w:cstheme="majorBidi"/>
          <w:lang w:val="en-US"/>
        </w:rPr>
        <w:t>.</w:t>
      </w:r>
      <w:r>
        <w:rPr>
          <w:rStyle w:val="17"/>
          <w:rFonts w:asciiTheme="majorBidi" w:hAnsiTheme="majorBidi" w:cstheme="majorBidi"/>
          <w:lang w:val="en-US"/>
        </w:rPr>
        <w:footnoteReference w:id="106"/>
      </w:r>
    </w:p>
    <w:p>
      <w:pPr>
        <w:spacing w:after="0" w:line="312" w:lineRule="auto"/>
        <w:ind w:left="869" w:leftChars="395" w:firstLine="558" w:firstLineChars="254"/>
        <w:contextualSpacing/>
        <w:jc w:val="both"/>
        <w:rPr>
          <w:rFonts w:eastAsia="SimSun" w:asciiTheme="majorBidi" w:hAnsiTheme="majorBidi" w:cstheme="majorBidi"/>
        </w:rPr>
      </w:pPr>
      <w:r>
        <w:rPr>
          <w:rFonts w:eastAsia="SimSun" w:asciiTheme="majorBidi" w:hAnsiTheme="majorBidi" w:cstheme="majorBidi"/>
        </w:rPr>
        <w:t xml:space="preserve">Meskipun Mahkamah Agung memberikan pertimbangan, yang memiliki kewenangan untuk memberikan grasi tetaplah Presiden. Berdasarkan pertimbangan dari Mahkamah Agung atau pengadilan lainnya, Presiden dapat </w:t>
      </w:r>
      <w:r>
        <w:rPr>
          <w:rFonts w:eastAsia="SimSun" w:asciiTheme="majorBidi" w:hAnsiTheme="majorBidi" w:cstheme="majorBidi"/>
          <w:lang w:val="en-US"/>
        </w:rPr>
        <w:t>memutuskan</w:t>
      </w:r>
      <w:r>
        <w:rPr>
          <w:rFonts w:eastAsia="SimSun" w:asciiTheme="majorBidi" w:hAnsiTheme="majorBidi" w:cstheme="majorBidi"/>
        </w:rPr>
        <w:t xml:space="preserve"> apakah grasi akan diberikan kepada terpidana.</w:t>
      </w:r>
      <w:r>
        <w:rPr>
          <w:rFonts w:eastAsia="SimSun" w:asciiTheme="majorBidi" w:hAnsiTheme="majorBidi" w:cstheme="majorBidi"/>
          <w:lang w:val="en-US"/>
        </w:rPr>
        <w:t xml:space="preserve"> </w:t>
      </w:r>
    </w:p>
    <w:p>
      <w:pPr>
        <w:spacing w:after="0" w:line="312" w:lineRule="auto"/>
        <w:ind w:left="878" w:leftChars="399" w:firstLine="400" w:firstLineChars="182"/>
        <w:contextualSpacing/>
        <w:jc w:val="both"/>
        <w:rPr>
          <w:rFonts w:asciiTheme="majorBidi" w:hAnsiTheme="majorBidi" w:cstheme="majorBidi"/>
        </w:rPr>
      </w:pPr>
      <w:r>
        <w:rPr>
          <w:rFonts w:asciiTheme="majorBidi" w:hAnsiTheme="majorBidi" w:cstheme="majorBidi"/>
        </w:rPr>
        <w:t>Adanya syarat Presiden harus memperhatikan pertimbangan Mahkamah Agung (MA) adalah agar terdapat </w:t>
      </w:r>
      <w:r>
        <w:rPr>
          <w:rFonts w:asciiTheme="majorBidi" w:hAnsiTheme="majorBidi" w:cstheme="majorBidi"/>
          <w:i/>
          <w:iCs/>
        </w:rPr>
        <w:t>check and balances</w:t>
      </w:r>
      <w:r>
        <w:rPr>
          <w:rFonts w:asciiTheme="majorBidi" w:hAnsiTheme="majorBidi" w:cstheme="majorBidi"/>
        </w:rPr>
        <w:t> antara eksekutif dan yudikatif. Jadi setiap pemberian grasi harus memperhatikan pertimbangan MA karena grasi mengenai atau menyangkut putusan hakim. Presiden juga berhak untuk mengabulkan atau menolak grasi yang telah mendapatkan pertimbangan dari MA.</w:t>
      </w:r>
      <w:r>
        <w:rPr>
          <w:rStyle w:val="17"/>
          <w:rFonts w:asciiTheme="majorBidi" w:hAnsiTheme="majorBidi" w:cstheme="majorBidi"/>
        </w:rPr>
        <w:footnoteReference w:id="107"/>
      </w:r>
      <w:r>
        <w:rPr>
          <w:rFonts w:asciiTheme="majorBidi" w:hAnsiTheme="majorBidi" w:cstheme="majorBidi"/>
        </w:rPr>
        <w:t> Grasi pada praktiknya diberikan atas dasar alasan kemanusiaan termasuk kesehatan, pembatasan seTahun sejak inkracht dan hanya sekali, selain alasan kemanusiaan grasi juga dapat diberikan juga atas dasar pemohon sudah berkelakuan baik dan menjadi teladan bagi narapidana yang lain.</w:t>
      </w:r>
      <w:r>
        <w:rPr>
          <w:rStyle w:val="17"/>
          <w:rFonts w:asciiTheme="majorBidi" w:hAnsiTheme="majorBidi" w:cstheme="majorBidi"/>
        </w:rPr>
        <w:footnoteReference w:id="108"/>
      </w:r>
    </w:p>
    <w:p>
      <w:pPr>
        <w:spacing w:after="0" w:line="312" w:lineRule="auto"/>
        <w:ind w:left="878" w:leftChars="399" w:firstLine="400" w:firstLineChars="182"/>
        <w:contextualSpacing/>
        <w:jc w:val="both"/>
        <w:rPr>
          <w:rFonts w:asciiTheme="majorBidi" w:hAnsiTheme="majorBidi" w:cstheme="majorBidi"/>
          <w:lang w:val="en-US"/>
        </w:rPr>
      </w:pPr>
      <w:r>
        <w:rPr>
          <w:rFonts w:asciiTheme="majorBidi" w:hAnsiTheme="majorBidi" w:cstheme="majorBidi"/>
          <w:lang w:val="en-US"/>
        </w:rPr>
        <w:t>Sayangnya sistem pemerintahan masih kurang transparan mengenai alasan diberikannya grasi kepada terpidana. Seharusnya alasan diberikannya grasi harus dipublikasikan kepada masyarakat umum, agar tidak menimbulkan pendapat yang berbeda-beda. Bahkan pandangan negatif dari masyarakat bahwa grasi diberikan hanya kepada terpidana tertentu. Pasti pandangan masyarakat akan lebih pecaya karena alasan grasi diberikan degan tepat dan jelas transparan.</w:t>
      </w:r>
    </w:p>
    <w:p>
      <w:pPr>
        <w:spacing w:after="0" w:line="312" w:lineRule="auto"/>
        <w:ind w:left="878" w:leftChars="399" w:firstLine="400" w:firstLineChars="182"/>
        <w:contextualSpacing/>
        <w:jc w:val="both"/>
        <w:rPr>
          <w:rFonts w:asciiTheme="majorBidi" w:hAnsiTheme="majorBidi" w:cstheme="majorBidi"/>
          <w:lang w:val="en-US"/>
        </w:rPr>
      </w:pPr>
    </w:p>
    <w:p>
      <w:pPr>
        <w:spacing w:after="0" w:line="312" w:lineRule="auto"/>
        <w:ind w:left="440" w:leftChars="200" w:right="-103" w:rightChars="-47" w:firstLine="398" w:firstLineChars="181"/>
        <w:contextualSpacing/>
        <w:jc w:val="both"/>
        <w:rPr>
          <w:rFonts w:asciiTheme="majorBidi" w:hAnsiTheme="majorBidi" w:cstheme="majorBidi"/>
        </w:rPr>
      </w:pPr>
      <w:r>
        <w:rPr>
          <w:rFonts w:asciiTheme="majorBidi" w:hAnsiTheme="majorBidi" w:cstheme="majorBidi"/>
        </w:rPr>
        <w:t xml:space="preserve">Penerapan hukuman mati seharusnya menjadi acuan agar tidak melanggar peratuan tersebut. Menjadi efek jera agar dapat membantu dalam pemberantasan peredaran gelap narkotika dalam masyarakat, karena sering disalahgunakan dalam pemakaiannya. Tidak sedikit juga bahwa hukuman mati seharusnya dihapuskan dari peraturan negara Indonesia. Penggiringan opini ini seharusnya dijelaskan dengan lebih detail kepada masyarakat dari pembuat peraturan undan-undang. </w:t>
      </w:r>
    </w:p>
    <w:p>
      <w:pPr>
        <w:spacing w:after="0" w:line="312" w:lineRule="auto"/>
        <w:ind w:left="440" w:leftChars="200" w:right="-103" w:rightChars="-47" w:firstLine="398" w:firstLineChars="181"/>
        <w:contextualSpacing/>
        <w:jc w:val="both"/>
        <w:rPr>
          <w:rFonts w:eastAsia="SimSun" w:asciiTheme="majorBidi" w:hAnsiTheme="majorBidi" w:cstheme="majorBidi"/>
          <w:lang w:val="en-US"/>
        </w:rPr>
      </w:pPr>
      <w:r>
        <w:rPr>
          <w:rFonts w:asciiTheme="majorBidi" w:hAnsiTheme="majorBidi" w:cstheme="majorBidi"/>
          <w:lang w:val="en-US"/>
        </w:rPr>
        <w:t xml:space="preserve">Problematika </w:t>
      </w:r>
      <w:r>
        <w:rPr>
          <w:rFonts w:asciiTheme="majorBidi" w:hAnsiTheme="majorBidi" w:cstheme="majorBidi"/>
        </w:rPr>
        <w:t xml:space="preserve">Hukuman mati di </w:t>
      </w:r>
      <w:r>
        <w:rPr>
          <w:rFonts w:asciiTheme="majorBidi" w:hAnsiTheme="majorBidi" w:cstheme="majorBidi"/>
          <w:lang w:val="en-US"/>
        </w:rPr>
        <w:t>I</w:t>
      </w:r>
      <w:r>
        <w:rPr>
          <w:rFonts w:asciiTheme="majorBidi" w:hAnsiTheme="majorBidi" w:cstheme="majorBidi"/>
        </w:rPr>
        <w:t>ndonesia terdapat dalam beberapa Pasal, salah satunya dalam</w:t>
      </w:r>
      <w:r>
        <w:rPr>
          <w:rFonts w:asciiTheme="majorBidi" w:hAnsiTheme="majorBidi" w:cstheme="majorBidi"/>
          <w:lang w:val="en-US"/>
        </w:rPr>
        <w:t xml:space="preserve"> UUD</w:t>
      </w:r>
      <w:r>
        <w:rPr>
          <w:rFonts w:asciiTheme="majorBidi" w:hAnsiTheme="majorBidi" w:cstheme="majorBidi"/>
        </w:rPr>
        <w:t xml:space="preserve"> tentang narkotika. Hukuman mati dalam tindak pidana narkotika di atur dalam </w:t>
      </w:r>
      <w:r>
        <w:rPr>
          <w:rFonts w:asciiTheme="majorBidi" w:hAnsiTheme="majorBidi" w:cstheme="majorBidi"/>
          <w:lang w:val="en-US"/>
        </w:rPr>
        <w:t>UU</w:t>
      </w:r>
      <w:r>
        <w:rPr>
          <w:rFonts w:asciiTheme="majorBidi" w:hAnsiTheme="majorBidi" w:cstheme="majorBidi"/>
        </w:rPr>
        <w:t xml:space="preserve"> </w:t>
      </w:r>
      <w:r>
        <w:rPr>
          <w:rFonts w:asciiTheme="majorBidi" w:hAnsiTheme="majorBidi" w:cstheme="majorBidi"/>
          <w:lang w:val="en-US"/>
        </w:rPr>
        <w:t>N</w:t>
      </w:r>
      <w:r>
        <w:rPr>
          <w:rFonts w:asciiTheme="majorBidi" w:hAnsiTheme="majorBidi" w:cstheme="majorBidi"/>
        </w:rPr>
        <w:t xml:space="preserve">arkotika </w:t>
      </w:r>
      <w:r>
        <w:rPr>
          <w:rFonts w:asciiTheme="majorBidi" w:hAnsiTheme="majorBidi" w:cstheme="majorBidi"/>
          <w:lang w:val="en-US"/>
        </w:rPr>
        <w:t>N</w:t>
      </w:r>
      <w:r>
        <w:rPr>
          <w:rFonts w:asciiTheme="majorBidi" w:hAnsiTheme="majorBidi" w:cstheme="majorBidi"/>
        </w:rPr>
        <w:t xml:space="preserve">o 35 </w:t>
      </w:r>
      <w:r>
        <w:rPr>
          <w:rFonts w:asciiTheme="majorBidi" w:hAnsiTheme="majorBidi" w:cstheme="majorBidi"/>
          <w:lang w:val="en-US"/>
        </w:rPr>
        <w:t>Tahun</w:t>
      </w:r>
      <w:r>
        <w:rPr>
          <w:rFonts w:asciiTheme="majorBidi" w:hAnsiTheme="majorBidi" w:cstheme="majorBidi"/>
        </w:rPr>
        <w:t xml:space="preserve"> 2009, yang terdapat dalam </w:t>
      </w:r>
      <w:r>
        <w:rPr>
          <w:rFonts w:asciiTheme="majorBidi" w:hAnsiTheme="majorBidi" w:cstheme="majorBidi"/>
          <w:lang w:val="en-US"/>
        </w:rPr>
        <w:t>Pasal</w:t>
      </w:r>
      <w:r>
        <w:rPr>
          <w:rFonts w:asciiTheme="majorBidi" w:hAnsiTheme="majorBidi" w:cstheme="majorBidi"/>
        </w:rPr>
        <w:t xml:space="preserve"> 113,</w:t>
      </w:r>
      <w:r>
        <w:rPr>
          <w:rFonts w:eastAsia="SimSun" w:asciiTheme="majorBidi" w:hAnsiTheme="majorBidi" w:cstheme="majorBidi"/>
        </w:rPr>
        <w:t xml:space="preserve"> 114, 116, 118, 119, 121, 132 dan 133</w:t>
      </w:r>
      <w:r>
        <w:rPr>
          <w:rFonts w:eastAsia="SimSun" w:asciiTheme="majorBidi" w:hAnsiTheme="majorBidi" w:cstheme="majorBidi"/>
          <w:lang w:val="en-US"/>
        </w:rPr>
        <w:t>.</w:t>
      </w:r>
    </w:p>
    <w:p>
      <w:pPr>
        <w:spacing w:after="0" w:line="312" w:lineRule="auto"/>
        <w:ind w:left="440" w:leftChars="200" w:right="-103" w:rightChars="-47" w:firstLine="398" w:firstLineChars="181"/>
        <w:contextualSpacing/>
        <w:jc w:val="both"/>
        <w:rPr>
          <w:rFonts w:eastAsia="SimSun" w:asciiTheme="majorBidi" w:hAnsiTheme="majorBidi" w:cstheme="majorBidi"/>
          <w:lang w:val="en-US"/>
        </w:rPr>
      </w:pPr>
      <w:r>
        <w:rPr>
          <w:rFonts w:ascii="Times New Roman" w:hAnsi="Times New Roman" w:eastAsia="Times New Roman" w:cs="Times New Roman"/>
          <w:kern w:val="0"/>
          <w:lang w:val="en-US"/>
          <w14:ligatures w14:val="none"/>
        </w:rPr>
        <w:t>Hukuman mati memunculkan berbagai pandangan, terutama dari aktivis HAM yang memandangnya sebagai pelanggaran hak asasi manusia karena dianggap kejam dan melanggar hak hidup, sebagaimana diatur dalam Deklarasi Universal Hak Asasi Manusia (DUHAM) PBB serta Kovenan Internasional tentang Hak-Hak Sipil dan Politik (ICCPR). Hukuman mati dianggap bertentangan dengan Pasal 9 UU No. 39 Tahun 1999 tentang HAM, yang menyatakan:</w:t>
      </w:r>
    </w:p>
    <w:p>
      <w:pPr>
        <w:pStyle w:val="4"/>
        <w:numPr>
          <w:ilvl w:val="0"/>
          <w:numId w:val="61"/>
        </w:numPr>
        <w:spacing w:after="0" w:line="312" w:lineRule="auto"/>
        <w:ind w:left="800" w:right="-103" w:rightChars="-47" w:hanging="400"/>
        <w:jc w:val="both"/>
        <w:rPr>
          <w:rFonts w:asciiTheme="majorBidi" w:hAnsiTheme="majorBidi" w:cstheme="majorBidi"/>
        </w:rPr>
      </w:pPr>
      <w:r>
        <w:rPr>
          <w:rFonts w:ascii="Times New Roman" w:hAnsi="Times New Roman" w:eastAsia="Times New Roman" w:cs="Times New Roman"/>
          <w:kern w:val="0"/>
          <w:lang w:val="en-US"/>
          <w14:ligatures w14:val="none"/>
        </w:rPr>
        <w:t>Setiap orang berhak hidup, mempertahankan hidup, dan meningkatkan kualitas kehidupannya.</w:t>
      </w:r>
    </w:p>
    <w:p>
      <w:pPr>
        <w:pStyle w:val="4"/>
        <w:numPr>
          <w:ilvl w:val="0"/>
          <w:numId w:val="61"/>
        </w:numPr>
        <w:spacing w:after="0" w:line="312" w:lineRule="auto"/>
        <w:ind w:left="800" w:right="-103" w:rightChars="-47" w:hanging="400"/>
        <w:jc w:val="both"/>
        <w:rPr>
          <w:rFonts w:asciiTheme="majorBidi" w:hAnsiTheme="majorBidi" w:cstheme="majorBidi"/>
        </w:rPr>
      </w:pPr>
      <w:r>
        <w:rPr>
          <w:rFonts w:ascii="Times New Roman" w:hAnsi="Times New Roman" w:eastAsia="Times New Roman" w:cs="Times New Roman"/>
          <w:kern w:val="0"/>
          <w:lang w:val="en-US"/>
          <w14:ligatures w14:val="none"/>
        </w:rPr>
        <w:t>Setiap orang berhak atas kehidupan yang tenteram, aman, damai, bahagia, serta sejahtera lahir dan batin.</w:t>
      </w:r>
    </w:p>
    <w:p>
      <w:pPr>
        <w:pStyle w:val="4"/>
        <w:numPr>
          <w:ilvl w:val="0"/>
          <w:numId w:val="61"/>
        </w:numPr>
        <w:spacing w:after="0" w:line="312" w:lineRule="auto"/>
        <w:ind w:left="800" w:right="-103" w:rightChars="-47" w:hanging="400"/>
        <w:jc w:val="both"/>
        <w:rPr>
          <w:rFonts w:asciiTheme="majorBidi" w:hAnsiTheme="majorBidi" w:cstheme="majorBidi"/>
        </w:rPr>
      </w:pPr>
      <w:r>
        <w:rPr>
          <w:rFonts w:ascii="Times New Roman" w:hAnsi="Times New Roman" w:eastAsia="Times New Roman" w:cs="Times New Roman"/>
          <w:kern w:val="0"/>
          <w:lang w:val="en-US"/>
          <w14:ligatures w14:val="none"/>
        </w:rPr>
        <w:t>Setiap orang berhak atas lingkungan hidup yang baik dan sehat</w:t>
      </w:r>
      <w:r>
        <w:rPr>
          <w:rFonts w:eastAsia="SimSun" w:asciiTheme="majorBidi" w:hAnsiTheme="majorBidi" w:cstheme="majorBidi"/>
        </w:rPr>
        <w:t>.</w:t>
      </w:r>
      <w:r>
        <w:rPr>
          <w:rStyle w:val="17"/>
          <w:rFonts w:eastAsia="SimSun" w:asciiTheme="majorBidi" w:hAnsiTheme="majorBidi" w:cstheme="majorBidi"/>
        </w:rPr>
        <w:footnoteReference w:id="109"/>
      </w:r>
    </w:p>
    <w:p>
      <w:pPr>
        <w:tabs>
          <w:tab w:val="left" w:pos="600"/>
        </w:tabs>
        <w:spacing w:after="0" w:line="312" w:lineRule="auto"/>
        <w:ind w:left="440" w:leftChars="200" w:right="-103" w:rightChars="-47" w:firstLine="396" w:firstLineChars="180"/>
        <w:contextualSpacing/>
        <w:jc w:val="both"/>
        <w:rPr>
          <w:rFonts w:eastAsia="SimSun" w:asciiTheme="majorBidi" w:hAnsiTheme="majorBidi" w:cstheme="majorBidi"/>
        </w:rPr>
      </w:pPr>
      <w:r>
        <w:rPr>
          <w:rFonts w:eastAsia="SimSun" w:asciiTheme="majorBidi" w:hAnsiTheme="majorBidi" w:cstheme="majorBidi"/>
        </w:rPr>
        <w:t>Dalam Pasal</w:t>
      </w:r>
      <w:r>
        <w:rPr>
          <w:rFonts w:eastAsia="SimSun" w:asciiTheme="majorBidi" w:hAnsiTheme="majorBidi" w:cstheme="majorBidi"/>
          <w:lang w:val="en-US"/>
        </w:rPr>
        <w:t xml:space="preserve"> 69 UU HAM Nomor 39 Tahun 1999, </w:t>
      </w:r>
      <w:r>
        <w:rPr>
          <w:rFonts w:eastAsia="SimSun" w:asciiTheme="majorBidi" w:hAnsiTheme="majorBidi" w:cstheme="majorBidi"/>
        </w:rPr>
        <w:t>disebutkan bahwa setiap orang berhak atas kehidupan dan meningkatkan taraf hidupnya. Sehingga setiap orang yang hidup di bawah naungan peraturan UUD 1945 baik yang melanggar peraturan ataupun tidak melanggar memiliki hak untuk hidup, mempertahankan hidup dan meningkatkan taraf kehidupannya.</w:t>
      </w:r>
    </w:p>
    <w:p>
      <w:pPr>
        <w:tabs>
          <w:tab w:val="left" w:pos="600"/>
        </w:tabs>
        <w:spacing w:after="0" w:line="312" w:lineRule="auto"/>
        <w:ind w:left="440" w:leftChars="200" w:right="-103" w:rightChars="-47" w:firstLine="396" w:firstLineChars="180"/>
        <w:contextualSpacing/>
        <w:jc w:val="both"/>
        <w:rPr>
          <w:rFonts w:eastAsia="SimSun" w:asciiTheme="majorBidi" w:hAnsiTheme="majorBidi" w:cstheme="majorBidi"/>
        </w:rPr>
      </w:pPr>
      <w:r>
        <w:rPr>
          <w:rFonts w:eastAsia="SimSun" w:asciiTheme="majorBidi" w:hAnsiTheme="majorBidi" w:cstheme="majorBidi"/>
        </w:rPr>
        <w:t xml:space="preserve">Hak asasi manusia pada dasarnya hadir sebagai betuk pembelaan dan dukungan kepada masyarakat atas tindakan sewenang-wenang yang tidak sesuai dengan kehidupan yang tentram dan sejahtera. Pandangan ham dalam penjatuhan hukuman mati dianggap sebagai pelanggaran ham, karena melanggar hak untuk hidup manusia, sebagaimana diatur dalam DUHAM PBB dan kovenan tentang hak-hak sipil dan politik. </w:t>
      </w:r>
    </w:p>
    <w:p>
      <w:pPr>
        <w:pStyle w:val="2"/>
        <w:rPr>
          <w:rFonts w:asciiTheme="majorBidi" w:hAnsiTheme="majorBidi" w:cstheme="majorBidi"/>
        </w:rPr>
      </w:pPr>
      <w:bookmarkStart w:id="38" w:name="_Toc199801684"/>
    </w:p>
    <w:p>
      <w:pPr>
        <w:rPr>
          <w:rFonts w:asciiTheme="majorBidi" w:hAnsiTheme="majorBidi" w:cstheme="majorBidi"/>
          <w:lang w:val="en-US"/>
        </w:rPr>
      </w:pPr>
    </w:p>
    <w:p>
      <w:pPr>
        <w:pStyle w:val="2"/>
        <w:sectPr>
          <w:footerReference r:id="rId16" w:type="first"/>
          <w:footnotePr>
            <w:numFmt w:val="decimal"/>
            <w:numRestart w:val="eachSect"/>
          </w:footnotePr>
          <w:pgSz w:w="8335" w:h="11850"/>
          <w:pgMar w:top="1418" w:right="1134" w:bottom="1134" w:left="1418" w:header="720" w:footer="720" w:gutter="0"/>
          <w:cols w:space="720" w:num="1"/>
          <w:titlePg/>
          <w:docGrid w:linePitch="299" w:charSpace="0"/>
        </w:sectPr>
      </w:pPr>
    </w:p>
    <w:p>
      <w:pPr>
        <w:pStyle w:val="2"/>
      </w:pPr>
      <w:r>
        <w:t>BAB V</w:t>
      </w:r>
      <w:bookmarkEnd w:id="38"/>
    </w:p>
    <w:p>
      <w:pPr>
        <w:pStyle w:val="2"/>
      </w:pPr>
      <w:r>
        <w:t>PENUTUP</w:t>
      </w:r>
    </w:p>
    <w:p>
      <w:pPr>
        <w:pStyle w:val="3"/>
        <w:numPr>
          <w:ilvl w:val="0"/>
          <w:numId w:val="62"/>
        </w:numPr>
        <w:ind w:left="426"/>
      </w:pPr>
      <w:bookmarkStart w:id="39" w:name="_Toc199801686"/>
      <w:r>
        <w:t>Simpulan</w:t>
      </w:r>
      <w:bookmarkEnd w:id="39"/>
    </w:p>
    <w:p>
      <w:pPr>
        <w:numPr>
          <w:ilvl w:val="0"/>
          <w:numId w:val="63"/>
        </w:numPr>
        <w:spacing w:after="0" w:line="312" w:lineRule="auto"/>
        <w:ind w:left="655" w:leftChars="200" w:hanging="215" w:hangingChars="98"/>
        <w:contextualSpacing/>
        <w:jc w:val="both"/>
        <w:rPr>
          <w:rFonts w:ascii="Times New Roman" w:hAnsi="Times New Roman" w:cs="Times New Roman"/>
        </w:rPr>
      </w:pPr>
      <w:r>
        <w:rPr>
          <w:rFonts w:ascii="Times New Roman" w:hAnsi="Times New Roman" w:cs="Times New Roman"/>
        </w:rPr>
        <w:t xml:space="preserve">Pada zaman </w:t>
      </w:r>
      <w:r>
        <w:rPr>
          <w:rFonts w:ascii="Times New Roman" w:hAnsi="Times New Roman" w:cs="Times New Roman"/>
          <w:lang w:val="en-US"/>
        </w:rPr>
        <w:t>Nabi</w:t>
      </w:r>
      <w:r>
        <w:rPr>
          <w:rFonts w:ascii="Times New Roman" w:hAnsi="Times New Roman" w:cs="Times New Roman"/>
        </w:rPr>
        <w:t xml:space="preserve"> belum ada istilah Narkotika,</w:t>
      </w:r>
      <w:r>
        <w:rPr>
          <w:rFonts w:ascii="Times New Roman" w:hAnsi="Times New Roman" w:cs="Times New Roman"/>
          <w:lang w:val="en-US"/>
        </w:rPr>
        <w:t xml:space="preserve"> karena narkotika ditemukan pada Tahun 1800-an.</w:t>
      </w:r>
      <w:r>
        <w:rPr>
          <w:rFonts w:ascii="Times New Roman" w:hAnsi="Times New Roman" w:cs="Times New Roman"/>
        </w:rPr>
        <w:t xml:space="preserve"> </w:t>
      </w:r>
      <w:r>
        <w:rPr>
          <w:rFonts w:ascii="Times New Roman" w:hAnsi="Times New Roman" w:cs="Times New Roman"/>
          <w:lang w:val="en-US"/>
        </w:rPr>
        <w:t>J</w:t>
      </w:r>
      <w:r>
        <w:rPr>
          <w:rFonts w:ascii="Times New Roman" w:hAnsi="Times New Roman" w:cs="Times New Roman"/>
        </w:rPr>
        <w:t xml:space="preserve">umhur Ulama’ sepakat Narkotika diqiyaskan dengan minuman khamar, karena efek yang ditimbulkan dapat merusak akal dan kesehatan. </w:t>
      </w:r>
      <w:r>
        <w:rPr>
          <w:rFonts w:ascii="Times New Roman" w:hAnsi="Times New Roman" w:cs="Times New Roman"/>
          <w:lang w:val="en-US"/>
        </w:rPr>
        <w:t xml:space="preserve">Hukuman Narkotika dalam hukum pidana Islam ada 2 pendapat, yaitu hukuman </w:t>
      </w:r>
      <w:r>
        <w:rPr>
          <w:rFonts w:ascii="Times New Roman" w:hAnsi="Times New Roman" w:cs="Times New Roman"/>
          <w:i/>
          <w:iCs/>
          <w:lang w:val="en-US"/>
        </w:rPr>
        <w:t xml:space="preserve">had </w:t>
      </w:r>
      <w:r>
        <w:rPr>
          <w:rFonts w:ascii="Times New Roman" w:hAnsi="Times New Roman" w:cs="Times New Roman"/>
          <w:lang w:val="en-US"/>
        </w:rPr>
        <w:t xml:space="preserve">bagi pengonsumsi dan hukuman </w:t>
      </w:r>
      <w:r>
        <w:rPr>
          <w:rFonts w:ascii="Times New Roman" w:hAnsi="Times New Roman" w:cs="Times New Roman"/>
          <w:i/>
          <w:iCs/>
          <w:lang w:val="en-US"/>
        </w:rPr>
        <w:t xml:space="preserve">ta’zir </w:t>
      </w:r>
      <w:r>
        <w:rPr>
          <w:rFonts w:ascii="Times New Roman" w:hAnsi="Times New Roman" w:cs="Times New Roman"/>
          <w:lang w:val="en-US"/>
        </w:rPr>
        <w:t>pembuat atau pengedar narkotika. Dalam hal ini hukuman MU masuk pada jarimah ta</w:t>
      </w:r>
      <w:r>
        <w:rPr>
          <w:rFonts w:hint="default" w:ascii="Times New Roman" w:hAnsi="Times New Roman" w:cs="Times New Roman"/>
          <w:lang w:val="en-US"/>
        </w:rPr>
        <w:t xml:space="preserve">’zir, karena sebagai pengedar narkotika. </w:t>
      </w:r>
      <w:r>
        <w:rPr>
          <w:rFonts w:ascii="Times New Roman" w:hAnsi="Times New Roman" w:cs="Times New Roman"/>
          <w:lang w:val="en-US"/>
        </w:rPr>
        <w:t>Grasi atau Pengampunan dalam hukum Islam sangat dianjurkan sejak zaman Nabi, bahkan di dalam Al Qur</w:t>
      </w:r>
      <w:r>
        <w:rPr>
          <w:rFonts w:hint="default" w:ascii="Times New Roman" w:hAnsi="Times New Roman" w:cs="Times New Roman"/>
          <w:lang w:val="en-US"/>
        </w:rPr>
        <w:t xml:space="preserve">’an tidak ada ayat yang menyinggung meminta maaf, tapi banyak sekali ayat yang memerintahkan untuk memberi maaf. </w:t>
      </w:r>
      <w:r>
        <w:rPr>
          <w:rFonts w:ascii="Times New Roman" w:hAnsi="Times New Roman" w:cs="Times New Roman"/>
          <w:lang w:val="en-US"/>
        </w:rPr>
        <w:t>Alasan diberikannya pengampunan dalam Islam juga lebih detail dijelaskan. Kembali lagi kepada keadilan dan keikhlasan penguasa dan ahli waris dalam memberikan maaf dan kesungguhan pelaku dalam benar-benar memohon ampun bertaubat untuk tidak melakukan kejahatan.</w:t>
      </w:r>
    </w:p>
    <w:p>
      <w:pPr>
        <w:numPr>
          <w:ilvl w:val="0"/>
          <w:numId w:val="63"/>
        </w:numPr>
        <w:spacing w:after="0" w:line="312" w:lineRule="auto"/>
        <w:ind w:left="655" w:leftChars="200" w:hanging="215" w:hangingChars="98"/>
        <w:contextualSpacing/>
        <w:jc w:val="both"/>
        <w:rPr>
          <w:rFonts w:ascii="Times New Roman" w:hAnsi="Times New Roman" w:cs="Times New Roman"/>
        </w:rPr>
      </w:pPr>
      <w:r>
        <w:rPr>
          <w:rFonts w:ascii="Times New Roman" w:hAnsi="Times New Roman" w:cs="Times New Roman"/>
          <w:lang w:val="en-US"/>
        </w:rPr>
        <w:t xml:space="preserve">Proses pemberian grasi dalam Hukum Pidana Positif diatur dalam UU Nomor 5 Tahun 2010 pembaruan atas UU Nomor 22 Tahun 2002. Grasi merupakan hak proregatif Presiden sebagai Kepala Negara atas pertimbangan dari Mahkamah Agung. MU terbukti telah melanggar </w:t>
      </w:r>
      <w:r>
        <w:rPr>
          <w:rFonts w:ascii="Times New Roman" w:hAnsi="Times New Roman" w:eastAsia="SimSun" w:cs="Times New Roman"/>
        </w:rPr>
        <w:t xml:space="preserve">Pasal 82 Ayat (1) huruf a </w:t>
      </w:r>
      <w:r>
        <w:rPr>
          <w:rFonts w:ascii="Times New Roman" w:hAnsi="Times New Roman" w:eastAsia="SimSun" w:cs="Times New Roman"/>
          <w:lang w:val="en-US"/>
        </w:rPr>
        <w:t>Undang-Undang</w:t>
      </w:r>
      <w:r>
        <w:rPr>
          <w:rFonts w:ascii="Times New Roman" w:hAnsi="Times New Roman" w:eastAsia="SimSun" w:cs="Times New Roman"/>
        </w:rPr>
        <w:t xml:space="preserve"> Nomor 22 Tahun 1997 tentang Narkotika</w:t>
      </w:r>
      <w:r>
        <w:rPr>
          <w:rFonts w:ascii="Times New Roman" w:hAnsi="Times New Roman" w:eastAsia="SimSun" w:cs="Times New Roman"/>
          <w:lang w:val="en-US"/>
        </w:rPr>
        <w:t xml:space="preserve"> dijatuhui hukuman mati oleh PN Tangerang. Setelah menjalani kurungan penjara selama 22 Tahun, akhirnya diberikan grasi oleh Presiden Jokowi dengan Keputusan Presiden Nomor 1/G/2023 yang mengubah dari hukuman mati menjadi penjara seumur hidup. Dalam proses pemberian grasi terdapat kurangnya kepastian hukum dalam UU Grasi Pasal 11 point 3 Nomor 5 Tahun 2010, seharusnya hasil keputusan Grasi keluar 3 bulan setelah pertimbangan dari Mahkamah Agung. Tetapi, keputusan grasi tersebut turun setelah kurang lebih menunggu 7 Tahun. </w:t>
      </w:r>
      <w:r>
        <w:rPr>
          <w:rFonts w:ascii="Times New Roman" w:hAnsi="Times New Roman" w:cs="Times New Roman"/>
          <w:lang w:val="en-US"/>
        </w:rPr>
        <w:t xml:space="preserve">Selain itu dalam Pasal 12 Point 4 yang berbunyi: “Pidana penjara selama waktu tertentu sekali-kali tidak boleh melebihi 20 Tahun”. Dari analisis penulis kurangnya kepastian hukum terjadi karena karena tidak adanya pedoman pelaksanaan teknis secara rinci, tidak adanya sanksi terhadap pelanggaran tanggat waktu pemberian grasi dan kurangnya transparasi dan pengawasan. </w:t>
      </w:r>
      <w:r>
        <w:rPr>
          <w:rFonts w:ascii="Times New Roman" w:hAnsi="Times New Roman" w:eastAsia="SimSun" w:cs="Times New Roman"/>
        </w:rPr>
        <w:t xml:space="preserve">Dalam pemberian grasi alasan diberikannya grasi </w:t>
      </w:r>
      <w:r>
        <w:rPr>
          <w:rFonts w:ascii="Times New Roman" w:hAnsi="Times New Roman" w:eastAsia="SimSun" w:cs="Times New Roman"/>
          <w:lang w:val="en-US"/>
        </w:rPr>
        <w:t xml:space="preserve">juga </w:t>
      </w:r>
      <w:r>
        <w:rPr>
          <w:rFonts w:ascii="Times New Roman" w:hAnsi="Times New Roman" w:eastAsia="SimSun" w:cs="Times New Roman"/>
        </w:rPr>
        <w:t xml:space="preserve">tidak dipublikasikan secara transparan kepada masyarakat umum, hal ini memicu pendapat yang berbeda-beda, bahwa grasi hanya diberikan kepada orang-orang tertentu. </w:t>
      </w:r>
    </w:p>
    <w:p>
      <w:pPr>
        <w:numPr>
          <w:ilvl w:val="0"/>
          <w:numId w:val="0"/>
        </w:numPr>
        <w:spacing w:after="0" w:line="312" w:lineRule="auto"/>
        <w:contextualSpacing/>
        <w:jc w:val="both"/>
        <w:rPr>
          <w:rFonts w:ascii="Times New Roman" w:hAnsi="Times New Roman" w:eastAsia="SimSun" w:cs="Times New Roman"/>
        </w:rPr>
      </w:pPr>
    </w:p>
    <w:p>
      <w:pPr>
        <w:pStyle w:val="3"/>
        <w:numPr>
          <w:ilvl w:val="0"/>
          <w:numId w:val="62"/>
        </w:numPr>
        <w:ind w:left="284"/>
      </w:pPr>
      <w:bookmarkStart w:id="40" w:name="_Toc199801687"/>
      <w:r>
        <w:t>Saran</w:t>
      </w:r>
      <w:bookmarkEnd w:id="40"/>
    </w:p>
    <w:p>
      <w:pPr>
        <w:numPr>
          <w:ilvl w:val="0"/>
          <w:numId w:val="64"/>
        </w:numPr>
        <w:tabs>
          <w:tab w:val="left" w:pos="800"/>
          <w:tab w:val="clear" w:pos="425"/>
        </w:tabs>
        <w:spacing w:after="0" w:line="312" w:lineRule="auto"/>
        <w:ind w:left="833" w:leftChars="200" w:hanging="393" w:hangingChars="179"/>
        <w:contextualSpacing/>
        <w:jc w:val="both"/>
        <w:rPr>
          <w:rFonts w:ascii="Times New Roman" w:hAnsi="Times New Roman" w:cs="Times New Roman"/>
        </w:rPr>
      </w:pPr>
      <w:r>
        <w:rPr>
          <w:rFonts w:ascii="Times New Roman" w:hAnsi="Times New Roman" w:cs="Times New Roman"/>
        </w:rPr>
        <w:t xml:space="preserve">Dalam Islam alasan diberikannya pengampunan sangat banyak, seharusnya itu menjadi acuan alasan kontribusi pembaharuan dalam hukum pidana positif mengapa adanya pemberian grasi </w:t>
      </w:r>
      <w:r>
        <w:rPr>
          <w:rFonts w:ascii="Times New Roman" w:hAnsi="Times New Roman" w:cs="Times New Roman"/>
          <w:lang w:val="en-US"/>
        </w:rPr>
        <w:t xml:space="preserve">atau pengampunan </w:t>
      </w:r>
      <w:r>
        <w:rPr>
          <w:rFonts w:ascii="Times New Roman" w:hAnsi="Times New Roman" w:cs="Times New Roman"/>
        </w:rPr>
        <w:t xml:space="preserve">kepada terpidana. </w:t>
      </w:r>
      <w:r>
        <w:rPr>
          <w:rFonts w:ascii="Times New Roman" w:hAnsi="Times New Roman" w:cs="Times New Roman"/>
          <w:lang w:val="en-US"/>
        </w:rPr>
        <w:t xml:space="preserve">Selain atas dasar kemanusiaan, manusia juga tidak luput dari salah dan berhak untuk hidup lebih baik lagi, karena pengampunan Allah yang begitu besar,kesalahan itu bisa diperbaiki lagi menjadi lebih baik dengan taubat yang bersungguh-sungguh. </w:t>
      </w:r>
    </w:p>
    <w:p>
      <w:pPr>
        <w:numPr>
          <w:ilvl w:val="0"/>
          <w:numId w:val="64"/>
        </w:numPr>
        <w:tabs>
          <w:tab w:val="left" w:pos="800"/>
          <w:tab w:val="clear" w:pos="425"/>
        </w:tabs>
        <w:spacing w:after="0" w:line="312" w:lineRule="auto"/>
        <w:ind w:left="833" w:leftChars="200" w:hanging="393" w:hangingChars="179"/>
        <w:contextualSpacing/>
        <w:jc w:val="both"/>
        <w:rPr>
          <w:rFonts w:ascii="Times New Roman" w:hAnsi="Times New Roman" w:cs="Times New Roman"/>
        </w:rPr>
      </w:pPr>
      <w:r>
        <w:rPr>
          <w:rFonts w:ascii="Times New Roman" w:hAnsi="Times New Roman" w:cs="Times New Roman"/>
          <w:lang w:val="en-US"/>
        </w:rPr>
        <w:t>Dalam hal ini perlu adanya pengawasan dan peraturan yang lebih ketat mengenai UU Pasal sampai Ayat per Ayat, agar lebih teratur dan terkondisikan sesuai peraturan yang berlaku. Perlu adanya pedoman pelaksanaan proses pemberian grasi. Diperlukan juga peraturan yang menjadi dasar pertimbangan Presiden memberikan grasi dan memperhatikan dengan cermat pertimbangan dari Mahkamah Agung. Alasan mengapa diberikannya grasi atas dasar pertimbangan yuridis juga harus tegas, jelas dan logis dengan memperhatikan keadilan masyarakat dan pemberitahuan alasan secara transparan kepada masyarakat, agar tidak ada anggapan negatif dari publik mengenai pemberian grasi oleh Presiden. Perlu adanya evaluasi bila perlu revisi UU dalam tanggat waktu proses grasi, teknis dan tahap berjalannya hukum agar sesuai dengan peraturan yang berlaku.</w:t>
      </w:r>
    </w:p>
    <w:p>
      <w:pPr>
        <w:tabs>
          <w:tab w:val="left" w:pos="800"/>
        </w:tabs>
        <w:spacing w:after="0" w:line="312" w:lineRule="auto"/>
        <w:contextualSpacing/>
        <w:jc w:val="both"/>
        <w:rPr>
          <w:rFonts w:ascii="Times New Roman" w:hAnsi="Times New Roman" w:cs="Times New Roman"/>
        </w:rPr>
        <w:sectPr>
          <w:footerReference r:id="rId17" w:type="first"/>
          <w:pgSz w:w="8335" w:h="11850"/>
          <w:pgMar w:top="1418" w:right="1134" w:bottom="1134" w:left="1418" w:header="720" w:footer="720" w:gutter="0"/>
          <w:cols w:space="720" w:num="1"/>
          <w:titlePg/>
          <w:docGrid w:linePitch="299" w:charSpace="0"/>
        </w:sectPr>
      </w:pPr>
    </w:p>
    <w:p>
      <w:pPr>
        <w:pStyle w:val="2"/>
        <w:rPr>
          <w:sz w:val="24"/>
          <w:szCs w:val="24"/>
        </w:rPr>
      </w:pPr>
      <w:bookmarkStart w:id="41" w:name="_Toc199801688"/>
      <w:r>
        <w:rPr>
          <w:sz w:val="24"/>
          <w:szCs w:val="24"/>
        </w:rPr>
        <w:t>DAFTAR PUSTAKA</w:t>
      </w:r>
      <w:bookmarkEnd w:id="41"/>
    </w:p>
    <w:p>
      <w:pPr>
        <w:spacing w:after="0" w:line="312" w:lineRule="auto"/>
        <w:ind w:left="647" w:hanging="645" w:hangingChars="293"/>
        <w:contextualSpacing/>
        <w:jc w:val="both"/>
        <w:rPr>
          <w:rFonts w:ascii="Times New Roman" w:hAnsi="Times New Roman" w:cs="Times New Roman"/>
          <w:b/>
          <w:bCs/>
        </w:rPr>
      </w:pPr>
      <w:r>
        <w:rPr>
          <w:rFonts w:ascii="Times New Roman" w:hAnsi="Times New Roman" w:cs="Times New Roman"/>
          <w:b/>
          <w:bCs/>
          <w:lang w:val="en-US"/>
        </w:rPr>
        <w:t>Buku</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Abd</w:t>
      </w:r>
      <w:r>
        <w:rPr>
          <w:rFonts w:ascii="Times New Roman" w:hAnsi="Times New Roman" w:cs="Times New Roman"/>
          <w:sz w:val="22"/>
          <w:szCs w:val="22"/>
          <w:lang w:val="en-US"/>
        </w:rPr>
        <w:t>ul</w:t>
      </w:r>
      <w:r>
        <w:rPr>
          <w:rFonts w:ascii="Times New Roman" w:hAnsi="Times New Roman" w:cs="Times New Roman"/>
          <w:sz w:val="22"/>
          <w:szCs w:val="22"/>
        </w:rPr>
        <w:t xml:space="preserve"> </w:t>
      </w:r>
      <w:r>
        <w:rPr>
          <w:rFonts w:ascii="Times New Roman" w:hAnsi="Times New Roman" w:cs="Times New Roman"/>
          <w:sz w:val="22"/>
          <w:szCs w:val="22"/>
          <w:lang w:val="en-US"/>
        </w:rPr>
        <w:t>A</w:t>
      </w:r>
      <w:r>
        <w:rPr>
          <w:rFonts w:ascii="Times New Roman" w:hAnsi="Times New Roman" w:cs="Times New Roman"/>
          <w:sz w:val="22"/>
          <w:szCs w:val="22"/>
        </w:rPr>
        <w:t>l-Qadir 'Awdah</w:t>
      </w:r>
      <w:r>
        <w:rPr>
          <w:rFonts w:ascii="Times New Roman" w:hAnsi="Times New Roman" w:cs="Times New Roman"/>
          <w:i/>
          <w:iCs/>
          <w:sz w:val="22"/>
          <w:szCs w:val="22"/>
        </w:rPr>
        <w:t xml:space="preserve">, al-Taryri' al-Jina'i al-Islami, </w:t>
      </w:r>
      <w:r>
        <w:rPr>
          <w:rFonts w:ascii="Times New Roman" w:hAnsi="Times New Roman" w:cs="Times New Roman"/>
          <w:sz w:val="22"/>
          <w:szCs w:val="22"/>
        </w:rPr>
        <w:t xml:space="preserve">(Beirut: </w:t>
      </w:r>
      <w:r>
        <w:rPr>
          <w:rFonts w:ascii="Times New Roman" w:hAnsi="Times New Roman" w:cs="Times New Roman"/>
          <w:sz w:val="22"/>
          <w:szCs w:val="22"/>
          <w:lang w:val="en-US"/>
        </w:rPr>
        <w:t xml:space="preserve">MU </w:t>
      </w:r>
      <w:r>
        <w:rPr>
          <w:rFonts w:ascii="Times New Roman" w:hAnsi="Times New Roman" w:cs="Times New Roman"/>
          <w:sz w:val="22"/>
          <w:szCs w:val="22"/>
        </w:rPr>
        <w:t>'assasah al-Risalah, 1996), I: 774.</w:t>
      </w:r>
    </w:p>
    <w:p>
      <w:pPr>
        <w:spacing w:after="0" w:line="312" w:lineRule="auto"/>
        <w:ind w:left="645" w:right="-16" w:hanging="644" w:hangingChars="293"/>
        <w:contextualSpacing/>
        <w:jc w:val="both"/>
        <w:rPr>
          <w:rFonts w:ascii="Times New Roman" w:hAnsi="Times New Roman" w:cs="Times New Roman"/>
        </w:rPr>
      </w:pPr>
      <w:r>
        <w:rPr>
          <w:rFonts w:ascii="Times New Roman" w:hAnsi="Times New Roman" w:cs="Times New Roman"/>
        </w:rPr>
        <w:t xml:space="preserve">Abdul Qadir Audah, Ensiklopedi Hukum Pidana Islam terjemah Tim Tsalisah </w:t>
      </w:r>
      <w:r>
        <w:rPr>
          <w:rFonts w:ascii="Times New Roman" w:hAnsi="Times New Roman" w:cs="Times New Roman"/>
          <w:i/>
        </w:rPr>
        <w:t>dari al-</w:t>
      </w:r>
      <w:r>
        <w:rPr>
          <w:rFonts w:ascii="Times New Roman" w:hAnsi="Times New Roman" w:cs="Times New Roman"/>
          <w:i/>
          <w:spacing w:val="1"/>
        </w:rPr>
        <w:t xml:space="preserve"> </w:t>
      </w:r>
      <w:r>
        <w:rPr>
          <w:rFonts w:ascii="Times New Roman" w:hAnsi="Times New Roman" w:cs="Times New Roman"/>
          <w:i/>
        </w:rPr>
        <w:t>Tasyri’ al-Jina’i al-Islamiy MU qaranan bil Qanunil Wad’iy</w:t>
      </w:r>
      <w:r>
        <w:rPr>
          <w:rFonts w:ascii="Times New Roman" w:hAnsi="Times New Roman" w:cs="Times New Roman"/>
        </w:rPr>
        <w:t>, (Bogor: P.T. Kharisma ilMU, tth),</w:t>
      </w:r>
      <w:r>
        <w:rPr>
          <w:rFonts w:ascii="Times New Roman" w:hAnsi="Times New Roman" w:cs="Times New Roman"/>
          <w:spacing w:val="1"/>
        </w:rPr>
        <w:t xml:space="preserve"> </w:t>
      </w:r>
      <w:r>
        <w:rPr>
          <w:rFonts w:ascii="Times New Roman" w:hAnsi="Times New Roman" w:cs="Times New Roman"/>
        </w:rPr>
        <w:t>Jilid</w:t>
      </w:r>
      <w:r>
        <w:rPr>
          <w:rFonts w:ascii="Times New Roman" w:hAnsi="Times New Roman" w:cs="Times New Roman"/>
          <w:spacing w:val="-3"/>
        </w:rPr>
        <w:t xml:space="preserve"> </w:t>
      </w:r>
      <w:r>
        <w:rPr>
          <w:rFonts w:ascii="Times New Roman" w:hAnsi="Times New Roman" w:cs="Times New Roman"/>
        </w:rPr>
        <w:t>III</w:t>
      </w:r>
      <w:r>
        <w:rPr>
          <w:rFonts w:ascii="Times New Roman" w:hAnsi="Times New Roman" w:cs="Times New Roman"/>
          <w:spacing w:val="-6"/>
        </w:rPr>
        <w:t xml:space="preserve"> </w:t>
      </w:r>
      <w:r>
        <w:rPr>
          <w:rFonts w:ascii="Times New Roman" w:hAnsi="Times New Roman" w:cs="Times New Roman"/>
        </w:rPr>
        <w:t>h.</w:t>
      </w:r>
      <w:r>
        <w:rPr>
          <w:rFonts w:ascii="Times New Roman" w:hAnsi="Times New Roman" w:cs="Times New Roman"/>
          <w:spacing w:val="4"/>
        </w:rPr>
        <w:t xml:space="preserve"> </w:t>
      </w:r>
      <w:r>
        <w:rPr>
          <w:rFonts w:ascii="Times New Roman" w:hAnsi="Times New Roman" w:cs="Times New Roman"/>
        </w:rPr>
        <w:t>171.</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eastAsia="SimSun" w:cs="Times New Roman"/>
          <w:sz w:val="22"/>
          <w:szCs w:val="22"/>
        </w:rPr>
        <w:t>Abi ‘Abdillah Muhammad bin Isma‘il bin Ibrahim ibn Bardizbah al-Bukhari al-Ja‘fi, al Jami‘ al-Musnad al-Sahih al-Mukhtasar, Juz. III (Cet. I; t.t.: Dar Tuq al-Nujah, 1422), h. 82.</w:t>
      </w:r>
    </w:p>
    <w:p>
      <w:pPr>
        <w:pStyle w:val="8"/>
        <w:snapToGrid w:val="0"/>
        <w:spacing w:line="312" w:lineRule="auto"/>
        <w:ind w:left="645" w:hanging="644" w:hangingChars="293"/>
        <w:jc w:val="both"/>
        <w:rPr>
          <w:rFonts w:ascii="Times New Roman" w:hAnsi="Times New Roman" w:cs="Times New Roman"/>
          <w:sz w:val="22"/>
          <w:szCs w:val="22"/>
        </w:rPr>
      </w:pPr>
      <w:r>
        <w:rPr>
          <w:rFonts w:ascii="Times New Roman" w:hAnsi="Times New Roman" w:eastAsia="SimSun" w:cs="Times New Roman"/>
          <w:sz w:val="22"/>
          <w:szCs w:val="22"/>
        </w:rPr>
        <w:t xml:space="preserve">Ahmad Bahar, </w:t>
      </w:r>
      <w:r>
        <w:rPr>
          <w:rFonts w:ascii="Times New Roman" w:hAnsi="Times New Roman" w:eastAsia="SimSun" w:cs="Times New Roman"/>
          <w:i/>
          <w:iCs/>
          <w:sz w:val="22"/>
          <w:szCs w:val="22"/>
        </w:rPr>
        <w:t>Lihan Ustadz Pengusaha</w:t>
      </w:r>
      <w:r>
        <w:rPr>
          <w:rFonts w:ascii="Times New Roman" w:hAnsi="Times New Roman" w:eastAsia="SimSun" w:cs="Times New Roman"/>
          <w:i/>
          <w:iCs/>
          <w:sz w:val="22"/>
          <w:szCs w:val="22"/>
          <w:lang w:val="en-US"/>
        </w:rPr>
        <w:t>,</w:t>
      </w:r>
      <w:r>
        <w:rPr>
          <w:rFonts w:ascii="Times New Roman" w:hAnsi="Times New Roman" w:eastAsia="SimSun" w:cs="Times New Roman"/>
          <w:sz w:val="22"/>
          <w:szCs w:val="22"/>
        </w:rPr>
        <w:t xml:space="preserve"> (Cet. 2; Jakarta: Pena Multi Media, 2008), h. 141</w:t>
      </w:r>
      <w:r>
        <w:rPr>
          <w:rFonts w:ascii="Times New Roman" w:hAnsi="Times New Roman" w:eastAsia="SimSun" w:cs="Times New Roman"/>
          <w:sz w:val="22"/>
          <w:szCs w:val="22"/>
          <w:lang w:val="en-US"/>
        </w:rPr>
        <w:t>-</w:t>
      </w:r>
      <w:r>
        <w:rPr>
          <w:rFonts w:ascii="Times New Roman" w:hAnsi="Times New Roman" w:eastAsia="SimSun" w:cs="Times New Roman"/>
          <w:sz w:val="22"/>
          <w:szCs w:val="22"/>
        </w:rPr>
        <w:t>142</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Ahmad</w:t>
      </w:r>
      <w:r>
        <w:rPr>
          <w:rFonts w:ascii="Times New Roman" w:hAnsi="Times New Roman" w:cs="Times New Roman"/>
          <w:spacing w:val="-4"/>
          <w:sz w:val="22"/>
          <w:szCs w:val="22"/>
        </w:rPr>
        <w:t xml:space="preserve"> </w:t>
      </w:r>
      <w:r>
        <w:rPr>
          <w:rFonts w:ascii="Times New Roman" w:hAnsi="Times New Roman" w:cs="Times New Roman"/>
          <w:sz w:val="22"/>
          <w:szCs w:val="22"/>
        </w:rPr>
        <w:t>Warson</w:t>
      </w:r>
      <w:r>
        <w:rPr>
          <w:rFonts w:ascii="Times New Roman" w:hAnsi="Times New Roman" w:cs="Times New Roman"/>
          <w:spacing w:val="-6"/>
          <w:sz w:val="22"/>
          <w:szCs w:val="22"/>
        </w:rPr>
        <w:t xml:space="preserve"> </w:t>
      </w:r>
      <w:r>
        <w:rPr>
          <w:rFonts w:ascii="Times New Roman" w:hAnsi="Times New Roman" w:cs="Times New Roman"/>
          <w:sz w:val="22"/>
          <w:szCs w:val="22"/>
          <w:lang w:val="en-US"/>
        </w:rPr>
        <w:t>Mu</w:t>
      </w:r>
      <w:r>
        <w:rPr>
          <w:rFonts w:ascii="Times New Roman" w:hAnsi="Times New Roman" w:cs="Times New Roman"/>
          <w:sz w:val="22"/>
          <w:szCs w:val="22"/>
        </w:rPr>
        <w:t>nawwir,</w:t>
      </w:r>
      <w:r>
        <w:rPr>
          <w:rFonts w:ascii="Times New Roman" w:hAnsi="Times New Roman" w:cs="Times New Roman"/>
          <w:spacing w:val="-2"/>
          <w:sz w:val="22"/>
          <w:szCs w:val="22"/>
        </w:rPr>
        <w:t xml:space="preserve"> </w:t>
      </w:r>
      <w:r>
        <w:rPr>
          <w:rFonts w:ascii="Times New Roman" w:hAnsi="Times New Roman" w:cs="Times New Roman"/>
          <w:i/>
          <w:sz w:val="22"/>
          <w:szCs w:val="22"/>
          <w:lang w:val="en-US"/>
        </w:rPr>
        <w:t>kamu</w:t>
      </w:r>
      <w:r>
        <w:rPr>
          <w:rFonts w:ascii="Times New Roman" w:hAnsi="Times New Roman" w:cs="Times New Roman"/>
          <w:i/>
          <w:sz w:val="22"/>
          <w:szCs w:val="22"/>
        </w:rPr>
        <w:t>s</w:t>
      </w:r>
      <w:r>
        <w:rPr>
          <w:rFonts w:ascii="Times New Roman" w:hAnsi="Times New Roman" w:cs="Times New Roman"/>
          <w:i/>
          <w:spacing w:val="-6"/>
          <w:sz w:val="22"/>
          <w:szCs w:val="22"/>
        </w:rPr>
        <w:t xml:space="preserve"> </w:t>
      </w:r>
      <w:r>
        <w:rPr>
          <w:rFonts w:ascii="Times New Roman" w:hAnsi="Times New Roman" w:cs="Times New Roman"/>
          <w:i/>
          <w:sz w:val="22"/>
          <w:szCs w:val="22"/>
        </w:rPr>
        <w:t>Al-</w:t>
      </w:r>
      <w:r>
        <w:rPr>
          <w:rFonts w:ascii="Times New Roman" w:hAnsi="Times New Roman" w:cs="Times New Roman"/>
          <w:i/>
          <w:sz w:val="22"/>
          <w:szCs w:val="22"/>
          <w:lang w:val="en-US"/>
        </w:rPr>
        <w:t>Mu</w:t>
      </w:r>
      <w:r>
        <w:rPr>
          <w:rFonts w:ascii="Times New Roman" w:hAnsi="Times New Roman" w:cs="Times New Roman"/>
          <w:i/>
          <w:sz w:val="22"/>
          <w:szCs w:val="22"/>
        </w:rPr>
        <w:t>nawwir</w:t>
      </w:r>
      <w:r>
        <w:rPr>
          <w:rFonts w:ascii="Times New Roman" w:hAnsi="Times New Roman" w:cs="Times New Roman"/>
          <w:i/>
          <w:spacing w:val="-6"/>
          <w:sz w:val="22"/>
          <w:szCs w:val="22"/>
        </w:rPr>
        <w:t xml:space="preserve"> </w:t>
      </w:r>
      <w:r>
        <w:rPr>
          <w:rFonts w:ascii="Times New Roman" w:hAnsi="Times New Roman" w:cs="Times New Roman"/>
          <w:i/>
          <w:sz w:val="22"/>
          <w:szCs w:val="22"/>
        </w:rPr>
        <w:t>Arab-Indonesia</w:t>
      </w:r>
      <w:r>
        <w:rPr>
          <w:rFonts w:ascii="Times New Roman" w:hAnsi="Times New Roman" w:cs="Times New Roman"/>
          <w:i/>
          <w:spacing w:val="-5"/>
          <w:sz w:val="22"/>
          <w:szCs w:val="22"/>
        </w:rPr>
        <w:t xml:space="preserve"> </w:t>
      </w:r>
      <w:r>
        <w:rPr>
          <w:rFonts w:ascii="Times New Roman" w:hAnsi="Times New Roman" w:cs="Times New Roman"/>
          <w:i/>
          <w:sz w:val="22"/>
          <w:szCs w:val="22"/>
        </w:rPr>
        <w:t>Terlengkap</w:t>
      </w:r>
      <w:r>
        <w:rPr>
          <w:rFonts w:ascii="Times New Roman" w:hAnsi="Times New Roman" w:cs="Times New Roman"/>
          <w:sz w:val="22"/>
          <w:szCs w:val="22"/>
        </w:rPr>
        <w:t>, (Surabaya: Pustaka Progressif, 1997), 729.</w:t>
      </w:r>
    </w:p>
    <w:p>
      <w:pPr>
        <w:spacing w:after="0" w:line="312" w:lineRule="auto"/>
        <w:ind w:left="645" w:right="-15" w:rightChars="-7" w:hanging="644" w:hangingChars="293"/>
        <w:contextualSpacing/>
        <w:jc w:val="both"/>
        <w:rPr>
          <w:rFonts w:ascii="Times New Roman" w:hAnsi="Times New Roman" w:cs="Times New Roman"/>
        </w:rPr>
      </w:pPr>
      <w:r>
        <w:rPr>
          <w:rFonts w:ascii="Times New Roman" w:hAnsi="Times New Roman" w:cs="Times New Roman"/>
        </w:rPr>
        <w:t>Ali</w:t>
      </w:r>
      <w:r>
        <w:rPr>
          <w:rFonts w:ascii="Times New Roman" w:hAnsi="Times New Roman" w:cs="Times New Roman"/>
          <w:spacing w:val="26"/>
        </w:rPr>
        <w:t xml:space="preserve"> B</w:t>
      </w:r>
      <w:r>
        <w:rPr>
          <w:rFonts w:ascii="Times New Roman" w:hAnsi="Times New Roman" w:cs="Times New Roman"/>
        </w:rPr>
        <w:t>in</w:t>
      </w:r>
      <w:r>
        <w:rPr>
          <w:rFonts w:ascii="Times New Roman" w:hAnsi="Times New Roman" w:cs="Times New Roman"/>
          <w:spacing w:val="35"/>
        </w:rPr>
        <w:t xml:space="preserve"> </w:t>
      </w:r>
      <w:r>
        <w:rPr>
          <w:rFonts w:ascii="Times New Roman" w:hAnsi="Times New Roman" w:cs="Times New Roman"/>
        </w:rPr>
        <w:t>Umar</w:t>
      </w:r>
      <w:r>
        <w:rPr>
          <w:rFonts w:ascii="Times New Roman" w:hAnsi="Times New Roman" w:cs="Times New Roman"/>
          <w:spacing w:val="30"/>
        </w:rPr>
        <w:t xml:space="preserve"> </w:t>
      </w:r>
      <w:r>
        <w:rPr>
          <w:rFonts w:ascii="Times New Roman" w:hAnsi="Times New Roman" w:cs="Times New Roman"/>
        </w:rPr>
        <w:t>al-Daruqutni,</w:t>
      </w:r>
      <w:r>
        <w:rPr>
          <w:rFonts w:ascii="Times New Roman" w:hAnsi="Times New Roman" w:cs="Times New Roman"/>
          <w:spacing w:val="28"/>
        </w:rPr>
        <w:t xml:space="preserve"> </w:t>
      </w:r>
      <w:r>
        <w:rPr>
          <w:rFonts w:ascii="Times New Roman" w:hAnsi="Times New Roman" w:cs="Times New Roman"/>
          <w:i/>
        </w:rPr>
        <w:t>Sunan</w:t>
      </w:r>
      <w:r>
        <w:rPr>
          <w:rFonts w:ascii="Times New Roman" w:hAnsi="Times New Roman" w:cs="Times New Roman"/>
          <w:i/>
          <w:spacing w:val="24"/>
        </w:rPr>
        <w:t xml:space="preserve"> </w:t>
      </w:r>
      <w:r>
        <w:rPr>
          <w:rFonts w:ascii="Times New Roman" w:hAnsi="Times New Roman" w:cs="Times New Roman"/>
          <w:i/>
        </w:rPr>
        <w:t>al-Daruqutni</w:t>
      </w:r>
      <w:r>
        <w:rPr>
          <w:rFonts w:ascii="Times New Roman" w:hAnsi="Times New Roman" w:cs="Times New Roman"/>
          <w:i/>
          <w:spacing w:val="27"/>
        </w:rPr>
        <w:t xml:space="preserve"> </w:t>
      </w:r>
      <w:r>
        <w:rPr>
          <w:rFonts w:ascii="Times New Roman" w:hAnsi="Times New Roman" w:cs="Times New Roman"/>
          <w:i/>
        </w:rPr>
        <w:t>‚fi</w:t>
      </w:r>
      <w:r>
        <w:rPr>
          <w:rFonts w:ascii="Times New Roman" w:hAnsi="Times New Roman" w:cs="Times New Roman"/>
          <w:i/>
          <w:spacing w:val="31"/>
        </w:rPr>
        <w:t xml:space="preserve"> </w:t>
      </w:r>
      <w:r>
        <w:rPr>
          <w:rFonts w:ascii="Times New Roman" w:hAnsi="Times New Roman" w:cs="Times New Roman"/>
          <w:i/>
        </w:rPr>
        <w:t>Kitab</w:t>
      </w:r>
      <w:r>
        <w:rPr>
          <w:rFonts w:ascii="Times New Roman" w:hAnsi="Times New Roman" w:cs="Times New Roman"/>
          <w:i/>
          <w:spacing w:val="30"/>
        </w:rPr>
        <w:t xml:space="preserve"> </w:t>
      </w:r>
      <w:r>
        <w:rPr>
          <w:rFonts w:ascii="Times New Roman" w:hAnsi="Times New Roman" w:cs="Times New Roman"/>
          <w:i/>
        </w:rPr>
        <w:t>al-Hudud</w:t>
      </w:r>
      <w:r>
        <w:rPr>
          <w:rFonts w:ascii="Times New Roman" w:hAnsi="Times New Roman" w:cs="Times New Roman"/>
          <w:i/>
          <w:spacing w:val="30"/>
        </w:rPr>
        <w:t xml:space="preserve"> </w:t>
      </w:r>
      <w:r>
        <w:rPr>
          <w:rFonts w:ascii="Times New Roman" w:hAnsi="Times New Roman" w:cs="Times New Roman"/>
          <w:i/>
        </w:rPr>
        <w:t>wa</w:t>
      </w:r>
      <w:r>
        <w:rPr>
          <w:rFonts w:ascii="Times New Roman" w:hAnsi="Times New Roman" w:cs="Times New Roman"/>
          <w:i/>
          <w:spacing w:val="29"/>
        </w:rPr>
        <w:t xml:space="preserve"> </w:t>
      </w:r>
      <w:r>
        <w:rPr>
          <w:rFonts w:ascii="Times New Roman" w:hAnsi="Times New Roman" w:cs="Times New Roman"/>
          <w:i/>
        </w:rPr>
        <w:t>al-Diyat</w:t>
      </w:r>
      <w:r>
        <w:rPr>
          <w:rFonts w:ascii="Times New Roman" w:hAnsi="Times New Roman" w:cs="Times New Roman"/>
          <w:i/>
          <w:spacing w:val="31"/>
        </w:rPr>
        <w:t xml:space="preserve"> </w:t>
      </w:r>
      <w:r>
        <w:rPr>
          <w:rFonts w:ascii="Times New Roman" w:hAnsi="Times New Roman" w:cs="Times New Roman"/>
          <w:i/>
        </w:rPr>
        <w:t>wa</w:t>
      </w:r>
      <w:r>
        <w:rPr>
          <w:rFonts w:ascii="Times New Roman" w:hAnsi="Times New Roman" w:cs="Times New Roman"/>
          <w:i/>
          <w:spacing w:val="-47"/>
        </w:rPr>
        <w:t xml:space="preserve"> </w:t>
      </w:r>
      <w:r>
        <w:rPr>
          <w:rFonts w:ascii="Times New Roman" w:hAnsi="Times New Roman" w:cs="Times New Roman"/>
          <w:i/>
        </w:rPr>
        <w:t>Ghayrihi</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(Beirut:</w:t>
      </w:r>
      <w:r>
        <w:rPr>
          <w:rFonts w:ascii="Times New Roman" w:hAnsi="Times New Roman" w:cs="Times New Roman"/>
          <w:spacing w:val="-1"/>
        </w:rPr>
        <w:t xml:space="preserve"> </w:t>
      </w:r>
      <w:r>
        <w:rPr>
          <w:rFonts w:ascii="Times New Roman" w:hAnsi="Times New Roman" w:cs="Times New Roman"/>
        </w:rPr>
        <w:t>Dar</w:t>
      </w:r>
      <w:r>
        <w:rPr>
          <w:rFonts w:ascii="Times New Roman" w:hAnsi="Times New Roman" w:cs="Times New Roman"/>
          <w:spacing w:val="2"/>
        </w:rPr>
        <w:t xml:space="preserve"> </w:t>
      </w:r>
      <w:r>
        <w:rPr>
          <w:rFonts w:ascii="Times New Roman" w:hAnsi="Times New Roman" w:cs="Times New Roman"/>
        </w:rPr>
        <w:t>Ibn</w:t>
      </w:r>
      <w:r>
        <w:rPr>
          <w:rFonts w:ascii="Times New Roman" w:hAnsi="Times New Roman" w:cs="Times New Roman"/>
          <w:spacing w:val="2"/>
        </w:rPr>
        <w:t xml:space="preserve"> </w:t>
      </w:r>
      <w:r>
        <w:rPr>
          <w:rFonts w:ascii="Times New Roman" w:hAnsi="Times New Roman" w:cs="Times New Roman"/>
        </w:rPr>
        <w:t>Hazm, 2011),</w:t>
      </w:r>
      <w:r>
        <w:rPr>
          <w:rFonts w:ascii="Times New Roman" w:hAnsi="Times New Roman" w:cs="Times New Roman"/>
          <w:spacing w:val="-5"/>
        </w:rPr>
        <w:t xml:space="preserve"> </w:t>
      </w:r>
      <w:r>
        <w:rPr>
          <w:rFonts w:ascii="Times New Roman" w:hAnsi="Times New Roman" w:cs="Times New Roman"/>
        </w:rPr>
        <w:t>665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Ali </w:t>
      </w:r>
      <w:r>
        <w:rPr>
          <w:rFonts w:ascii="Times New Roman" w:hAnsi="Times New Roman" w:cs="Times New Roman"/>
          <w:sz w:val="22"/>
          <w:szCs w:val="22"/>
          <w:lang w:val="en-US"/>
        </w:rPr>
        <w:t>I</w:t>
      </w:r>
      <w:r>
        <w:rPr>
          <w:rFonts w:ascii="Times New Roman" w:hAnsi="Times New Roman" w:cs="Times New Roman"/>
          <w:sz w:val="22"/>
          <w:szCs w:val="22"/>
        </w:rPr>
        <w:t xml:space="preserve">bn </w:t>
      </w:r>
      <w:r>
        <w:rPr>
          <w:rFonts w:ascii="Times New Roman" w:hAnsi="Times New Roman" w:cs="Times New Roman"/>
          <w:sz w:val="22"/>
          <w:szCs w:val="22"/>
          <w:lang w:val="en-US"/>
        </w:rPr>
        <w:t>Muhammad</w:t>
      </w:r>
      <w:r>
        <w:rPr>
          <w:rFonts w:ascii="Times New Roman" w:hAnsi="Times New Roman" w:cs="Times New Roman"/>
          <w:sz w:val="22"/>
          <w:szCs w:val="22"/>
        </w:rPr>
        <w:t xml:space="preserve"> </w:t>
      </w:r>
      <w:r>
        <w:rPr>
          <w:rFonts w:ascii="Times New Roman" w:hAnsi="Times New Roman" w:cs="Times New Roman"/>
          <w:i/>
          <w:iCs/>
          <w:sz w:val="22"/>
          <w:szCs w:val="22"/>
        </w:rPr>
        <w:t>'Ali al-Jurjani, al-Taifat,</w:t>
      </w:r>
      <w:r>
        <w:rPr>
          <w:rFonts w:ascii="Times New Roman" w:hAnsi="Times New Roman" w:cs="Times New Roman"/>
          <w:sz w:val="22"/>
          <w:szCs w:val="22"/>
        </w:rPr>
        <w:t xml:space="preserve"> (Beirut: Dar al-</w:t>
      </w:r>
      <w:r>
        <w:rPr>
          <w:rFonts w:ascii="Times New Roman" w:hAnsi="Times New Roman" w:cs="Times New Roman"/>
          <w:sz w:val="22"/>
          <w:szCs w:val="22"/>
          <w:lang w:val="en-US"/>
        </w:rPr>
        <w:t>Kitab</w:t>
      </w:r>
      <w:r>
        <w:rPr>
          <w:rFonts w:ascii="Times New Roman" w:hAnsi="Times New Roman" w:cs="Times New Roman"/>
          <w:sz w:val="22"/>
          <w:szCs w:val="22"/>
        </w:rPr>
        <w:t xml:space="preserve"> al-Arabi, tt), 1: </w:t>
      </w:r>
    </w:p>
    <w:p>
      <w:pPr>
        <w:pStyle w:val="8"/>
        <w:snapToGrid w:val="0"/>
        <w:spacing w:line="312" w:lineRule="auto"/>
        <w:ind w:left="645" w:hanging="644" w:hangingChars="293"/>
        <w:jc w:val="both"/>
        <w:rPr>
          <w:rFonts w:ascii="Times New Roman" w:hAnsi="Times New Roman" w:cs="Times New Roman"/>
          <w:sz w:val="22"/>
          <w:szCs w:val="22"/>
        </w:rPr>
      </w:pPr>
      <w:r>
        <w:rPr>
          <w:rFonts w:ascii="Times New Roman" w:hAnsi="Times New Roman" w:eastAsia="SimSun" w:cs="Times New Roman"/>
          <w:sz w:val="22"/>
          <w:szCs w:val="22"/>
        </w:rPr>
        <w:t>Amir Syarifuddin, Garis-garis Besar Fiqih (Cet. 1; Jakarta: Kencana, 2003), h. 293</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Anang Priyanto, </w:t>
      </w:r>
      <w:r>
        <w:rPr>
          <w:rFonts w:ascii="Times New Roman" w:hAnsi="Times New Roman" w:cs="Times New Roman"/>
          <w:i/>
          <w:iCs/>
          <w:sz w:val="22"/>
          <w:szCs w:val="22"/>
        </w:rPr>
        <w:t>Hukum Acara Pidana Indonesia</w:t>
      </w:r>
      <w:r>
        <w:rPr>
          <w:rFonts w:ascii="Times New Roman" w:hAnsi="Times New Roman" w:cs="Times New Roman"/>
          <w:sz w:val="22"/>
          <w:szCs w:val="22"/>
        </w:rPr>
        <w:t>, (Yogyakarta: Ombak, 2012),  138.</w:t>
      </w:r>
    </w:p>
    <w:p>
      <w:pPr>
        <w:pStyle w:val="8"/>
        <w:snapToGrid w:val="0"/>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Departemen Agama RI, </w:t>
      </w:r>
      <w:r>
        <w:rPr>
          <w:rFonts w:ascii="Times New Roman" w:hAnsi="Times New Roman" w:cs="Times New Roman"/>
          <w:i/>
          <w:iCs/>
          <w:sz w:val="22"/>
          <w:szCs w:val="22"/>
          <w:lang w:val="en-US"/>
        </w:rPr>
        <w:t xml:space="preserve"> </w:t>
      </w:r>
      <w:r>
        <w:rPr>
          <w:rFonts w:ascii="Times New Roman" w:hAnsi="Times New Roman" w:cs="Times New Roman"/>
          <w:i/>
          <w:iCs/>
          <w:sz w:val="22"/>
          <w:szCs w:val="22"/>
        </w:rPr>
        <w:t xml:space="preserve">"Al Qur'an dan Terjemah Special For Woman", </w:t>
      </w:r>
      <w:r>
        <w:rPr>
          <w:rFonts w:ascii="Times New Roman" w:hAnsi="Times New Roman" w:cs="Times New Roman"/>
          <w:sz w:val="22"/>
          <w:szCs w:val="22"/>
        </w:rPr>
        <w:t>Al Maidah:90, (PT Sygma: 2009), 12</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 Departemen Agama RI, </w:t>
      </w:r>
      <w:r>
        <w:rPr>
          <w:rFonts w:ascii="Times New Roman" w:hAnsi="Times New Roman" w:cs="Times New Roman"/>
          <w:i/>
          <w:iCs/>
          <w:sz w:val="22"/>
          <w:szCs w:val="22"/>
        </w:rPr>
        <w:t>"Al Qur'an dan Terjemah Special For Woman",</w:t>
      </w:r>
      <w:r>
        <w:rPr>
          <w:rFonts w:ascii="Times New Roman" w:hAnsi="Times New Roman" w:cs="Times New Roman"/>
          <w:sz w:val="22"/>
          <w:szCs w:val="22"/>
        </w:rPr>
        <w:t xml:space="preserve"> Al Baqarah: 237, (PT Sygma: 2009), 38</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Departemen Agama RI, </w:t>
      </w:r>
      <w:r>
        <w:rPr>
          <w:rFonts w:ascii="Times New Roman" w:hAnsi="Times New Roman" w:cs="Times New Roman"/>
          <w:i/>
          <w:iCs/>
          <w:sz w:val="22"/>
          <w:szCs w:val="22"/>
        </w:rPr>
        <w:t>“Al Qur’an dan Terjemah Special Women”,</w:t>
      </w:r>
      <w:r>
        <w:rPr>
          <w:rFonts w:ascii="Times New Roman" w:hAnsi="Times New Roman" w:cs="Times New Roman"/>
          <w:sz w:val="22"/>
          <w:szCs w:val="22"/>
        </w:rPr>
        <w:t xml:space="preserve"> Al Baqarah:178, (PT Sygma: 2009), 27 </w:t>
      </w:r>
    </w:p>
    <w:p>
      <w:pPr>
        <w:pStyle w:val="8"/>
        <w:snapToGrid w:val="0"/>
        <w:spacing w:line="312" w:lineRule="auto"/>
        <w:ind w:left="645" w:hanging="644" w:hangingChars="293"/>
        <w:jc w:val="both"/>
        <w:rPr>
          <w:rFonts w:ascii="Times New Roman" w:hAnsi="Times New Roman" w:cs="Times New Roman"/>
          <w:i/>
          <w:spacing w:val="-5"/>
          <w:sz w:val="22"/>
          <w:szCs w:val="22"/>
        </w:rPr>
      </w:pPr>
      <w:r>
        <w:rPr>
          <w:rFonts w:ascii="Times New Roman" w:hAnsi="Times New Roman" w:cs="Times New Roman"/>
          <w:sz w:val="22"/>
          <w:szCs w:val="22"/>
        </w:rPr>
        <w:t>Devi</w:t>
      </w:r>
      <w:r>
        <w:rPr>
          <w:rFonts w:ascii="Times New Roman" w:hAnsi="Times New Roman" w:cs="Times New Roman"/>
          <w:spacing w:val="-7"/>
          <w:sz w:val="22"/>
          <w:szCs w:val="22"/>
        </w:rPr>
        <w:t xml:space="preserve"> </w:t>
      </w:r>
      <w:r>
        <w:rPr>
          <w:rFonts w:ascii="Times New Roman" w:hAnsi="Times New Roman" w:cs="Times New Roman"/>
          <w:sz w:val="22"/>
          <w:szCs w:val="22"/>
        </w:rPr>
        <w:t>Yuliana</w:t>
      </w:r>
      <w:r>
        <w:rPr>
          <w:rFonts w:ascii="Times New Roman" w:hAnsi="Times New Roman" w:cs="Times New Roman"/>
          <w:spacing w:val="-3"/>
          <w:sz w:val="22"/>
          <w:szCs w:val="22"/>
        </w:rPr>
        <w:t xml:space="preserve"> </w:t>
      </w:r>
      <w:r>
        <w:rPr>
          <w:rFonts w:ascii="Times New Roman" w:hAnsi="Times New Roman" w:cs="Times New Roman"/>
          <w:sz w:val="22"/>
          <w:szCs w:val="22"/>
        </w:rPr>
        <w:t>Ashar,</w:t>
      </w:r>
      <w:r>
        <w:rPr>
          <w:rFonts w:ascii="Times New Roman" w:hAnsi="Times New Roman" w:cs="Times New Roman"/>
          <w:spacing w:val="-4"/>
          <w:sz w:val="22"/>
          <w:szCs w:val="22"/>
        </w:rPr>
        <w:t xml:space="preserve"> </w:t>
      </w:r>
      <w:r>
        <w:rPr>
          <w:rFonts w:ascii="Times New Roman" w:hAnsi="Times New Roman" w:cs="Times New Roman"/>
          <w:i/>
          <w:sz w:val="22"/>
          <w:szCs w:val="22"/>
        </w:rPr>
        <w:t>Kewenangan</w:t>
      </w:r>
      <w:r>
        <w:rPr>
          <w:rFonts w:ascii="Times New Roman" w:hAnsi="Times New Roman" w:cs="Times New Roman"/>
          <w:i/>
          <w:spacing w:val="-7"/>
          <w:sz w:val="22"/>
          <w:szCs w:val="22"/>
        </w:rPr>
        <w:t xml:space="preserve"> </w:t>
      </w:r>
      <w:r>
        <w:rPr>
          <w:rFonts w:ascii="Times New Roman" w:hAnsi="Times New Roman" w:cs="Times New Roman"/>
          <w:i/>
          <w:sz w:val="22"/>
          <w:szCs w:val="22"/>
        </w:rPr>
        <w:t>Presiden</w:t>
      </w:r>
      <w:r>
        <w:rPr>
          <w:rFonts w:ascii="Times New Roman" w:hAnsi="Times New Roman" w:cs="Times New Roman"/>
          <w:i/>
          <w:spacing w:val="-4"/>
          <w:sz w:val="22"/>
          <w:szCs w:val="22"/>
        </w:rPr>
        <w:t xml:space="preserve"> </w:t>
      </w:r>
      <w:r>
        <w:rPr>
          <w:rFonts w:ascii="Times New Roman" w:hAnsi="Times New Roman" w:cs="Times New Roman"/>
          <w:i/>
          <w:sz w:val="22"/>
          <w:szCs w:val="22"/>
        </w:rPr>
        <w:t>daam</w:t>
      </w:r>
      <w:r>
        <w:rPr>
          <w:rFonts w:ascii="Times New Roman" w:hAnsi="Times New Roman" w:cs="Times New Roman"/>
          <w:i/>
          <w:spacing w:val="-6"/>
          <w:sz w:val="22"/>
          <w:szCs w:val="22"/>
        </w:rPr>
        <w:t xml:space="preserve"> </w:t>
      </w:r>
      <w:r>
        <w:rPr>
          <w:rFonts w:ascii="Times New Roman" w:hAnsi="Times New Roman" w:cs="Times New Roman"/>
          <w:i/>
          <w:sz w:val="22"/>
          <w:szCs w:val="22"/>
        </w:rPr>
        <w:t>Pemberian</w:t>
      </w:r>
      <w:r>
        <w:rPr>
          <w:rFonts w:ascii="Times New Roman" w:hAnsi="Times New Roman" w:cs="Times New Roman"/>
          <w:i/>
          <w:spacing w:val="-5"/>
          <w:sz w:val="22"/>
          <w:szCs w:val="22"/>
        </w:rPr>
        <w:t xml:space="preserve"> </w:t>
      </w:r>
      <w:r>
        <w:rPr>
          <w:rFonts w:ascii="Times New Roman" w:hAnsi="Times New Roman" w:cs="Times New Roman"/>
          <w:i/>
          <w:sz w:val="22"/>
          <w:szCs w:val="22"/>
        </w:rPr>
        <w:t>Grasi,</w:t>
      </w:r>
      <w:r>
        <w:rPr>
          <w:rFonts w:ascii="Times New Roman" w:hAnsi="Times New Roman" w:cs="Times New Roman"/>
          <w:i/>
          <w:spacing w:val="-5"/>
          <w:sz w:val="22"/>
          <w:szCs w:val="22"/>
        </w:rPr>
        <w:t xml:space="preserve"> 34.</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Abdul Fattah Nasution, </w:t>
      </w:r>
      <w:r>
        <w:rPr>
          <w:rFonts w:ascii="Times New Roman" w:hAnsi="Times New Roman" w:cs="Times New Roman"/>
          <w:i/>
          <w:iCs/>
          <w:sz w:val="22"/>
          <w:szCs w:val="22"/>
          <w:lang w:val="en-US"/>
        </w:rPr>
        <w:t>Metode Penelitian Kualitatif</w:t>
      </w:r>
      <w:r>
        <w:rPr>
          <w:rFonts w:ascii="Times New Roman" w:hAnsi="Times New Roman" w:cs="Times New Roman"/>
          <w:sz w:val="22"/>
          <w:szCs w:val="22"/>
          <w:lang w:val="en-US"/>
        </w:rPr>
        <w:t>. (Bandung: CV Harfa Creative: 2023), 6.</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Ibnu Taimiyah,</w:t>
      </w:r>
      <w:r>
        <w:rPr>
          <w:rFonts w:ascii="Times New Roman" w:hAnsi="Times New Roman" w:eastAsia="SimSun" w:cs="Times New Roman"/>
          <w:i/>
          <w:iCs/>
          <w:sz w:val="22"/>
          <w:szCs w:val="22"/>
        </w:rPr>
        <w:t xml:space="preserve"> Majmu</w:t>
      </w:r>
      <w:r>
        <w:rPr>
          <w:rFonts w:ascii="Times New Roman" w:hAnsi="Times New Roman" w:eastAsia="SimSun" w:cs="Times New Roman"/>
          <w:i/>
          <w:iCs/>
          <w:sz w:val="22"/>
          <w:szCs w:val="22"/>
          <w:lang w:val="en-US"/>
        </w:rPr>
        <w:t xml:space="preserve"> </w:t>
      </w:r>
      <w:r>
        <w:rPr>
          <w:rFonts w:ascii="Times New Roman" w:hAnsi="Times New Roman" w:eastAsia="SimSun" w:cs="Times New Roman"/>
          <w:i/>
          <w:iCs/>
          <w:sz w:val="22"/>
          <w:szCs w:val="22"/>
        </w:rPr>
        <w:t xml:space="preserve">’ fatawa, </w:t>
      </w:r>
      <w:r>
        <w:rPr>
          <w:rFonts w:ascii="Times New Roman" w:hAnsi="Times New Roman" w:eastAsia="SimSun" w:cs="Times New Roman"/>
          <w:sz w:val="22"/>
          <w:szCs w:val="22"/>
        </w:rPr>
        <w:t>juz</w:t>
      </w:r>
      <w:r>
        <w:rPr>
          <w:rFonts w:ascii="Times New Roman" w:hAnsi="Times New Roman" w:eastAsia="SimSun" w:cs="Times New Roman"/>
          <w:i/>
          <w:iCs/>
          <w:sz w:val="22"/>
          <w:szCs w:val="22"/>
        </w:rPr>
        <w:t xml:space="preserve"> </w:t>
      </w:r>
      <w:r>
        <w:rPr>
          <w:rFonts w:ascii="Times New Roman" w:hAnsi="Times New Roman" w:eastAsia="SimSun" w:cs="Times New Roman"/>
          <w:sz w:val="22"/>
          <w:szCs w:val="22"/>
        </w:rPr>
        <w:t xml:space="preserve">34, (Madinah: </w:t>
      </w:r>
      <w:r>
        <w:rPr>
          <w:rFonts w:ascii="Times New Roman" w:hAnsi="Times New Roman" w:eastAsia="SimSun" w:cs="Times New Roman"/>
          <w:sz w:val="22"/>
          <w:szCs w:val="22"/>
          <w:lang w:val="en-US"/>
        </w:rPr>
        <w:t>Mu</w:t>
      </w:r>
      <w:r>
        <w:rPr>
          <w:rFonts w:ascii="Times New Roman" w:hAnsi="Times New Roman" w:eastAsia="SimSun" w:cs="Times New Roman"/>
          <w:sz w:val="22"/>
          <w:szCs w:val="22"/>
        </w:rPr>
        <w:t>jamma’ al-Malik Fadh li al-Taba’ah al</w:t>
      </w:r>
      <w:r>
        <w:rPr>
          <w:rFonts w:ascii="Times New Roman" w:hAnsi="Times New Roman" w:eastAsia="SimSun" w:cs="Times New Roman"/>
          <w:sz w:val="22"/>
          <w:szCs w:val="22"/>
          <w:lang w:val="en-US"/>
        </w:rPr>
        <w:t xml:space="preserve">MU </w:t>
      </w:r>
      <w:r>
        <w:rPr>
          <w:rFonts w:ascii="Times New Roman" w:hAnsi="Times New Roman" w:eastAsia="SimSun" w:cs="Times New Roman"/>
          <w:sz w:val="22"/>
          <w:szCs w:val="22"/>
        </w:rPr>
        <w:t>shaf al-Sharif, 2004)186</w:t>
      </w:r>
    </w:p>
    <w:p>
      <w:pPr>
        <w:pStyle w:val="8"/>
        <w:spacing w:line="312" w:lineRule="auto"/>
        <w:ind w:left="645" w:right="-15" w:rightChars="-7"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Mardani, </w:t>
      </w:r>
      <w:r>
        <w:rPr>
          <w:rFonts w:ascii="Times New Roman" w:hAnsi="Times New Roman" w:eastAsia="SimSun" w:cs="Times New Roman"/>
          <w:i/>
          <w:iCs/>
          <w:sz w:val="22"/>
          <w:szCs w:val="22"/>
        </w:rPr>
        <w:t>Penyalahgunaan Narkotika dalam Perspektif Hukum Islam dan Hukum Pidana Nasional</w:t>
      </w:r>
      <w:r>
        <w:rPr>
          <w:rFonts w:ascii="Times New Roman" w:hAnsi="Times New Roman" w:eastAsia="SimSun" w:cs="Times New Roman"/>
          <w:sz w:val="22"/>
          <w:szCs w:val="22"/>
        </w:rPr>
        <w:t xml:space="preserve">, (Jakarta: Raja Grafindo Persada, 2008), cet. ke-1, h. </w:t>
      </w:r>
      <w:r>
        <w:rPr>
          <w:rFonts w:ascii="Times New Roman" w:hAnsi="Times New Roman" w:eastAsia="SimSun" w:cs="Times New Roman"/>
          <w:sz w:val="22"/>
          <w:szCs w:val="22"/>
          <w:lang w:val="en-US"/>
        </w:rPr>
        <w:t>126-127</w:t>
      </w:r>
    </w:p>
    <w:p>
      <w:pPr>
        <w:spacing w:after="0" w:line="312" w:lineRule="auto"/>
        <w:ind w:left="645" w:hanging="644" w:hangingChars="293"/>
        <w:contextualSpacing/>
        <w:jc w:val="both"/>
        <w:rPr>
          <w:rFonts w:ascii="Times New Roman" w:hAnsi="Times New Roman" w:cs="Times New Roman"/>
          <w:iCs/>
        </w:rPr>
      </w:pPr>
      <w:r>
        <w:rPr>
          <w:rFonts w:ascii="Times New Roman" w:hAnsi="Times New Roman" w:cs="Times New Roman"/>
          <w:lang w:val="en-US"/>
        </w:rPr>
        <w:t>M</w:t>
      </w:r>
      <w:r>
        <w:rPr>
          <w:rFonts w:ascii="Times New Roman" w:hAnsi="Times New Roman" w:cs="Times New Roman"/>
          <w:spacing w:val="-1"/>
          <w:lang w:val="en-US"/>
        </w:rPr>
        <w:t>ulia</w:t>
      </w:r>
      <w:r>
        <w:rPr>
          <w:rFonts w:ascii="Times New Roman" w:hAnsi="Times New Roman" w:cs="Times New Roman"/>
          <w:spacing w:val="-1"/>
        </w:rPr>
        <w:t>di</w:t>
      </w:r>
      <w:r>
        <w:rPr>
          <w:rFonts w:ascii="Times New Roman" w:hAnsi="Times New Roman" w:cs="Times New Roman"/>
          <w:spacing w:val="37"/>
        </w:rPr>
        <w:t xml:space="preserve"> </w:t>
      </w:r>
      <w:r>
        <w:rPr>
          <w:rFonts w:ascii="Times New Roman" w:hAnsi="Times New Roman" w:cs="Times New Roman"/>
          <w:spacing w:val="-1"/>
        </w:rPr>
        <w:t>dan</w:t>
      </w:r>
      <w:r>
        <w:rPr>
          <w:rFonts w:ascii="Times New Roman" w:hAnsi="Times New Roman" w:cs="Times New Roman"/>
          <w:spacing w:val="35"/>
        </w:rPr>
        <w:t xml:space="preserve"> </w:t>
      </w:r>
      <w:r>
        <w:rPr>
          <w:rFonts w:ascii="Times New Roman" w:hAnsi="Times New Roman" w:cs="Times New Roman"/>
          <w:spacing w:val="-1"/>
        </w:rPr>
        <w:t>Arief</w:t>
      </w:r>
      <w:r>
        <w:rPr>
          <w:rFonts w:ascii="Times New Roman" w:hAnsi="Times New Roman" w:cs="Times New Roman"/>
          <w:spacing w:val="31"/>
        </w:rPr>
        <w:t xml:space="preserve"> </w:t>
      </w:r>
      <w:r>
        <w:rPr>
          <w:rFonts w:ascii="Times New Roman" w:hAnsi="Times New Roman" w:cs="Times New Roman"/>
          <w:spacing w:val="-1"/>
        </w:rPr>
        <w:t>Barda</w:t>
      </w:r>
      <w:r>
        <w:rPr>
          <w:rFonts w:ascii="Times New Roman" w:hAnsi="Times New Roman" w:cs="Times New Roman"/>
          <w:spacing w:val="31"/>
        </w:rPr>
        <w:t xml:space="preserve"> </w:t>
      </w:r>
      <w:r>
        <w:rPr>
          <w:rFonts w:ascii="Times New Roman" w:hAnsi="Times New Roman" w:cs="Times New Roman"/>
          <w:spacing w:val="-1"/>
        </w:rPr>
        <w:t>Nawawi,</w:t>
      </w:r>
      <w:r>
        <w:rPr>
          <w:rFonts w:ascii="Times New Roman" w:hAnsi="Times New Roman" w:cs="Times New Roman"/>
          <w:spacing w:val="34"/>
        </w:rPr>
        <w:t xml:space="preserve"> </w:t>
      </w:r>
      <w:r>
        <w:rPr>
          <w:rFonts w:ascii="Times New Roman" w:hAnsi="Times New Roman" w:cs="Times New Roman"/>
          <w:spacing w:val="-1"/>
        </w:rPr>
        <w:t>1992.</w:t>
      </w:r>
      <w:r>
        <w:rPr>
          <w:rFonts w:ascii="Times New Roman" w:hAnsi="Times New Roman" w:cs="Times New Roman"/>
          <w:spacing w:val="37"/>
        </w:rPr>
        <w:t xml:space="preserve"> </w:t>
      </w:r>
      <w:r>
        <w:rPr>
          <w:rFonts w:ascii="Times New Roman" w:hAnsi="Times New Roman" w:cs="Times New Roman"/>
          <w:i/>
          <w:spacing w:val="-1"/>
        </w:rPr>
        <w:t>Teori-teori</w:t>
      </w:r>
      <w:r>
        <w:rPr>
          <w:rFonts w:ascii="Times New Roman" w:hAnsi="Times New Roman" w:cs="Times New Roman"/>
          <w:i/>
          <w:spacing w:val="27"/>
        </w:rPr>
        <w:t xml:space="preserve"> </w:t>
      </w:r>
      <w:r>
        <w:rPr>
          <w:rFonts w:ascii="Times New Roman" w:hAnsi="Times New Roman" w:cs="Times New Roman"/>
          <w:i/>
        </w:rPr>
        <w:t>dab</w:t>
      </w:r>
      <w:r>
        <w:rPr>
          <w:rFonts w:ascii="Times New Roman" w:hAnsi="Times New Roman" w:cs="Times New Roman"/>
          <w:i/>
          <w:spacing w:val="33"/>
        </w:rPr>
        <w:t xml:space="preserve"> </w:t>
      </w:r>
      <w:r>
        <w:rPr>
          <w:rFonts w:ascii="Times New Roman" w:hAnsi="Times New Roman" w:cs="Times New Roman"/>
          <w:i/>
        </w:rPr>
        <w:t>Kebijakan</w:t>
      </w:r>
      <w:r>
        <w:rPr>
          <w:rFonts w:ascii="Times New Roman" w:hAnsi="Times New Roman" w:cs="Times New Roman"/>
          <w:i/>
          <w:spacing w:val="33"/>
        </w:rPr>
        <w:t xml:space="preserve"> </w:t>
      </w:r>
      <w:r>
        <w:rPr>
          <w:rFonts w:ascii="Times New Roman" w:hAnsi="Times New Roman" w:cs="Times New Roman"/>
          <w:i/>
        </w:rPr>
        <w:t>Pidana,</w:t>
      </w:r>
      <w:r>
        <w:rPr>
          <w:rFonts w:ascii="Times New Roman" w:hAnsi="Times New Roman" w:cs="Times New Roman"/>
          <w:i/>
          <w:spacing w:val="33"/>
        </w:rPr>
        <w:t xml:space="preserve"> (</w:t>
      </w:r>
      <w:r>
        <w:rPr>
          <w:rFonts w:ascii="Times New Roman" w:hAnsi="Times New Roman" w:cs="Times New Roman"/>
          <w:iCs/>
        </w:rPr>
        <w:t>PT.Alumni Bandung)</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Nashiruddin Al-albani, </w:t>
      </w:r>
      <w:r>
        <w:rPr>
          <w:rFonts w:ascii="Times New Roman" w:hAnsi="Times New Roman" w:eastAsia="SimSun" w:cs="Times New Roman"/>
          <w:i/>
          <w:iCs/>
          <w:sz w:val="22"/>
          <w:szCs w:val="22"/>
        </w:rPr>
        <w:t xml:space="preserve">Ringkasan Shahih </w:t>
      </w:r>
      <w:r>
        <w:rPr>
          <w:rFonts w:ascii="Times New Roman" w:hAnsi="Times New Roman" w:eastAsia="SimSun" w:cs="Times New Roman"/>
          <w:i/>
          <w:iCs/>
          <w:sz w:val="22"/>
          <w:szCs w:val="22"/>
          <w:lang w:val="en-US"/>
        </w:rPr>
        <w:t>Muslim</w:t>
      </w:r>
      <w:r>
        <w:rPr>
          <w:rFonts w:ascii="Times New Roman" w:hAnsi="Times New Roman" w:eastAsia="SimSun" w:cs="Times New Roman"/>
          <w:sz w:val="22"/>
          <w:szCs w:val="22"/>
        </w:rPr>
        <w:t xml:space="preserve"> (Jakarta:Gema Insani, 2005), Cet. ke 1, h. 503.</w:t>
      </w:r>
    </w:p>
    <w:p>
      <w:pPr>
        <w:pStyle w:val="8"/>
        <w:snapToGrid w:val="0"/>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Nur Riani Zuhroni dan Nirwan Nazaruddin, 2003. </w:t>
      </w:r>
      <w:r>
        <w:rPr>
          <w:rFonts w:ascii="Times New Roman" w:hAnsi="Times New Roman" w:eastAsia="SimSun" w:cs="Times New Roman"/>
          <w:i/>
          <w:iCs/>
          <w:sz w:val="22"/>
          <w:szCs w:val="22"/>
        </w:rPr>
        <w:t xml:space="preserve">Islam untuk Disiplin </w:t>
      </w:r>
      <w:r>
        <w:rPr>
          <w:rFonts w:ascii="Times New Roman" w:hAnsi="Times New Roman" w:eastAsia="SimSun" w:cs="Times New Roman"/>
          <w:i/>
          <w:iCs/>
          <w:sz w:val="22"/>
          <w:szCs w:val="22"/>
          <w:lang w:val="en-US"/>
        </w:rPr>
        <w:t xml:space="preserve">ilmu </w:t>
      </w:r>
      <w:r>
        <w:rPr>
          <w:rFonts w:ascii="Times New Roman" w:hAnsi="Times New Roman" w:eastAsia="SimSun" w:cs="Times New Roman"/>
          <w:i/>
          <w:iCs/>
          <w:sz w:val="22"/>
          <w:szCs w:val="22"/>
        </w:rPr>
        <w:t>Kesehatan dan Kedokteran 2 Fiqh Kontemporer</w:t>
      </w:r>
      <w:r>
        <w:rPr>
          <w:rFonts w:ascii="Times New Roman" w:hAnsi="Times New Roman" w:eastAsia="SimSun" w:cs="Times New Roman"/>
          <w:sz w:val="22"/>
          <w:szCs w:val="22"/>
        </w:rPr>
        <w:t xml:space="preserve">. </w:t>
      </w:r>
      <w:r>
        <w:rPr>
          <w:rFonts w:ascii="Times New Roman" w:hAnsi="Times New Roman" w:eastAsia="SimSun" w:cs="Times New Roman"/>
          <w:sz w:val="22"/>
          <w:szCs w:val="22"/>
          <w:lang w:val="en-US"/>
        </w:rPr>
        <w:t>(</w:t>
      </w:r>
      <w:r>
        <w:rPr>
          <w:rFonts w:ascii="Times New Roman" w:hAnsi="Times New Roman" w:eastAsia="SimSun" w:cs="Times New Roman"/>
          <w:sz w:val="22"/>
          <w:szCs w:val="22"/>
        </w:rPr>
        <w:t>Jakarta: Direktorat Jenderal Kelembagaan Departemen Agama Rl</w:t>
      </w:r>
      <w:r>
        <w:rPr>
          <w:rFonts w:ascii="Times New Roman" w:hAnsi="Times New Roman" w:eastAsia="SimSun" w:cs="Times New Roman"/>
          <w:sz w:val="22"/>
          <w:szCs w:val="22"/>
          <w:lang w:val="en-US"/>
        </w:rPr>
        <w:t>)</w:t>
      </w:r>
      <w:r>
        <w:rPr>
          <w:rFonts w:ascii="Times New Roman" w:hAnsi="Times New Roman" w:eastAsia="SimSun" w:cs="Times New Roman"/>
          <w:sz w:val="22"/>
          <w:szCs w:val="22"/>
        </w:rPr>
        <w:t xml:space="preserve">,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215</w:t>
      </w:r>
    </w:p>
    <w:p>
      <w:pPr>
        <w:spacing w:after="0" w:line="312" w:lineRule="auto"/>
        <w:ind w:left="645" w:right="114" w:hanging="644" w:hangingChars="293"/>
        <w:contextualSpacing/>
        <w:jc w:val="both"/>
        <w:rPr>
          <w:rFonts w:ascii="Times New Roman" w:hAnsi="Times New Roman" w:cs="Times New Roman"/>
        </w:rPr>
      </w:pPr>
      <w:r>
        <w:rPr>
          <w:rFonts w:ascii="Times New Roman" w:hAnsi="Times New Roman" w:cs="Times New Roman"/>
        </w:rPr>
        <w:t>Quraish</w:t>
      </w:r>
      <w:r>
        <w:rPr>
          <w:rFonts w:ascii="Times New Roman" w:hAnsi="Times New Roman" w:cs="Times New Roman"/>
          <w:spacing w:val="29"/>
        </w:rPr>
        <w:t xml:space="preserve"> </w:t>
      </w:r>
      <w:r>
        <w:rPr>
          <w:rFonts w:ascii="Times New Roman" w:hAnsi="Times New Roman" w:cs="Times New Roman"/>
        </w:rPr>
        <w:t>Shihab,</w:t>
      </w:r>
      <w:r>
        <w:rPr>
          <w:rFonts w:ascii="Times New Roman" w:hAnsi="Times New Roman" w:cs="Times New Roman"/>
          <w:spacing w:val="28"/>
        </w:rPr>
        <w:t xml:space="preserve"> </w:t>
      </w:r>
      <w:r>
        <w:rPr>
          <w:rFonts w:ascii="Times New Roman" w:hAnsi="Times New Roman" w:cs="Times New Roman"/>
          <w:i/>
        </w:rPr>
        <w:t>Tafsir</w:t>
      </w:r>
      <w:r>
        <w:rPr>
          <w:rFonts w:ascii="Times New Roman" w:hAnsi="Times New Roman" w:cs="Times New Roman"/>
          <w:i/>
          <w:spacing w:val="23"/>
        </w:rPr>
        <w:t xml:space="preserve"> </w:t>
      </w:r>
      <w:r>
        <w:rPr>
          <w:rFonts w:ascii="Times New Roman" w:hAnsi="Times New Roman" w:cs="Times New Roman"/>
          <w:i/>
        </w:rPr>
        <w:t>al-Misbah</w:t>
      </w:r>
      <w:r>
        <w:rPr>
          <w:rFonts w:ascii="Times New Roman" w:hAnsi="Times New Roman" w:cs="Times New Roman"/>
        </w:rPr>
        <w:t>:</w:t>
      </w:r>
      <w:r>
        <w:rPr>
          <w:rFonts w:ascii="Times New Roman" w:hAnsi="Times New Roman" w:cs="Times New Roman"/>
          <w:spacing w:val="25"/>
        </w:rPr>
        <w:t xml:space="preserve"> </w:t>
      </w:r>
      <w:r>
        <w:rPr>
          <w:rFonts w:ascii="Times New Roman" w:hAnsi="Times New Roman" w:cs="Times New Roman"/>
          <w:i/>
        </w:rPr>
        <w:t>Pesan,</w:t>
      </w:r>
      <w:r>
        <w:rPr>
          <w:rFonts w:ascii="Times New Roman" w:hAnsi="Times New Roman" w:cs="Times New Roman"/>
          <w:i/>
          <w:spacing w:val="26"/>
        </w:rPr>
        <w:t xml:space="preserve"> </w:t>
      </w:r>
      <w:r>
        <w:rPr>
          <w:rFonts w:ascii="Times New Roman" w:hAnsi="Times New Roman" w:cs="Times New Roman"/>
          <w:i/>
        </w:rPr>
        <w:t>Kesan</w:t>
      </w:r>
      <w:r>
        <w:rPr>
          <w:rFonts w:ascii="Times New Roman" w:hAnsi="Times New Roman" w:cs="Times New Roman"/>
          <w:i/>
          <w:spacing w:val="23"/>
        </w:rPr>
        <w:t xml:space="preserve"> </w:t>
      </w:r>
      <w:r>
        <w:rPr>
          <w:rFonts w:ascii="Times New Roman" w:hAnsi="Times New Roman" w:cs="Times New Roman"/>
          <w:i/>
        </w:rPr>
        <w:t>dan</w:t>
      </w:r>
      <w:r>
        <w:rPr>
          <w:rFonts w:ascii="Times New Roman" w:hAnsi="Times New Roman" w:cs="Times New Roman"/>
          <w:i/>
          <w:spacing w:val="24"/>
        </w:rPr>
        <w:t xml:space="preserve"> </w:t>
      </w:r>
      <w:r>
        <w:rPr>
          <w:rFonts w:ascii="Times New Roman" w:hAnsi="Times New Roman" w:cs="Times New Roman"/>
          <w:i/>
        </w:rPr>
        <w:t>Keserasian</w:t>
      </w:r>
      <w:r>
        <w:rPr>
          <w:rFonts w:ascii="Times New Roman" w:hAnsi="Times New Roman" w:cs="Times New Roman"/>
          <w:i/>
          <w:spacing w:val="24"/>
        </w:rPr>
        <w:t xml:space="preserve"> </w:t>
      </w:r>
      <w:r>
        <w:rPr>
          <w:rFonts w:ascii="Times New Roman" w:hAnsi="Times New Roman" w:cs="Times New Roman"/>
          <w:i/>
        </w:rPr>
        <w:t>al-Qur’an</w:t>
      </w:r>
      <w:r>
        <w:rPr>
          <w:rFonts w:ascii="Times New Roman" w:hAnsi="Times New Roman" w:cs="Times New Roman"/>
        </w:rPr>
        <w:t>,</w:t>
      </w:r>
      <w:r>
        <w:rPr>
          <w:rFonts w:ascii="Times New Roman" w:hAnsi="Times New Roman" w:cs="Times New Roman"/>
          <w:spacing w:val="25"/>
        </w:rPr>
        <w:t xml:space="preserve"> </w:t>
      </w:r>
      <w:r>
        <w:rPr>
          <w:rFonts w:ascii="Times New Roman" w:hAnsi="Times New Roman" w:cs="Times New Roman"/>
        </w:rPr>
        <w:t>(Jakarta:</w:t>
      </w:r>
      <w:r>
        <w:rPr>
          <w:rFonts w:ascii="Times New Roman" w:hAnsi="Times New Roman" w:cs="Times New Roman"/>
          <w:spacing w:val="-47"/>
        </w:rPr>
        <w:t xml:space="preserve"> </w:t>
      </w:r>
      <w:r>
        <w:rPr>
          <w:rFonts w:ascii="Times New Roman" w:hAnsi="Times New Roman" w:cs="Times New Roman"/>
        </w:rPr>
        <w:t>Lentera</w:t>
      </w:r>
      <w:r>
        <w:rPr>
          <w:rFonts w:ascii="Times New Roman" w:hAnsi="Times New Roman" w:cs="Times New Roman"/>
          <w:spacing w:val="3"/>
        </w:rPr>
        <w:t xml:space="preserve"> </w:t>
      </w:r>
      <w:r>
        <w:rPr>
          <w:rFonts w:ascii="Times New Roman" w:hAnsi="Times New Roman" w:cs="Times New Roman"/>
        </w:rPr>
        <w:t>Hati, 2002), cet</w:t>
      </w:r>
      <w:r>
        <w:rPr>
          <w:rFonts w:ascii="Times New Roman" w:hAnsi="Times New Roman" w:cs="Times New Roman"/>
          <w:spacing w:val="4"/>
        </w:rPr>
        <w:t xml:space="preserve"> </w:t>
      </w:r>
      <w:r>
        <w:rPr>
          <w:rFonts w:ascii="Times New Roman" w:hAnsi="Times New Roman" w:cs="Times New Roman"/>
        </w:rPr>
        <w:t>1</w:t>
      </w:r>
      <w:r>
        <w:rPr>
          <w:rFonts w:ascii="Times New Roman" w:hAnsi="Times New Roman" w:cs="Times New Roman"/>
          <w:spacing w:val="-3"/>
        </w:rPr>
        <w:t xml:space="preserve"> </w:t>
      </w:r>
      <w:r>
        <w:rPr>
          <w:rFonts w:ascii="Times New Roman" w:hAnsi="Times New Roman" w:cs="Times New Roman"/>
        </w:rPr>
        <w:t>Vol</w:t>
      </w:r>
      <w:r>
        <w:rPr>
          <w:rFonts w:ascii="Times New Roman" w:hAnsi="Times New Roman" w:cs="Times New Roman"/>
          <w:spacing w:val="4"/>
        </w:rPr>
        <w:t xml:space="preserve"> </w:t>
      </w:r>
      <w:r>
        <w:rPr>
          <w:rFonts w:ascii="Times New Roman" w:hAnsi="Times New Roman" w:cs="Times New Roman"/>
        </w:rPr>
        <w:t>2</w:t>
      </w:r>
      <w:r>
        <w:rPr>
          <w:rFonts w:ascii="Times New Roman" w:hAnsi="Times New Roman" w:cs="Times New Roman"/>
          <w:spacing w:val="-1"/>
        </w:rPr>
        <w:t xml:space="preserve"> </w:t>
      </w:r>
      <w:r>
        <w:rPr>
          <w:rFonts w:ascii="Times New Roman" w:hAnsi="Times New Roman" w:cs="Times New Roman"/>
        </w:rPr>
        <w:t>h. 511</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R. L. Miller, </w:t>
      </w:r>
      <w:r>
        <w:rPr>
          <w:rFonts w:ascii="Times New Roman" w:hAnsi="Times New Roman" w:eastAsia="SimSun" w:cs="Times New Roman"/>
          <w:i/>
          <w:iCs/>
          <w:sz w:val="22"/>
          <w:szCs w:val="22"/>
        </w:rPr>
        <w:t>Encyclopedia of Addictive Medicines (Ashkan Pashangzadeh, Trans.</w:t>
      </w:r>
      <w:r>
        <w:rPr>
          <w:rFonts w:ascii="Times New Roman" w:hAnsi="Times New Roman" w:eastAsia="SimSun" w:cs="Times New Roman"/>
          <w:sz w:val="22"/>
          <w:szCs w:val="22"/>
        </w:rPr>
        <w:t>). (Tehran: Jahad Daneshgahi, Publication Organization, 2014).</w:t>
      </w:r>
    </w:p>
    <w:p>
      <w:pPr>
        <w:spacing w:after="0" w:line="312" w:lineRule="auto"/>
        <w:ind w:left="645" w:hanging="644" w:hangingChars="293"/>
        <w:contextualSpacing/>
        <w:jc w:val="both"/>
        <w:rPr>
          <w:rFonts w:ascii="Times New Roman" w:hAnsi="Times New Roman" w:cs="Times New Roman"/>
        </w:rPr>
      </w:pPr>
      <w:r>
        <w:rPr>
          <w:rFonts w:ascii="Times New Roman" w:hAnsi="Times New Roman" w:cs="Times New Roman"/>
        </w:rPr>
        <w:t>Simorangkir</w:t>
      </w:r>
      <w:r>
        <w:rPr>
          <w:rFonts w:ascii="Times New Roman" w:hAnsi="Times New Roman" w:cs="Times New Roman"/>
          <w:spacing w:val="1"/>
        </w:rPr>
        <w:t xml:space="preserve"> </w:t>
      </w:r>
      <w:r>
        <w:rPr>
          <w:rFonts w:ascii="Times New Roman" w:hAnsi="Times New Roman" w:cs="Times New Roman"/>
        </w:rPr>
        <w:t>JCT, dkk,</w:t>
      </w:r>
      <w:r>
        <w:rPr>
          <w:rFonts w:ascii="Times New Roman" w:hAnsi="Times New Roman" w:cs="Times New Roman"/>
          <w:spacing w:val="-3"/>
        </w:rPr>
        <w:t xml:space="preserve"> </w:t>
      </w:r>
      <w:r>
        <w:rPr>
          <w:rFonts w:ascii="Times New Roman" w:hAnsi="Times New Roman" w:cs="Times New Roman"/>
        </w:rPr>
        <w:t>2002</w:t>
      </w:r>
      <w:r>
        <w:rPr>
          <w:rFonts w:ascii="Times New Roman" w:hAnsi="Times New Roman" w:cs="Times New Roman"/>
          <w:b/>
          <w:i/>
        </w:rPr>
        <w:t>.</w:t>
      </w:r>
      <w:r>
        <w:rPr>
          <w:rFonts w:ascii="Times New Roman" w:hAnsi="Times New Roman" w:cs="Times New Roman"/>
          <w:b/>
          <w:i/>
          <w:spacing w:val="-3"/>
        </w:rPr>
        <w:t xml:space="preserve"> </w:t>
      </w:r>
      <w:r>
        <w:rPr>
          <w:rFonts w:ascii="Times New Roman" w:hAnsi="Times New Roman" w:cs="Times New Roman"/>
          <w:i/>
          <w:iCs/>
          <w:lang w:val="en-US"/>
        </w:rPr>
        <w:t xml:space="preserve">kamu </w:t>
      </w:r>
      <w:r>
        <w:rPr>
          <w:rFonts w:ascii="Times New Roman" w:hAnsi="Times New Roman" w:cs="Times New Roman"/>
          <w:i/>
          <w:iCs/>
        </w:rPr>
        <w:t>s</w:t>
      </w:r>
      <w:r>
        <w:rPr>
          <w:rFonts w:ascii="Times New Roman" w:hAnsi="Times New Roman" w:cs="Times New Roman"/>
          <w:i/>
          <w:iCs/>
          <w:spacing w:val="1"/>
        </w:rPr>
        <w:t xml:space="preserve"> </w:t>
      </w:r>
      <w:r>
        <w:rPr>
          <w:rFonts w:ascii="Times New Roman" w:hAnsi="Times New Roman" w:cs="Times New Roman"/>
          <w:i/>
          <w:iCs/>
        </w:rPr>
        <w:t>Hukum,</w:t>
      </w:r>
      <w:r>
        <w:rPr>
          <w:rFonts w:ascii="Times New Roman" w:hAnsi="Times New Roman" w:cs="Times New Roman"/>
          <w:i/>
          <w:spacing w:val="1"/>
        </w:rPr>
        <w:t xml:space="preserve"> (</w:t>
      </w:r>
      <w:r>
        <w:rPr>
          <w:rFonts w:ascii="Times New Roman" w:hAnsi="Times New Roman" w:cs="Times New Roman"/>
        </w:rPr>
        <w:t>Sinar</w:t>
      </w:r>
      <w:r>
        <w:rPr>
          <w:rFonts w:ascii="Times New Roman" w:hAnsi="Times New Roman" w:cs="Times New Roman"/>
          <w:spacing w:val="1"/>
        </w:rPr>
        <w:t xml:space="preserve"> </w:t>
      </w:r>
      <w:r>
        <w:rPr>
          <w:rFonts w:ascii="Times New Roman" w:hAnsi="Times New Roman" w:cs="Times New Roman"/>
        </w:rPr>
        <w:t>Grafika, Jakarta).</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Sirajuddin Saleh,</w:t>
      </w:r>
      <w:r>
        <w:rPr>
          <w:rFonts w:ascii="Times New Roman" w:hAnsi="Times New Roman" w:cs="Times New Roman"/>
          <w:i/>
          <w:iCs/>
          <w:sz w:val="22"/>
          <w:szCs w:val="22"/>
          <w:lang w:val="en-US"/>
        </w:rPr>
        <w:t xml:space="preserve"> Analisis Data Kualitati</w:t>
      </w:r>
      <w:r>
        <w:rPr>
          <w:rFonts w:ascii="Times New Roman" w:hAnsi="Times New Roman" w:cs="Times New Roman"/>
          <w:sz w:val="22"/>
          <w:szCs w:val="22"/>
          <w:lang w:val="en-US"/>
        </w:rPr>
        <w:t>f. (Pustaka Ramadhan, anung: 2017), 76.</w:t>
      </w:r>
    </w:p>
    <w:p>
      <w:pPr>
        <w:pStyle w:val="8"/>
        <w:snapToGrid w:val="0"/>
        <w:spacing w:line="312" w:lineRule="auto"/>
        <w:ind w:left="645" w:hanging="644" w:hangingChars="293"/>
        <w:jc w:val="both"/>
        <w:rPr>
          <w:rFonts w:ascii="Times New Roman" w:hAnsi="Times New Roman" w:eastAsia="Microsoft YaHei Light" w:cs="Times New Roman"/>
          <w:sz w:val="22"/>
          <w:szCs w:val="22"/>
          <w:lang w:val="en-US"/>
        </w:rPr>
      </w:pPr>
      <w:r>
        <w:rPr>
          <w:rFonts w:ascii="Times New Roman" w:hAnsi="Times New Roman" w:cs="Times New Roman"/>
          <w:sz w:val="22"/>
          <w:szCs w:val="22"/>
        </w:rPr>
        <w:t>Soerjono Soekamto.</w:t>
      </w:r>
      <w:r>
        <w:rPr>
          <w:rFonts w:ascii="Times New Roman" w:hAnsi="Times New Roman" w:eastAsia="Microsoft YaHei Light" w:cs="Times New Roman"/>
          <w:sz w:val="22"/>
          <w:szCs w:val="22"/>
          <w:lang w:val="en-US"/>
        </w:rPr>
        <w:t xml:space="preserve"> </w:t>
      </w:r>
      <w:r>
        <w:rPr>
          <w:rFonts w:ascii="Times New Roman" w:hAnsi="Times New Roman" w:eastAsia="Microsoft YaHei Light" w:cs="Times New Roman"/>
          <w:i/>
          <w:iCs/>
          <w:sz w:val="22"/>
          <w:szCs w:val="22"/>
          <w:lang w:val="en-US"/>
        </w:rPr>
        <w:t>Pengantar Penelitian Hukum,</w:t>
      </w:r>
      <w:r>
        <w:rPr>
          <w:rFonts w:ascii="Times New Roman" w:hAnsi="Times New Roman" w:eastAsia="Microsoft YaHei Light" w:cs="Times New Roman"/>
          <w:sz w:val="22"/>
          <w:szCs w:val="22"/>
          <w:lang w:val="en-US"/>
        </w:rPr>
        <w:t xml:space="preserve"> (Jakarta: Penerbit Universitas Di Indonesia, 1986).</w:t>
      </w:r>
    </w:p>
    <w:p>
      <w:pPr>
        <w:pStyle w:val="8"/>
        <w:snapToGrid w:val="0"/>
        <w:spacing w:line="312" w:lineRule="auto"/>
        <w:ind w:left="645" w:hanging="644" w:hangingChars="293"/>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Soerjono Soekanto, Sri Mamudji, </w:t>
      </w:r>
      <w:r>
        <w:rPr>
          <w:rFonts w:ascii="Times New Roman" w:hAnsi="Times New Roman" w:cs="Times New Roman"/>
          <w:i/>
          <w:iCs/>
          <w:sz w:val="22"/>
          <w:szCs w:val="22"/>
          <w:lang w:val="en-US"/>
        </w:rPr>
        <w:t>Penelitian Hukum Normatif</w:t>
      </w:r>
      <w:r>
        <w:rPr>
          <w:rFonts w:ascii="Times New Roman" w:hAnsi="Times New Roman" w:cs="Times New Roman"/>
          <w:sz w:val="22"/>
          <w:szCs w:val="22"/>
          <w:lang w:val="en-US"/>
        </w:rPr>
        <w:t>, (Jakarta: Rajawali Pers, 2015), 13.</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Sufmi Dasco Ahmad. </w:t>
      </w:r>
      <w:r>
        <w:rPr>
          <w:rFonts w:ascii="Times New Roman" w:hAnsi="Times New Roman" w:cs="Times New Roman"/>
          <w:i/>
          <w:iCs/>
          <w:sz w:val="22"/>
          <w:szCs w:val="22"/>
        </w:rPr>
        <w:t xml:space="preserve">Mary dan </w:t>
      </w:r>
      <w:r>
        <w:rPr>
          <w:rFonts w:ascii="Times New Roman" w:hAnsi="Times New Roman" w:cs="Times New Roman"/>
          <w:i/>
          <w:iCs/>
          <w:sz w:val="22"/>
          <w:szCs w:val="22"/>
          <w:lang w:val="en-US"/>
        </w:rPr>
        <w:t xml:space="preserve">MU </w:t>
      </w:r>
      <w:r>
        <w:rPr>
          <w:rFonts w:ascii="Times New Roman" w:hAnsi="Times New Roman" w:cs="Times New Roman"/>
          <w:i/>
          <w:iCs/>
          <w:sz w:val="22"/>
          <w:szCs w:val="22"/>
        </w:rPr>
        <w:t>Duka Jerat Narkoba.</w:t>
      </w:r>
      <w:r>
        <w:rPr>
          <w:rFonts w:ascii="Times New Roman" w:hAnsi="Times New Roman" w:cs="Times New Roman"/>
          <w:sz w:val="22"/>
          <w:szCs w:val="22"/>
        </w:rPr>
        <w:t xml:space="preserve"> (CV. INDOTAMA SOLO 2018).</w:t>
      </w:r>
    </w:p>
    <w:p>
      <w:pPr>
        <w:pStyle w:val="8"/>
        <w:snapToGrid w:val="0"/>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Wahabah </w:t>
      </w:r>
      <w:r>
        <w:rPr>
          <w:rFonts w:ascii="Times New Roman" w:hAnsi="Times New Roman" w:eastAsia="SimSun" w:cs="Times New Roman"/>
          <w:sz w:val="22"/>
          <w:szCs w:val="22"/>
          <w:lang w:val="en-US"/>
        </w:rPr>
        <w:t>A</w:t>
      </w:r>
      <w:r>
        <w:rPr>
          <w:rFonts w:ascii="Times New Roman" w:hAnsi="Times New Roman" w:eastAsia="SimSun" w:cs="Times New Roman"/>
          <w:sz w:val="22"/>
          <w:szCs w:val="22"/>
        </w:rPr>
        <w:t xml:space="preserve">l-Zahuili, </w:t>
      </w:r>
      <w:r>
        <w:rPr>
          <w:rFonts w:ascii="Times New Roman" w:hAnsi="Times New Roman" w:eastAsia="SimSun" w:cs="Times New Roman"/>
          <w:i/>
          <w:iCs/>
          <w:sz w:val="22"/>
          <w:szCs w:val="22"/>
        </w:rPr>
        <w:t>Fiqih Islam Wa Adillatuhu</w:t>
      </w:r>
      <w:r>
        <w:rPr>
          <w:rFonts w:ascii="Times New Roman" w:hAnsi="Times New Roman" w:eastAsia="SimSun" w:cs="Times New Roman"/>
          <w:sz w:val="22"/>
          <w:szCs w:val="22"/>
        </w:rPr>
        <w:t>,(Jakarta: Gema Insan dan Darul Fikri, 2007)</w:t>
      </w:r>
      <w:r>
        <w:rPr>
          <w:rFonts w:ascii="Times New Roman" w:hAnsi="Times New Roman" w:eastAsia="SimSun" w:cs="Times New Roman"/>
          <w:sz w:val="22"/>
          <w:szCs w:val="22"/>
          <w:lang w:val="en-US"/>
        </w:rPr>
        <w:t>.</w:t>
      </w:r>
    </w:p>
    <w:p>
      <w:pPr>
        <w:spacing w:after="0" w:line="312" w:lineRule="auto"/>
        <w:ind w:left="645" w:hanging="644" w:hangingChars="293"/>
        <w:contextualSpacing/>
        <w:jc w:val="both"/>
        <w:rPr>
          <w:rFonts w:ascii="Times New Roman" w:hAnsi="Times New Roman" w:cs="Times New Roman"/>
        </w:rPr>
      </w:pPr>
    </w:p>
    <w:p>
      <w:pPr>
        <w:spacing w:after="0" w:line="312" w:lineRule="auto"/>
        <w:ind w:left="647" w:hanging="645" w:hangingChars="293"/>
        <w:contextualSpacing/>
        <w:jc w:val="both"/>
        <w:rPr>
          <w:rFonts w:ascii="Times New Roman" w:hAnsi="Times New Roman" w:eastAsia="SimSun" w:cs="Times New Roman"/>
        </w:rPr>
      </w:pPr>
      <w:r>
        <w:rPr>
          <w:rFonts w:ascii="Times New Roman" w:hAnsi="Times New Roman" w:cs="Times New Roman"/>
          <w:b/>
          <w:bCs/>
          <w:lang w:val="en-US"/>
        </w:rPr>
        <w:t>Jurnal</w:t>
      </w:r>
    </w:p>
    <w:p>
      <w:pPr>
        <w:pStyle w:val="8"/>
        <w:snapToGrid w:val="0"/>
        <w:spacing w:line="312" w:lineRule="auto"/>
        <w:ind w:left="645" w:hanging="644" w:hangingChars="293"/>
        <w:contextualSpacing/>
        <w:jc w:val="both"/>
        <w:rPr>
          <w:rFonts w:ascii="Times New Roman" w:hAnsi="Times New Roman" w:eastAsia="SimSun" w:cs="Times New Roman"/>
          <w:sz w:val="22"/>
          <w:szCs w:val="22"/>
        </w:rPr>
      </w:pPr>
      <w:r>
        <w:rPr>
          <w:rFonts w:ascii="Times New Roman" w:hAnsi="Times New Roman" w:eastAsia="SimSun" w:cs="Times New Roman"/>
          <w:sz w:val="22"/>
          <w:szCs w:val="22"/>
        </w:rPr>
        <w:t xml:space="preserve">Dewi Iriani, </w:t>
      </w:r>
      <w:r>
        <w:rPr>
          <w:rFonts w:ascii="Times New Roman" w:hAnsi="Times New Roman" w:eastAsia="SimSun" w:cs="Times New Roman"/>
          <w:i/>
          <w:iCs/>
          <w:sz w:val="22"/>
          <w:szCs w:val="22"/>
        </w:rPr>
        <w:t>Kejahatan Narkoba:</w:t>
      </w:r>
      <w:r>
        <w:rPr>
          <w:rFonts w:ascii="Times New Roman" w:hAnsi="Times New Roman" w:eastAsia="SimSun" w:cs="Times New Roman"/>
          <w:sz w:val="22"/>
          <w:szCs w:val="22"/>
        </w:rPr>
        <w:t xml:space="preserve"> P</w:t>
      </w:r>
      <w:r>
        <w:rPr>
          <w:rFonts w:ascii="Times New Roman" w:hAnsi="Times New Roman" w:eastAsia="SimSun" w:cs="Times New Roman"/>
          <w:i/>
          <w:iCs/>
          <w:sz w:val="22"/>
          <w:szCs w:val="22"/>
        </w:rPr>
        <w:t>enanggulangan, Pencegahan dan Penerapan Hukuman Mati</w:t>
      </w:r>
      <w:r>
        <w:rPr>
          <w:rFonts w:ascii="Times New Roman" w:hAnsi="Times New Roman" w:eastAsia="SimSun" w:cs="Times New Roman"/>
          <w:sz w:val="22"/>
          <w:szCs w:val="22"/>
        </w:rPr>
        <w:t xml:space="preserve">, (Justitila Islamica, Vol 12 No. 2, 2015), Jurnal.iainponorogo.ac.id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316-317.</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eastAsia="SimSun" w:cs="Times New Roman"/>
          <w:sz w:val="22"/>
          <w:szCs w:val="22"/>
        </w:rPr>
        <w:t>Froyland Matthew Karundeng</w:t>
      </w:r>
      <w:r>
        <w:rPr>
          <w:rFonts w:ascii="Times New Roman" w:hAnsi="Times New Roman" w:eastAsia="SimSun" w:cs="Times New Roman"/>
          <w:sz w:val="22"/>
          <w:szCs w:val="22"/>
          <w:lang w:val="en-US"/>
        </w:rPr>
        <w:t>,</w:t>
      </w:r>
      <w:r>
        <w:rPr>
          <w:rFonts w:ascii="Times New Roman" w:hAnsi="Times New Roman" w:eastAsia="SimSun" w:cs="Times New Roman"/>
          <w:sz w:val="22"/>
          <w:szCs w:val="22"/>
        </w:rPr>
        <w:t xml:space="preserve"> Daniel F. Aling</w:t>
      </w:r>
      <w:r>
        <w:rPr>
          <w:rFonts w:ascii="Times New Roman" w:hAnsi="Times New Roman" w:eastAsia="SimSun" w:cs="Times New Roman"/>
          <w:sz w:val="22"/>
          <w:szCs w:val="22"/>
          <w:lang w:val="en-US"/>
        </w:rPr>
        <w:t xml:space="preserve"> dan</w:t>
      </w:r>
      <w:r>
        <w:rPr>
          <w:rFonts w:ascii="Times New Roman" w:hAnsi="Times New Roman" w:eastAsia="SimSun" w:cs="Times New Roman"/>
          <w:sz w:val="22"/>
          <w:szCs w:val="22"/>
        </w:rPr>
        <w:t xml:space="preserve"> Marthin Doodoh</w:t>
      </w:r>
      <w:r>
        <w:rPr>
          <w:rFonts w:ascii="Times New Roman" w:hAnsi="Times New Roman" w:eastAsia="SimSun" w:cs="Times New Roman"/>
          <w:sz w:val="22"/>
          <w:szCs w:val="22"/>
          <w:lang w:val="en-US"/>
        </w:rPr>
        <w:t xml:space="preserve"> . </w:t>
      </w:r>
      <w:r>
        <w:rPr>
          <w:rFonts w:ascii="Times New Roman" w:hAnsi="Times New Roman" w:eastAsia="SimSun" w:cs="Times New Roman"/>
          <w:i/>
          <w:iCs/>
          <w:sz w:val="22"/>
          <w:szCs w:val="22"/>
        </w:rPr>
        <w:t>Kajian Hukum Tentang Grasi Terhadap Terpidana Mati Kasus Narkoba</w:t>
      </w:r>
      <w:r>
        <w:rPr>
          <w:rFonts w:ascii="Times New Roman" w:hAnsi="Times New Roman" w:eastAsia="SimSun" w:cs="Times New Roman"/>
          <w:sz w:val="22"/>
          <w:szCs w:val="22"/>
          <w:lang w:val="en-US"/>
        </w:rPr>
        <w:t>. vol-1 no-3: lex administratum Tahun 2022</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Jihadini Nur Azizah dan Siti Ngainnur Rohmah.  </w:t>
      </w:r>
      <w:r>
        <w:rPr>
          <w:rFonts w:ascii="Times New Roman" w:hAnsi="Times New Roman" w:eastAsia="SimSun" w:cs="Times New Roman"/>
          <w:i/>
          <w:iCs/>
          <w:sz w:val="22"/>
          <w:szCs w:val="22"/>
        </w:rPr>
        <w:t>Kewenangan Presiden dalam Pemberian Grasi Kepada Terpidana Narkotika, Psikotropika dan Bahan Adiktif Perspektif Fiqih Siyasah</w:t>
      </w:r>
      <w:r>
        <w:rPr>
          <w:rFonts w:ascii="Times New Roman" w:hAnsi="Times New Roman" w:eastAsia="SimSun" w:cs="Times New Roman"/>
          <w:i/>
          <w:iCs/>
          <w:sz w:val="22"/>
          <w:szCs w:val="22"/>
          <w:lang w:val="en-US"/>
        </w:rPr>
        <w:t>.</w:t>
      </w:r>
      <w:r>
        <w:rPr>
          <w:rFonts w:ascii="Times New Roman" w:hAnsi="Times New Roman" w:eastAsia="SimSun" w:cs="Times New Roman"/>
          <w:sz w:val="22"/>
          <w:szCs w:val="22"/>
          <w:lang w:val="en-US"/>
        </w:rPr>
        <w:t xml:space="preserve"> </w:t>
      </w:r>
      <w:r>
        <w:rPr>
          <w:rFonts w:ascii="Times New Roman" w:hAnsi="Times New Roman" w:eastAsia="SimSun" w:cs="Times New Roman"/>
          <w:sz w:val="22"/>
          <w:szCs w:val="22"/>
        </w:rPr>
        <w:t>Vol. 6 No. 2 (2022), pp. 167-188</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Kazem Mirzaei Nejad, Seyed Hossein Hashemi,</w:t>
      </w:r>
      <w:r>
        <w:rPr>
          <w:rFonts w:ascii="Times New Roman" w:hAnsi="Times New Roman" w:eastAsia="SimSun" w:cs="Times New Roman"/>
          <w:i/>
          <w:iCs/>
          <w:sz w:val="22"/>
          <w:szCs w:val="22"/>
        </w:rPr>
        <w:t xml:space="preserve"> Status of Narcotic Drugs in Islamic Jurisprudence and Foundations of Islamic Laws,</w:t>
      </w:r>
      <w:r>
        <w:rPr>
          <w:rFonts w:ascii="Times New Roman" w:hAnsi="Times New Roman" w:eastAsia="SimSun" w:cs="Times New Roman"/>
          <w:sz w:val="22"/>
          <w:szCs w:val="22"/>
        </w:rPr>
        <w:t xml:space="preserve"> (Beijing Law Review, Vol. 9 No. 3),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406.</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Laelly Mrlina Padmawti, </w:t>
      </w:r>
      <w:r>
        <w:rPr>
          <w:rFonts w:ascii="Times New Roman" w:hAnsi="Times New Roman" w:cs="Times New Roman"/>
          <w:i/>
          <w:iCs/>
          <w:sz w:val="22"/>
          <w:szCs w:val="22"/>
          <w:lang w:val="en-US"/>
        </w:rPr>
        <w:t>Tinjauan Yuridis Pembeian Grasi Dlm Kaian Pidana Tterkait Efek Jera Pemidanan.</w:t>
      </w:r>
      <w:r>
        <w:rPr>
          <w:rFonts w:ascii="Times New Roman" w:hAnsi="Times New Roman" w:cs="Times New Roman"/>
          <w:sz w:val="22"/>
          <w:szCs w:val="22"/>
          <w:lang w:val="en-US"/>
        </w:rPr>
        <w:t xml:space="preserve"> (Residive vol 2 No 3: Sep 2013)</w:t>
      </w:r>
    </w:p>
    <w:p>
      <w:pPr>
        <w:pStyle w:val="8"/>
        <w:snapToGrid w:val="0"/>
        <w:spacing w:line="312" w:lineRule="auto"/>
        <w:ind w:left="645" w:right="-171" w:hanging="644" w:hangingChars="293"/>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Moh Khasan, </w:t>
      </w:r>
      <w:r>
        <w:rPr>
          <w:rFonts w:ascii="Times New Roman" w:hAnsi="Times New Roman" w:cs="Times New Roman"/>
          <w:i/>
          <w:iCs/>
          <w:sz w:val="22"/>
          <w:szCs w:val="22"/>
          <w:lang w:val="en-US"/>
        </w:rPr>
        <w:t>Perspektif Islam dan Psikologi Tentang Pemaafan</w:t>
      </w:r>
      <w:r>
        <w:rPr>
          <w:rFonts w:ascii="Times New Roman" w:hAnsi="Times New Roman" w:cs="Times New Roman"/>
          <w:sz w:val="22"/>
          <w:szCs w:val="22"/>
          <w:lang w:val="en-US"/>
        </w:rPr>
        <w:t>, (Jurnal At Taqoddam Vol-9 Nomor 1, Juli 2017).</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Putra Halomoan Hsb, </w:t>
      </w:r>
      <w:r>
        <w:rPr>
          <w:rFonts w:ascii="Times New Roman" w:hAnsi="Times New Roman" w:eastAsia="SimSun" w:cs="Times New Roman"/>
          <w:i/>
          <w:iCs/>
          <w:sz w:val="22"/>
          <w:szCs w:val="22"/>
        </w:rPr>
        <w:t>Tinjauan Yuridis Tentang Upaya-Upaya Hukum,</w:t>
      </w:r>
      <w:r>
        <w:rPr>
          <w:rFonts w:ascii="Times New Roman" w:hAnsi="Times New Roman" w:eastAsia="SimSun" w:cs="Times New Roman"/>
          <w:sz w:val="22"/>
          <w:szCs w:val="22"/>
        </w:rPr>
        <w:t xml:space="preserve">Yurisprudentia (Volume 1 Nomor 1 Juni 2015).  </w:t>
      </w:r>
    </w:p>
    <w:p>
      <w:pPr>
        <w:pStyle w:val="8"/>
        <w:spacing w:line="312" w:lineRule="auto"/>
        <w:ind w:left="645" w:hanging="644" w:hangingChars="293"/>
        <w:contextualSpacing/>
        <w:jc w:val="both"/>
        <w:rPr>
          <w:rFonts w:ascii="Times New Roman" w:hAnsi="Times New Roman" w:eastAsia="SimSun" w:cs="Times New Roman"/>
          <w:sz w:val="22"/>
          <w:szCs w:val="22"/>
        </w:rPr>
      </w:pPr>
      <w:r>
        <w:rPr>
          <w:rFonts w:ascii="Times New Roman" w:hAnsi="Times New Roman" w:eastAsia="SimSun" w:cs="Times New Roman"/>
          <w:sz w:val="22"/>
          <w:szCs w:val="22"/>
        </w:rPr>
        <w:t xml:space="preserve">Raymon Dart Pakpahan, Herlina Manullang, Roida Nababan, </w:t>
      </w:r>
      <w:r>
        <w:rPr>
          <w:rFonts w:ascii="Times New Roman" w:hAnsi="Times New Roman" w:eastAsia="SimSun" w:cs="Times New Roman"/>
          <w:i/>
          <w:iCs/>
          <w:sz w:val="22"/>
          <w:szCs w:val="22"/>
        </w:rPr>
        <w:t>Analisis Dasar Pertimbangan Hakim Dalam Menjatuhkan Pidana Kepada Yang Membuka Lahan Dengan Cara Membakar (Studi Putusan Nomor 623/Pid.B/2019/Pn.BTA)</w:t>
      </w:r>
      <w:r>
        <w:rPr>
          <w:rFonts w:ascii="Times New Roman" w:hAnsi="Times New Roman" w:eastAsia="SimSun" w:cs="Times New Roman"/>
          <w:sz w:val="22"/>
          <w:szCs w:val="22"/>
        </w:rPr>
        <w:t xml:space="preserve">, PATIK: Jurnal Hukum, (Volume 07 Nomor 02, Agustus 2018) 123 - 136. </w:t>
      </w:r>
    </w:p>
    <w:p>
      <w:pPr>
        <w:spacing w:after="0" w:line="312" w:lineRule="auto"/>
        <w:ind w:left="645" w:hanging="644" w:hangingChars="293"/>
        <w:contextualSpacing/>
        <w:jc w:val="both"/>
        <w:rPr>
          <w:rFonts w:ascii="Times New Roman" w:hAnsi="Times New Roman" w:eastAsia="Microsoft YaHei Light" w:cs="Times New Roman"/>
          <w:lang w:val="en-US"/>
        </w:rPr>
      </w:pPr>
      <w:r>
        <w:rPr>
          <w:rFonts w:ascii="Times New Roman" w:hAnsi="Times New Roman" w:eastAsia="Microsoft YaHei Light" w:cs="Times New Roman"/>
          <w:lang w:val="en-US"/>
        </w:rPr>
        <w:t xml:space="preserve">Rokhmadi, </w:t>
      </w:r>
      <w:r>
        <w:rPr>
          <w:rFonts w:ascii="Times New Roman" w:hAnsi="Times New Roman" w:eastAsia="Microsoft YaHei Light" w:cs="Times New Roman"/>
          <w:i/>
          <w:iCs/>
          <w:lang w:val="en-US"/>
        </w:rPr>
        <w:t>Studi Tentang Formulasi Sanksi Hukum Pidana Islam, Reformasi Hukum Pidana Islam Rokhmadi,</w:t>
      </w:r>
      <w:r>
        <w:rPr>
          <w:rFonts w:ascii="Times New Roman" w:hAnsi="Times New Roman" w:eastAsia="Microsoft YaHei Light" w:cs="Times New Roman"/>
          <w:lang w:val="en-US"/>
        </w:rPr>
        <w:t xml:space="preserve"> (Jurnal Taqaddam Vol-8 Nomor 2 Tahun 2016).</w:t>
      </w:r>
    </w:p>
    <w:p>
      <w:pPr>
        <w:pStyle w:val="8"/>
        <w:snapToGrid w:val="0"/>
        <w:spacing w:line="312" w:lineRule="auto"/>
        <w:ind w:left="645" w:hanging="644" w:hangingChars="293"/>
        <w:contextualSpacing/>
        <w:jc w:val="both"/>
        <w:rPr>
          <w:rFonts w:ascii="Times New Roman" w:hAnsi="Times New Roman" w:eastAsia="SimSun" w:cs="Times New Roman"/>
          <w:sz w:val="22"/>
          <w:szCs w:val="22"/>
        </w:rPr>
      </w:pPr>
      <w:r>
        <w:rPr>
          <w:rFonts w:ascii="Times New Roman" w:hAnsi="Times New Roman" w:eastAsia="SimSun" w:cs="Times New Roman"/>
          <w:sz w:val="22"/>
          <w:szCs w:val="22"/>
        </w:rPr>
        <w:t>Sujatmiko</w:t>
      </w:r>
      <w:r>
        <w:rPr>
          <w:rFonts w:ascii="Times New Roman" w:hAnsi="Times New Roman" w:eastAsia="SimSun" w:cs="Times New Roman"/>
          <w:sz w:val="22"/>
          <w:szCs w:val="22"/>
          <w:lang w:val="en-US"/>
        </w:rPr>
        <w:t xml:space="preserve"> </w:t>
      </w:r>
      <w:r>
        <w:rPr>
          <w:rFonts w:ascii="Times New Roman" w:hAnsi="Times New Roman" w:eastAsia="SimSun" w:cs="Times New Roman"/>
          <w:sz w:val="22"/>
          <w:szCs w:val="22"/>
        </w:rPr>
        <w:t>dan Willy Wibowo</w:t>
      </w:r>
      <w:r>
        <w:rPr>
          <w:rFonts w:ascii="Times New Roman" w:hAnsi="Times New Roman" w:eastAsia="SimSun" w:cs="Times New Roman"/>
          <w:i/>
          <w:iCs/>
          <w:sz w:val="22"/>
          <w:szCs w:val="22"/>
        </w:rPr>
        <w:t>, Urgensi Pembentukan Regulasi Grasi, Amnesti, Abolisi dan Rehabilitasi</w:t>
      </w:r>
      <w:r>
        <w:rPr>
          <w:rFonts w:ascii="Times New Roman" w:hAnsi="Times New Roman" w:eastAsia="SimSun" w:cs="Times New Roman"/>
          <w:sz w:val="22"/>
          <w:szCs w:val="22"/>
        </w:rPr>
        <w:t xml:space="preserve">, </w:t>
      </w:r>
      <w:r>
        <w:rPr>
          <w:rFonts w:ascii="Times New Roman" w:hAnsi="Times New Roman" w:eastAsia="SimSun" w:cs="Times New Roman"/>
          <w:sz w:val="22"/>
          <w:szCs w:val="22"/>
          <w:lang w:val="en-US"/>
        </w:rPr>
        <w:t>(</w:t>
      </w:r>
      <w:r>
        <w:rPr>
          <w:rFonts w:ascii="Times New Roman" w:hAnsi="Times New Roman" w:eastAsia="SimSun" w:cs="Times New Roman"/>
          <w:sz w:val="22"/>
          <w:szCs w:val="22"/>
        </w:rPr>
        <w:t xml:space="preserve">Jurnal Penelitian Hukum De June, Vol. 21 2021).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92.</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T. Baasher, </w:t>
      </w:r>
      <w:r>
        <w:rPr>
          <w:rFonts w:ascii="Times New Roman" w:hAnsi="Times New Roman" w:eastAsia="SimSun" w:cs="Times New Roman"/>
          <w:i/>
          <w:iCs/>
          <w:sz w:val="22"/>
          <w:szCs w:val="22"/>
        </w:rPr>
        <w:t>The Use of Drugs in the Islamic World,</w:t>
      </w:r>
      <w:r>
        <w:rPr>
          <w:rFonts w:ascii="Times New Roman" w:hAnsi="Times New Roman" w:eastAsia="SimSun" w:cs="Times New Roman"/>
          <w:sz w:val="22"/>
          <w:szCs w:val="22"/>
        </w:rPr>
        <w:t xml:space="preserve"> Addiction, Vol. 76 No. 3 Tahun 1981,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233–243.</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Vivi Ariyanti, </w:t>
      </w:r>
      <w:r>
        <w:rPr>
          <w:rFonts w:ascii="Times New Roman" w:hAnsi="Times New Roman" w:eastAsia="SimSun" w:cs="Times New Roman"/>
          <w:i/>
          <w:iCs/>
          <w:sz w:val="22"/>
          <w:szCs w:val="22"/>
        </w:rPr>
        <w:t>Kedudukan Korban Penyalahgunaan Narkotika Dalam Hukum Pidana Indonesia Dan Hukum Pidana Islam,</w:t>
      </w:r>
      <w:r>
        <w:rPr>
          <w:rFonts w:ascii="Times New Roman" w:hAnsi="Times New Roman" w:eastAsia="SimSun" w:cs="Times New Roman"/>
          <w:sz w:val="22"/>
          <w:szCs w:val="22"/>
        </w:rPr>
        <w:t xml:space="preserve"> (Jurnal Al Manahij Vol. XI No. 2, 2017),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257-258.</w:t>
      </w:r>
    </w:p>
    <w:p>
      <w:pPr>
        <w:pStyle w:val="8"/>
        <w:snapToGrid w:val="0"/>
        <w:spacing w:line="312" w:lineRule="auto"/>
        <w:ind w:left="645" w:hanging="644" w:hangingChars="293"/>
        <w:contextualSpacing/>
        <w:jc w:val="both"/>
        <w:rPr>
          <w:rFonts w:ascii="Times New Roman" w:hAnsi="Times New Roman" w:eastAsia="SimSun" w:cs="Times New Roman"/>
          <w:sz w:val="22"/>
          <w:szCs w:val="22"/>
        </w:rPr>
      </w:pPr>
      <w:r>
        <w:rPr>
          <w:rFonts w:ascii="Times New Roman" w:hAnsi="Times New Roman" w:eastAsia="SimSun" w:cs="Times New Roman"/>
          <w:sz w:val="22"/>
          <w:szCs w:val="22"/>
        </w:rPr>
        <w:t>Yusriza, Ferdy Saputra, Hadi Iskandar, Romi Asmara</w:t>
      </w:r>
      <w:r>
        <w:rPr>
          <w:rFonts w:ascii="Times New Roman" w:hAnsi="Times New Roman" w:eastAsia="SimSun" w:cs="Times New Roman"/>
          <w:sz w:val="22"/>
          <w:szCs w:val="22"/>
          <w:lang w:val="en-US"/>
        </w:rPr>
        <w:t xml:space="preserve">. </w:t>
      </w:r>
      <w:r>
        <w:rPr>
          <w:rFonts w:ascii="Times New Roman" w:hAnsi="Times New Roman" w:eastAsia="SimSun" w:cs="Times New Roman"/>
          <w:i/>
          <w:iCs/>
          <w:sz w:val="22"/>
          <w:szCs w:val="22"/>
        </w:rPr>
        <w:t>Tindak Pidana Narkotika Dalam Perspektif Hukum Islam dan Filsafat</w:t>
      </w:r>
      <w:r>
        <w:rPr>
          <w:rFonts w:ascii="Times New Roman" w:hAnsi="Times New Roman" w:eastAsia="SimSun" w:cs="Times New Roman"/>
          <w:i/>
          <w:iCs/>
          <w:sz w:val="22"/>
          <w:szCs w:val="22"/>
          <w:lang w:val="en-US"/>
        </w:rPr>
        <w:t>.</w:t>
      </w:r>
      <w:r>
        <w:rPr>
          <w:rFonts w:ascii="Times New Roman" w:hAnsi="Times New Roman" w:eastAsia="SimSun" w:cs="Times New Roman"/>
          <w:sz w:val="22"/>
          <w:szCs w:val="22"/>
          <w:lang w:val="en-US"/>
        </w:rPr>
        <w:t xml:space="preserve"> </w:t>
      </w:r>
      <w:r>
        <w:rPr>
          <w:rFonts w:ascii="Times New Roman" w:hAnsi="Times New Roman" w:eastAsia="SimSun" w:cs="Times New Roman"/>
          <w:sz w:val="22"/>
          <w:szCs w:val="22"/>
        </w:rPr>
        <w:t xml:space="preserve">Vol. 1, No. 2, Juni-November, 2024, </w:t>
      </w:r>
      <w:r>
        <w:rPr>
          <w:rFonts w:ascii="Times New Roman" w:hAnsi="Times New Roman" w:eastAsia="SimSun" w:cs="Times New Roman"/>
          <w:sz w:val="22"/>
          <w:szCs w:val="22"/>
          <w:lang w:val="en-US"/>
        </w:rPr>
        <w:t>h.</w:t>
      </w:r>
      <w:r>
        <w:rPr>
          <w:rFonts w:ascii="Times New Roman" w:hAnsi="Times New Roman" w:eastAsia="SimSun" w:cs="Times New Roman"/>
          <w:sz w:val="22"/>
          <w:szCs w:val="22"/>
        </w:rPr>
        <w:t xml:space="preserve"> 115-136</w:t>
      </w:r>
    </w:p>
    <w:p>
      <w:pPr>
        <w:spacing w:after="0" w:line="312" w:lineRule="auto"/>
        <w:contextualSpacing/>
        <w:jc w:val="both"/>
        <w:rPr>
          <w:rFonts w:ascii="Times New Roman" w:hAnsi="Times New Roman" w:eastAsia="Microsoft YaHei Light" w:cs="Times New Roman"/>
          <w:lang w:val="en-US"/>
        </w:rPr>
      </w:pPr>
    </w:p>
    <w:p>
      <w:pPr>
        <w:spacing w:after="0" w:line="312" w:lineRule="auto"/>
        <w:ind w:left="647" w:hanging="645" w:hangingChars="293"/>
        <w:contextualSpacing/>
        <w:jc w:val="both"/>
        <w:rPr>
          <w:rFonts w:ascii="Times New Roman" w:hAnsi="Times New Roman" w:cs="Times New Roman"/>
          <w:b/>
          <w:bCs/>
          <w:lang w:val="en-US"/>
        </w:rPr>
      </w:pPr>
      <w:r>
        <w:rPr>
          <w:rFonts w:ascii="Times New Roman" w:hAnsi="Times New Roman" w:cs="Times New Roman"/>
          <w:b/>
          <w:bCs/>
          <w:lang w:val="en-US"/>
        </w:rPr>
        <w:t>Skripsi dan Tesis</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eastAsia="SimSun" w:cs="Times New Roman"/>
          <w:sz w:val="22"/>
          <w:szCs w:val="22"/>
        </w:rPr>
        <w:t xml:space="preserve">Ahmad Reki, </w:t>
      </w:r>
      <w:r>
        <w:rPr>
          <w:rFonts w:ascii="Times New Roman" w:hAnsi="Times New Roman" w:eastAsia="SimSun" w:cs="Times New Roman"/>
          <w:i/>
          <w:iCs/>
          <w:sz w:val="22"/>
          <w:szCs w:val="22"/>
        </w:rPr>
        <w:t xml:space="preserve">Strategi Kepala Desa Seri Kembang I Kecamatatan Payaraman Kabupaten Ogan Ilir Dan Polres Ogan Ilir Dalam Menaggulangi Penyalahgunaan Narkoba Pada Orgen Tunggal House </w:t>
      </w:r>
      <w:r>
        <w:rPr>
          <w:rFonts w:ascii="Times New Roman" w:hAnsi="Times New Roman" w:eastAsia="SimSun" w:cs="Times New Roman"/>
          <w:i/>
          <w:iCs/>
          <w:sz w:val="22"/>
          <w:szCs w:val="22"/>
          <w:lang w:val="en-US"/>
        </w:rPr>
        <w:t xml:space="preserve">MU </w:t>
      </w:r>
      <w:r>
        <w:rPr>
          <w:rFonts w:ascii="Times New Roman" w:hAnsi="Times New Roman" w:eastAsia="SimSun" w:cs="Times New Roman"/>
          <w:i/>
          <w:iCs/>
          <w:sz w:val="22"/>
          <w:szCs w:val="22"/>
        </w:rPr>
        <w:t>sic</w:t>
      </w:r>
      <w:r>
        <w:rPr>
          <w:rFonts w:ascii="Times New Roman" w:hAnsi="Times New Roman" w:eastAsia="SimSun" w:cs="Times New Roman"/>
          <w:sz w:val="22"/>
          <w:szCs w:val="22"/>
        </w:rPr>
        <w:t>, (Skripsi, Universitas Islam Negeri Raden Fatah Palembang, 2018).</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Joko santoso. </w:t>
      </w:r>
      <w:r>
        <w:rPr>
          <w:rFonts w:ascii="Times New Roman" w:hAnsi="Times New Roman" w:cs="Times New Roman"/>
          <w:i/>
          <w:iCs/>
          <w:sz w:val="22"/>
          <w:szCs w:val="22"/>
          <w:lang w:val="en-US"/>
        </w:rPr>
        <w:t>Analisis Penerapan Hukuman Mati Dalam Kasus Narkorika (Studi Kasus Putusan Mahkamah Agung No.383 K/Pid.Sus/2022).</w:t>
      </w:r>
      <w:r>
        <w:rPr>
          <w:rFonts w:ascii="Times New Roman" w:hAnsi="Times New Roman" w:cs="Times New Roman"/>
          <w:sz w:val="22"/>
          <w:szCs w:val="22"/>
          <w:lang w:val="en-US"/>
        </w:rPr>
        <w:t xml:space="preserve"> 85-86</w:t>
      </w:r>
    </w:p>
    <w:p>
      <w:pPr>
        <w:pStyle w:val="8"/>
        <w:spacing w:line="312" w:lineRule="auto"/>
        <w:ind w:left="645" w:right="-15" w:rightChars="-7"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Mas Nur Aini Savitri, </w:t>
      </w:r>
      <w:r>
        <w:rPr>
          <w:rFonts w:ascii="Times New Roman" w:hAnsi="Times New Roman" w:cs="Times New Roman"/>
          <w:i/>
          <w:iCs/>
          <w:sz w:val="22"/>
          <w:szCs w:val="22"/>
        </w:rPr>
        <w:t>Hukuman Bagi Pelaku Tindak Pidana Narkotika Menurut Ibnu Taimiyah dan Wahab Zuhaili,</w:t>
      </w:r>
      <w:r>
        <w:rPr>
          <w:rFonts w:ascii="Times New Roman" w:hAnsi="Times New Roman" w:cs="Times New Roman"/>
          <w:sz w:val="22"/>
          <w:szCs w:val="22"/>
        </w:rPr>
        <w:t xml:space="preserve"> (Skripsi Tahun 2018), 35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Nisfu Sya‟ban,</w:t>
      </w:r>
      <w:r>
        <w:rPr>
          <w:rFonts w:ascii="Times New Roman" w:hAnsi="Times New Roman" w:cs="Times New Roman"/>
          <w:sz w:val="22"/>
          <w:szCs w:val="22"/>
          <w:lang w:val="en-US"/>
        </w:rPr>
        <w:t xml:space="preserve"> </w:t>
      </w:r>
      <w:r>
        <w:rPr>
          <w:rFonts w:ascii="Times New Roman" w:hAnsi="Times New Roman" w:cs="Times New Roman"/>
          <w:i/>
          <w:iCs/>
          <w:sz w:val="22"/>
          <w:szCs w:val="22"/>
        </w:rPr>
        <w:t>Hak Presiden Dalam Memberi Grasi, Amnesti, dan Rehabilitasi</w:t>
      </w:r>
      <w:r>
        <w:rPr>
          <w:rFonts w:ascii="Times New Roman" w:hAnsi="Times New Roman" w:cs="Times New Roman"/>
          <w:sz w:val="22"/>
          <w:szCs w:val="22"/>
        </w:rPr>
        <w:t>,</w:t>
      </w:r>
      <w:r>
        <w:rPr>
          <w:rFonts w:ascii="Times New Roman" w:hAnsi="Times New Roman" w:cs="Times New Roman"/>
          <w:sz w:val="22"/>
          <w:szCs w:val="22"/>
          <w:lang w:val="it-IT"/>
        </w:rPr>
        <w:t xml:space="preserve"> </w:t>
      </w:r>
      <w:r>
        <w:rPr>
          <w:rFonts w:ascii="Times New Roman" w:hAnsi="Times New Roman" w:cs="Times New Roman"/>
          <w:sz w:val="22"/>
          <w:szCs w:val="22"/>
        </w:rPr>
        <w:t>Skripsi, Jakarta: Universitas Indonesia , 2014</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Riscon Sinaga. </w:t>
      </w:r>
      <w:r>
        <w:rPr>
          <w:rFonts w:ascii="Times New Roman" w:hAnsi="Times New Roman" w:cs="Times New Roman"/>
          <w:i/>
          <w:iCs/>
          <w:sz w:val="22"/>
          <w:szCs w:val="22"/>
          <w:lang w:val="en-US"/>
        </w:rPr>
        <w:t xml:space="preserve">Analisis Yuridis Penjatuhan Hukuman Mati Terhadap Perantara Jual Beli Narkotika </w:t>
      </w:r>
      <w:r>
        <w:rPr>
          <w:rFonts w:ascii="Times New Roman" w:hAnsi="Times New Roman" w:cs="Times New Roman"/>
          <w:sz w:val="22"/>
          <w:szCs w:val="22"/>
          <w:lang w:val="en-US"/>
        </w:rPr>
        <w:t>(Skripsi Studi Putusan Nomor 594/Pid.Sus/215/Pn.Tjb). h.112</w:t>
      </w:r>
    </w:p>
    <w:p>
      <w:pPr>
        <w:spacing w:after="0" w:line="312" w:lineRule="auto"/>
        <w:ind w:left="645" w:hanging="644" w:hangingChars="293"/>
        <w:contextualSpacing/>
        <w:jc w:val="both"/>
        <w:rPr>
          <w:rFonts w:ascii="Times New Roman" w:hAnsi="Times New Roman" w:cs="Times New Roman"/>
        </w:rPr>
      </w:pPr>
      <w:r>
        <w:rPr>
          <w:rFonts w:ascii="Times New Roman" w:hAnsi="Times New Roman" w:cs="Times New Roman"/>
          <w:lang w:val="en-US"/>
        </w:rPr>
        <w:t xml:space="preserve">Riyo Saputra, </w:t>
      </w:r>
      <w:r>
        <w:rPr>
          <w:rFonts w:ascii="Times New Roman" w:hAnsi="Times New Roman" w:cs="Times New Roman"/>
          <w:i/>
          <w:iCs/>
          <w:lang w:val="en-US"/>
        </w:rPr>
        <w:t>Studi Kritis Terhadap Putusan Pengadilan Negeri Bangkinang Perkara No 01/Pid.B/2013/PN.BKN Tentang Narkotika Perspektif HukumPida Islam,</w:t>
      </w:r>
      <w:r>
        <w:rPr>
          <w:rFonts w:ascii="Times New Roman" w:hAnsi="Times New Roman" w:cs="Times New Roman"/>
          <w:lang w:val="en-US"/>
        </w:rPr>
        <w:t xml:space="preserve"> Skripsi: 2015), h.32.</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Zahrotul latifah. </w:t>
      </w:r>
      <w:r>
        <w:rPr>
          <w:rFonts w:ascii="Times New Roman" w:hAnsi="Times New Roman" w:cs="Times New Roman"/>
          <w:i/>
          <w:iCs/>
          <w:sz w:val="22"/>
          <w:szCs w:val="22"/>
          <w:lang w:val="en-US"/>
        </w:rPr>
        <w:t>Hak Proregatif Presiden Dalam Memberikan Grasi Kepada Terpidana Mati Kasus Narkotika Perspektif Fikih Siyasah</w:t>
      </w:r>
      <w:r>
        <w:rPr>
          <w:rFonts w:ascii="Times New Roman" w:hAnsi="Times New Roman" w:cs="Times New Roman"/>
          <w:sz w:val="22"/>
          <w:szCs w:val="22"/>
          <w:lang w:val="en-US"/>
        </w:rPr>
        <w:t xml:space="preserve">. 87 </w:t>
      </w:r>
    </w:p>
    <w:p>
      <w:pPr>
        <w:spacing w:after="0" w:line="312" w:lineRule="auto"/>
        <w:contextualSpacing/>
        <w:jc w:val="both"/>
        <w:rPr>
          <w:rFonts w:ascii="Times New Roman" w:hAnsi="Times New Roman" w:cs="Times New Roman"/>
          <w:b/>
          <w:bCs/>
          <w:lang w:val="en-US"/>
        </w:rPr>
      </w:pPr>
    </w:p>
    <w:p>
      <w:pPr>
        <w:spacing w:after="0" w:line="312" w:lineRule="auto"/>
        <w:ind w:left="647" w:hanging="645" w:hangingChars="293"/>
        <w:contextualSpacing/>
        <w:jc w:val="both"/>
        <w:rPr>
          <w:rFonts w:ascii="Times New Roman" w:hAnsi="Times New Roman" w:cs="Times New Roman"/>
          <w:b/>
          <w:bCs/>
        </w:rPr>
      </w:pPr>
      <w:r>
        <w:rPr>
          <w:rFonts w:ascii="Times New Roman" w:hAnsi="Times New Roman" w:cs="Times New Roman"/>
          <w:b/>
          <w:bCs/>
          <w:lang w:val="en-US"/>
        </w:rPr>
        <w:t>Website</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Aris Setiawan. </w:t>
      </w:r>
      <w:r>
        <w:rPr>
          <w:rFonts w:ascii="Times New Roman" w:hAnsi="Times New Roman" w:cs="Times New Roman"/>
          <w:i/>
          <w:iCs/>
          <w:sz w:val="22"/>
          <w:szCs w:val="22"/>
        </w:rPr>
        <w:t xml:space="preserve">Mengenal Putusan Perdata Dalam Peradilan, </w:t>
      </w:r>
      <w:r>
        <w:fldChar w:fldCharType="begin"/>
      </w:r>
      <w:r>
        <w:instrText xml:space="preserve"> HYPERLINK "https://www.pa-slawi.go.id/artikel-pa/822-mengenal-putusan-perdata-dalam-peradilan" \l ":~:text=Menurut%20Prof.%20DR.%20Sudikno%20Mertokusumo,atau%20masalah%20antar%20pihak.3" </w:instrText>
      </w:r>
      <w:r>
        <w:fldChar w:fldCharType="separate"/>
      </w:r>
      <w:r>
        <w:rPr>
          <w:rStyle w:val="18"/>
          <w:rFonts w:ascii="Times New Roman" w:hAnsi="Times New Roman" w:cs="Times New Roman"/>
          <w:sz w:val="22"/>
          <w:szCs w:val="22"/>
          <w:u w:val="none"/>
        </w:rPr>
        <w:t>https://www.pa-slawi.go.id/artikel-pa/822-mengenal-putusan-perdata-dalam-peradilan#:~:text=Menurut%20Prof.%20DR.%20Sudikno%20Mertokusumo,atau%20masalah%20antar%20pihak.3</w:t>
      </w:r>
      <w:r>
        <w:rPr>
          <w:rStyle w:val="18"/>
          <w:rFonts w:ascii="Times New Roman" w:hAnsi="Times New Roman" w:cs="Times New Roman"/>
          <w:sz w:val="22"/>
          <w:szCs w:val="22"/>
          <w:u w:val="none"/>
        </w:rPr>
        <w:fldChar w:fldCharType="end"/>
      </w:r>
      <w:r>
        <w:rPr>
          <w:rFonts w:ascii="Times New Roman" w:hAnsi="Times New Roman" w:cs="Times New Roman"/>
          <w:sz w:val="22"/>
          <w:szCs w:val="22"/>
        </w:rPr>
        <w:t xml:space="preserve"> (di akses pada 10 maret 2025 11:23</w:t>
      </w:r>
      <w:r>
        <w:rPr>
          <w:rFonts w:ascii="Times New Roman" w:hAnsi="Times New Roman" w:cs="Times New Roman"/>
          <w:sz w:val="22"/>
          <w:szCs w:val="22"/>
          <w:lang w:val="en-US"/>
        </w:rPr>
        <w:t>WIB</w:t>
      </w:r>
      <w:r>
        <w:rPr>
          <w:rFonts w:ascii="Times New Roman" w:hAnsi="Times New Roman" w:cs="Times New Roman"/>
          <w:sz w:val="22"/>
          <w:szCs w:val="22"/>
        </w:rPr>
        <w:t>)</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Asep nursobah, “</w:t>
      </w:r>
      <w:r>
        <w:rPr>
          <w:rFonts w:ascii="Times New Roman" w:hAnsi="Times New Roman" w:cs="Times New Roman"/>
          <w:sz w:val="22"/>
          <w:szCs w:val="22"/>
          <w:lang w:val="en-US"/>
        </w:rPr>
        <w:t>P</w:t>
      </w:r>
      <w:r>
        <w:rPr>
          <w:rFonts w:ascii="Times New Roman" w:hAnsi="Times New Roman" w:cs="Times New Roman"/>
          <w:sz w:val="22"/>
          <w:szCs w:val="22"/>
        </w:rPr>
        <w:t xml:space="preserve">rosedur </w:t>
      </w:r>
      <w:r>
        <w:rPr>
          <w:rFonts w:ascii="Times New Roman" w:hAnsi="Times New Roman" w:cs="Times New Roman"/>
          <w:sz w:val="22"/>
          <w:szCs w:val="22"/>
          <w:lang w:val="en-US"/>
        </w:rPr>
        <w:t>Pen</w:t>
      </w:r>
      <w:r>
        <w:rPr>
          <w:rFonts w:ascii="Times New Roman" w:hAnsi="Times New Roman" w:cs="Times New Roman"/>
          <w:sz w:val="22"/>
          <w:szCs w:val="22"/>
        </w:rPr>
        <w:t xml:space="preserve">gajuan </w:t>
      </w:r>
      <w:r>
        <w:rPr>
          <w:rFonts w:ascii="Times New Roman" w:hAnsi="Times New Roman" w:cs="Times New Roman"/>
          <w:sz w:val="22"/>
          <w:szCs w:val="22"/>
          <w:lang w:val="en-US"/>
        </w:rPr>
        <w:t>P</w:t>
      </w:r>
      <w:r>
        <w:rPr>
          <w:rFonts w:ascii="Times New Roman" w:hAnsi="Times New Roman" w:cs="Times New Roman"/>
          <w:sz w:val="22"/>
          <w:szCs w:val="22"/>
        </w:rPr>
        <w:t xml:space="preserve">ermohonan </w:t>
      </w:r>
      <w:r>
        <w:rPr>
          <w:rFonts w:ascii="Times New Roman" w:hAnsi="Times New Roman" w:cs="Times New Roman"/>
          <w:sz w:val="22"/>
          <w:szCs w:val="22"/>
          <w:lang w:val="en-US"/>
        </w:rPr>
        <w:t>G</w:t>
      </w:r>
      <w:r>
        <w:rPr>
          <w:rFonts w:ascii="Times New Roman" w:hAnsi="Times New Roman" w:cs="Times New Roman"/>
          <w:sz w:val="22"/>
          <w:szCs w:val="22"/>
        </w:rPr>
        <w:t xml:space="preserve">rasi”, </w:t>
      </w:r>
      <w:r>
        <w:fldChar w:fldCharType="begin"/>
      </w:r>
      <w:r>
        <w:instrText xml:space="preserve"> HYPERLINK "https://kepaniteraan.mahkamahagung.go.id/prosedur-berperkara/permohonan-grasi" </w:instrText>
      </w:r>
      <w:r>
        <w:fldChar w:fldCharType="separate"/>
      </w:r>
      <w:r>
        <w:rPr>
          <w:rStyle w:val="18"/>
          <w:rFonts w:ascii="Times New Roman" w:hAnsi="Times New Roman" w:cs="Times New Roman"/>
          <w:i/>
          <w:iCs/>
          <w:sz w:val="22"/>
          <w:szCs w:val="22"/>
          <w:u w:val="none"/>
        </w:rPr>
        <w:t>https://kepaniteraan.mahkamahagung.go.id/prosedur-berperkara/permohonan-grasi</w:t>
      </w:r>
      <w:r>
        <w:rPr>
          <w:rStyle w:val="18"/>
          <w:rFonts w:ascii="Times New Roman" w:hAnsi="Times New Roman" w:cs="Times New Roman"/>
          <w:i/>
          <w:iCs/>
          <w:sz w:val="22"/>
          <w:szCs w:val="22"/>
          <w:u w:val="none"/>
        </w:rPr>
        <w:fldChar w:fldCharType="end"/>
      </w:r>
      <w:r>
        <w:rPr>
          <w:rFonts w:ascii="Times New Roman" w:hAnsi="Times New Roman" w:cs="Times New Roman"/>
          <w:i/>
          <w:iCs/>
          <w:sz w:val="22"/>
          <w:szCs w:val="22"/>
        </w:rPr>
        <w:t xml:space="preserve"> (</w:t>
      </w:r>
      <w:r>
        <w:rPr>
          <w:rFonts w:ascii="Times New Roman" w:hAnsi="Times New Roman" w:cs="Times New Roman"/>
          <w:sz w:val="22"/>
          <w:szCs w:val="22"/>
        </w:rPr>
        <w:t xml:space="preserve">diakses pada 8 </w:t>
      </w:r>
      <w:r>
        <w:rPr>
          <w:rFonts w:ascii="Times New Roman" w:hAnsi="Times New Roman" w:cs="Times New Roman"/>
          <w:sz w:val="22"/>
          <w:szCs w:val="22"/>
          <w:lang w:val="en-US"/>
        </w:rPr>
        <w:t>M</w:t>
      </w:r>
      <w:r>
        <w:rPr>
          <w:rFonts w:ascii="Times New Roman" w:hAnsi="Times New Roman" w:cs="Times New Roman"/>
          <w:sz w:val="22"/>
          <w:szCs w:val="22"/>
        </w:rPr>
        <w:t xml:space="preserve">aret 2025). </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Cnn Indonesia. </w:t>
      </w:r>
      <w:r>
        <w:rPr>
          <w:rFonts w:ascii="Times New Roman" w:hAnsi="Times New Roman" w:cs="Times New Roman"/>
          <w:i/>
          <w:iCs/>
          <w:sz w:val="22"/>
          <w:szCs w:val="22"/>
          <w:lang w:val="en-US"/>
        </w:rPr>
        <w:t>Jejak Kasus MU, Teridana Mati Dapat Grasi Dari Jokowi.</w:t>
      </w:r>
      <w:r>
        <w:rPr>
          <w:rFonts w:ascii="Times New Roman" w:hAnsi="Times New Roman" w:cs="Times New Roman"/>
          <w:sz w:val="22"/>
          <w:szCs w:val="22"/>
          <w:lang w:val="en-US"/>
        </w:rPr>
        <w:t xml:space="preserve"> </w:t>
      </w:r>
      <w:r>
        <w:fldChar w:fldCharType="begin"/>
      </w:r>
      <w:r>
        <w:instrText xml:space="preserve"> HYPERLINK "https://www.cnnindonesia.com/nasional/20230414134529-12-937775/jejak-kasus-merri-utami-terpidana-mati-dapat-grasi-dari-jokowi" </w:instrText>
      </w:r>
      <w:r>
        <w:fldChar w:fldCharType="separate"/>
      </w:r>
      <w:r>
        <w:rPr>
          <w:rStyle w:val="18"/>
          <w:rFonts w:ascii="Times New Roman" w:hAnsi="Times New Roman" w:cs="Times New Roman"/>
          <w:sz w:val="22"/>
          <w:szCs w:val="22"/>
          <w:u w:val="none"/>
          <w:lang w:val="en-US"/>
        </w:rPr>
        <w:t>https://www.cnnindonesia.com/nasional/20230414134529-12-937775/jejak-kasus-merri-utami-terpidana-mati-dapat-grasi-dari-jokowi</w:t>
      </w:r>
      <w:r>
        <w:rPr>
          <w:rStyle w:val="18"/>
          <w:rFonts w:ascii="Times New Roman" w:hAnsi="Times New Roman" w:cs="Times New Roman"/>
          <w:sz w:val="22"/>
          <w:szCs w:val="22"/>
          <w:u w:val="none"/>
          <w:lang w:val="en-US"/>
        </w:rPr>
        <w:fldChar w:fldCharType="end"/>
      </w:r>
      <w:r>
        <w:rPr>
          <w:rStyle w:val="18"/>
          <w:rFonts w:ascii="Times New Roman" w:hAnsi="Times New Roman" w:cs="Times New Roman"/>
          <w:sz w:val="22"/>
          <w:szCs w:val="22"/>
          <w:u w:val="none"/>
          <w:lang w:val="en-US"/>
        </w:rPr>
        <w:t>,</w:t>
      </w:r>
      <w:r>
        <w:rPr>
          <w:rStyle w:val="18"/>
          <w:rFonts w:ascii="Times New Roman" w:hAnsi="Times New Roman" w:cs="Times New Roman"/>
          <w:color w:val="auto"/>
          <w:sz w:val="22"/>
          <w:szCs w:val="22"/>
          <w:u w:val="none"/>
          <w:lang w:val="en-US"/>
        </w:rPr>
        <w:t xml:space="preserve"> di </w:t>
      </w:r>
      <w:r>
        <w:rPr>
          <w:rFonts w:ascii="Times New Roman" w:hAnsi="Times New Roman" w:cs="Times New Roman"/>
          <w:sz w:val="22"/>
          <w:szCs w:val="22"/>
          <w:lang w:val="en-US"/>
        </w:rPr>
        <w:t>akses pada 13:38 WIB 11 Februari 2025)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Dedi (Humas BNN), </w:t>
      </w:r>
      <w:r>
        <w:rPr>
          <w:rFonts w:ascii="Times New Roman" w:hAnsi="Times New Roman" w:cs="Times New Roman"/>
          <w:i/>
          <w:iCs/>
          <w:sz w:val="22"/>
          <w:szCs w:val="22"/>
        </w:rPr>
        <w:t xml:space="preserve">Sejarah Singkat Narkoba. </w:t>
      </w:r>
      <w:r>
        <w:fldChar w:fldCharType="begin"/>
      </w:r>
      <w:r>
        <w:instrText xml:space="preserve"> HYPERLINK "https://dedihumas.bnn.go.id/read/section/artikel/2011/10/31/189/sejarah-singkat-narkoba" </w:instrText>
      </w:r>
      <w:r>
        <w:fldChar w:fldCharType="separate"/>
      </w:r>
      <w:r>
        <w:rPr>
          <w:rStyle w:val="18"/>
          <w:rFonts w:ascii="Times New Roman" w:hAnsi="Times New Roman" w:cs="Times New Roman"/>
          <w:sz w:val="22"/>
          <w:szCs w:val="22"/>
          <w:u w:val="none"/>
        </w:rPr>
        <w:t>https://dedihumas.bnn.go.id/read/section/artikel/2011/10/31/189/sejarah-singkat-narkoba</w:t>
      </w:r>
      <w:r>
        <w:rPr>
          <w:rStyle w:val="18"/>
          <w:rFonts w:ascii="Times New Roman" w:hAnsi="Times New Roman" w:cs="Times New Roman"/>
          <w:sz w:val="22"/>
          <w:szCs w:val="22"/>
          <w:u w:val="none"/>
        </w:rPr>
        <w:fldChar w:fldCharType="end"/>
      </w:r>
      <w:r>
        <w:rPr>
          <w:rStyle w:val="18"/>
          <w:rFonts w:ascii="Times New Roman" w:hAnsi="Times New Roman" w:cs="Times New Roman"/>
          <w:sz w:val="22"/>
          <w:szCs w:val="22"/>
          <w:u w:val="none"/>
          <w:lang w:val="en-US"/>
        </w:rPr>
        <w:t xml:space="preserve">, </w:t>
      </w:r>
      <w:r>
        <w:rPr>
          <w:rFonts w:ascii="Times New Roman" w:hAnsi="Times New Roman" w:cs="Times New Roman"/>
          <w:sz w:val="22"/>
          <w:szCs w:val="22"/>
        </w:rPr>
        <w:t>di akses pada 12 januari 2025 pukul 08:14 WIB</w:t>
      </w:r>
      <w:r>
        <w:rPr>
          <w:rFonts w:ascii="Times New Roman" w:hAnsi="Times New Roman" w:cs="Times New Roman"/>
          <w:sz w:val="22"/>
          <w:szCs w:val="22"/>
          <w:lang w:val="en-US"/>
        </w:rPr>
        <w:t>.</w:t>
      </w:r>
    </w:p>
    <w:p>
      <w:pPr>
        <w:spacing w:after="0" w:line="312" w:lineRule="auto"/>
        <w:ind w:left="645" w:hanging="644" w:hangingChars="293"/>
        <w:contextualSpacing/>
        <w:jc w:val="both"/>
        <w:rPr>
          <w:rFonts w:ascii="Times New Roman" w:hAnsi="Times New Roman" w:cs="Times New Roman"/>
        </w:rPr>
      </w:pPr>
      <w:r>
        <w:rPr>
          <w:rFonts w:ascii="Times New Roman" w:hAnsi="Times New Roman" w:cs="Times New Roman"/>
        </w:rPr>
        <w:t xml:space="preserve">Dr. Flora Dianti, S.H., M.H. </w:t>
      </w:r>
      <w:r>
        <w:rPr>
          <w:rFonts w:ascii="Times New Roman" w:hAnsi="Times New Roman" w:cs="Times New Roman"/>
          <w:i/>
          <w:iCs/>
        </w:rPr>
        <w:t>Apa Perbedaan Alat Bukti Dan Barang Bukti</w:t>
      </w:r>
      <w:r>
        <w:rPr>
          <w:rFonts w:ascii="Times New Roman" w:hAnsi="Times New Roman" w:cs="Times New Roman"/>
          <w:i/>
          <w:iCs/>
          <w:lang w:val="en-US"/>
        </w:rPr>
        <w:t xml:space="preserve">, </w:t>
      </w:r>
      <w:r>
        <w:fldChar w:fldCharType="begin"/>
      </w:r>
      <w:r>
        <w:instrText xml:space="preserve"> HYPERLINK "https://www.hukumonline.com/klinik/a/apa-perbedaan-alat-bukti-dengan-barang-bukti--lt4e8ec99e4d2ae/" </w:instrText>
      </w:r>
      <w:r>
        <w:fldChar w:fldCharType="separate"/>
      </w:r>
      <w:r>
        <w:rPr>
          <w:rStyle w:val="18"/>
          <w:rFonts w:ascii="Times New Roman" w:hAnsi="Times New Roman" w:cs="Times New Roman"/>
          <w:u w:val="none"/>
        </w:rPr>
        <w:t>https://www.hukumonline.com/klinik/a/apa-perbedaan-alat-bukti-dengan-barang-bukti--lt4e8ec99e4d2ae/</w:t>
      </w:r>
      <w:r>
        <w:rPr>
          <w:rStyle w:val="18"/>
          <w:rFonts w:ascii="Times New Roman" w:hAnsi="Times New Roman" w:cs="Times New Roman"/>
          <w:u w:val="none"/>
        </w:rPr>
        <w:fldChar w:fldCharType="end"/>
      </w:r>
      <w:r>
        <w:rPr>
          <w:rFonts w:ascii="Times New Roman" w:hAnsi="Times New Roman" w:cs="Times New Roman"/>
        </w:rPr>
        <w:t xml:space="preserve"> (di akses pada 10 maret 2025)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 xml:space="preserve">Hadis Shahih Al Bukhari No. 6275, </w:t>
      </w:r>
      <w:r>
        <w:rPr>
          <w:rFonts w:ascii="Times New Roman" w:hAnsi="Times New Roman" w:cs="Times New Roman"/>
          <w:i/>
          <w:iCs/>
          <w:sz w:val="22"/>
          <w:szCs w:val="22"/>
          <w:lang w:val="en-US"/>
        </w:rPr>
        <w:t>Mendera Peminum Khamar,</w:t>
      </w:r>
      <w:r>
        <w:rPr>
          <w:rFonts w:ascii="Times New Roman" w:hAnsi="Times New Roman" w:cs="Times New Roman"/>
          <w:sz w:val="22"/>
          <w:szCs w:val="22"/>
          <w:lang w:val="en-US"/>
        </w:rPr>
        <w:t xml:space="preserve"> </w:t>
      </w:r>
      <w:r>
        <w:fldChar w:fldCharType="begin"/>
      </w:r>
      <w:r>
        <w:instrText xml:space="preserve"> HYPERLINK "https://www.hadits.id/hadits/bukhari/6275" </w:instrText>
      </w:r>
      <w:r>
        <w:fldChar w:fldCharType="separate"/>
      </w:r>
      <w:r>
        <w:rPr>
          <w:rStyle w:val="18"/>
          <w:rFonts w:ascii="Times New Roman" w:hAnsi="Times New Roman" w:cs="Times New Roman"/>
          <w:sz w:val="22"/>
          <w:szCs w:val="22"/>
          <w:u w:val="none"/>
          <w:lang w:val="en-US"/>
        </w:rPr>
        <w:t>https://www.hadits.id/hadits/bukhari/6275</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di akses pada 09 Mei 2025 pukul 8:27 WIB.</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 xml:space="preserve">Hadis Sunan Ibnu Majah No 3377, </w:t>
      </w:r>
      <w:r>
        <w:rPr>
          <w:rFonts w:ascii="Times New Roman" w:hAnsi="Times New Roman" w:cs="Times New Roman"/>
          <w:i/>
          <w:iCs/>
          <w:sz w:val="22"/>
          <w:szCs w:val="22"/>
          <w:lang w:val="en-US"/>
        </w:rPr>
        <w:t xml:space="preserve">Setiap yang Memabukkan Adalah Haram. </w:t>
      </w:r>
      <w:r>
        <w:fldChar w:fldCharType="begin"/>
      </w:r>
      <w:r>
        <w:instrText xml:space="preserve"> HYPERLINK "https://www.hadits.id/hadits/majah/3377" </w:instrText>
      </w:r>
      <w:r>
        <w:fldChar w:fldCharType="separate"/>
      </w:r>
      <w:r>
        <w:rPr>
          <w:rStyle w:val="18"/>
          <w:rFonts w:ascii="Times New Roman" w:hAnsi="Times New Roman" w:cs="Times New Roman"/>
          <w:sz w:val="22"/>
          <w:szCs w:val="22"/>
          <w:u w:val="none"/>
          <w:lang w:val="en-US"/>
        </w:rPr>
        <w:t>https://www.hadits.id/hadits/majah/3377</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di akses pada 07 Mei 2025 pukul 08:08 WIB.</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 xml:space="preserve">Hafidz MU ftisany, </w:t>
      </w:r>
      <w:r>
        <w:rPr>
          <w:rFonts w:ascii="Times New Roman" w:hAnsi="Times New Roman" w:cs="Times New Roman"/>
          <w:i/>
          <w:iCs/>
          <w:sz w:val="22"/>
          <w:szCs w:val="22"/>
          <w:lang w:val="en-US"/>
        </w:rPr>
        <w:t xml:space="preserve">Narkotika Dalam fikih Islam, </w:t>
      </w:r>
      <w:r>
        <w:fldChar w:fldCharType="begin"/>
      </w:r>
      <w:r>
        <w:instrText xml:space="preserve"> HYPERLINK "https://republika.co.id/berita/koran/dialog-jumat/15/05/08/no0x0828-narkotika-dalam-fikih-islam" </w:instrText>
      </w:r>
      <w:r>
        <w:fldChar w:fldCharType="separate"/>
      </w:r>
      <w:r>
        <w:rPr>
          <w:rStyle w:val="18"/>
          <w:rFonts w:ascii="Times New Roman" w:hAnsi="Times New Roman" w:cs="Times New Roman"/>
          <w:sz w:val="22"/>
          <w:szCs w:val="22"/>
          <w:u w:val="none"/>
          <w:lang w:val="en-US"/>
        </w:rPr>
        <w:t>https://republika.co.id/berita/koran/dialog-jumat/15/05/08/no0x0828-narkotika-dalam-fikih-Islam</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Di akses pada 6 Mei 2025 pukul 11:29 WIB.</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Iwan rachmat soetijono, s.h. m.h,</w:t>
      </w:r>
      <w:r>
        <w:rPr>
          <w:rFonts w:ascii="Times New Roman" w:hAnsi="Times New Roman" w:cs="Times New Roman"/>
          <w:i/>
          <w:iCs/>
          <w:sz w:val="22"/>
          <w:szCs w:val="22"/>
          <w:lang w:val="en-US"/>
        </w:rPr>
        <w:t xml:space="preserve"> </w:t>
      </w:r>
      <w:r>
        <w:rPr>
          <w:rFonts w:ascii="Times New Roman" w:hAnsi="Times New Roman" w:eastAsia="sans-serif 1" w:cs="Times New Roman"/>
          <w:i/>
          <w:iCs/>
          <w:sz w:val="22"/>
          <w:szCs w:val="22"/>
        </w:rPr>
        <w:t>Pertimbangan MA dan DPR dalam Pemberian Grasi, Rehabilitasi, Amnesti, dan Abolisi</w:t>
      </w:r>
      <w:r>
        <w:rPr>
          <w:rFonts w:ascii="Times New Roman" w:hAnsi="Times New Roman" w:eastAsia="sans-serif 1" w:cs="Times New Roman"/>
          <w:i/>
          <w:iCs/>
          <w:sz w:val="22"/>
          <w:szCs w:val="22"/>
          <w:lang w:val="en-US"/>
        </w:rPr>
        <w:t>,</w:t>
      </w:r>
      <w:r>
        <w:rPr>
          <w:rFonts w:ascii="Times New Roman" w:hAnsi="Times New Roman" w:eastAsia="sans-serif 1" w:cs="Times New Roman"/>
          <w:b/>
          <w:i/>
          <w:iCs/>
          <w:sz w:val="22"/>
          <w:szCs w:val="22"/>
          <w:lang w:val="en-US"/>
        </w:rPr>
        <w:t xml:space="preserve"> </w:t>
      </w:r>
      <w:r>
        <w:fldChar w:fldCharType="begin"/>
      </w:r>
      <w:r>
        <w:instrText xml:space="preserve"> HYPERLINK "https://www.hukumonline.com/klinik/a/pertimbangan-ma-dan-dpr-dalam-pemberian-grasi--rehabilitasi--amnesti--dan-abolisi-lt5c7bac21ae930/" </w:instrText>
      </w:r>
      <w:r>
        <w:fldChar w:fldCharType="separate"/>
      </w:r>
      <w:r>
        <w:rPr>
          <w:rStyle w:val="18"/>
          <w:rFonts w:ascii="Times New Roman" w:hAnsi="Times New Roman" w:eastAsia="sans-serif 1" w:cs="Times New Roman"/>
          <w:b/>
          <w:sz w:val="22"/>
          <w:szCs w:val="22"/>
          <w:u w:val="none"/>
          <w:lang w:val="en-US"/>
        </w:rPr>
        <w:t>https://www.hukumonline.com/klinik/a/pertimbangan-ma-dan-dpr-dalam-pemberian-grasi--rehabilitasi--amnesti--dan-abolisi-lt5c7bac21ae930/</w:t>
      </w:r>
      <w:r>
        <w:rPr>
          <w:rStyle w:val="18"/>
          <w:rFonts w:ascii="Times New Roman" w:hAnsi="Times New Roman" w:eastAsia="sans-serif 1" w:cs="Times New Roman"/>
          <w:b/>
          <w:sz w:val="22"/>
          <w:szCs w:val="22"/>
          <w:u w:val="none"/>
          <w:lang w:val="en-US"/>
        </w:rPr>
        <w:fldChar w:fldCharType="end"/>
      </w:r>
    </w:p>
    <w:p>
      <w:pPr>
        <w:pStyle w:val="8"/>
        <w:snapToGrid w:val="0"/>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Jihan Nada Qatrunnada, </w:t>
      </w:r>
      <w:r>
        <w:rPr>
          <w:rFonts w:ascii="Times New Roman" w:hAnsi="Times New Roman" w:cs="Times New Roman"/>
          <w:i/>
          <w:iCs/>
          <w:sz w:val="22"/>
          <w:szCs w:val="22"/>
        </w:rPr>
        <w:t xml:space="preserve">Hadis dan larangan Al qur’an Meminum Khamr, </w:t>
      </w:r>
      <w:r>
        <w:fldChar w:fldCharType="begin"/>
      </w:r>
      <w:r>
        <w:instrText xml:space="preserve"> HYPERLINK "https://www.detik.com/hikmah/doa-dan-hadits/d-6910484/hadits-dan-ayat-al-quran-tentang-larangan-minum-khamr" </w:instrText>
      </w:r>
      <w:r>
        <w:fldChar w:fldCharType="separate"/>
      </w:r>
      <w:r>
        <w:rPr>
          <w:rStyle w:val="18"/>
          <w:rFonts w:ascii="Times New Roman" w:hAnsi="Times New Roman" w:cs="Times New Roman"/>
          <w:sz w:val="22"/>
          <w:szCs w:val="22"/>
          <w:u w:val="none"/>
        </w:rPr>
        <w:t>https://www.detik.com/hikmah/doa-dan-hadits/d-6910484/hadits-dan-ayat-al-quran-tentang-larangan-minum-khamr</w:t>
      </w:r>
      <w:r>
        <w:rPr>
          <w:rStyle w:val="18"/>
          <w:rFonts w:ascii="Times New Roman" w:hAnsi="Times New Roman" w:cs="Times New Roman"/>
          <w:sz w:val="22"/>
          <w:szCs w:val="22"/>
          <w:u w:val="none"/>
        </w:rPr>
        <w:fldChar w:fldCharType="end"/>
      </w:r>
      <w:r>
        <w:rPr>
          <w:rFonts w:ascii="Times New Roman" w:hAnsi="Times New Roman" w:cs="Times New Roman"/>
          <w:sz w:val="22"/>
          <w:szCs w:val="22"/>
        </w:rPr>
        <w:t>, di akses pada 16 Maret 2025.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 xml:space="preserve">Kristina, Pengertian </w:t>
      </w:r>
      <w:r>
        <w:rPr>
          <w:rFonts w:ascii="Times New Roman" w:hAnsi="Times New Roman" w:cs="Times New Roman"/>
          <w:i/>
          <w:iCs/>
          <w:sz w:val="22"/>
          <w:szCs w:val="22"/>
          <w:lang w:val="en-US"/>
        </w:rPr>
        <w:t xml:space="preserve">Qiyas Sebagai Sumber Hukum Keempat, </w:t>
      </w:r>
      <w:r>
        <w:fldChar w:fldCharType="begin"/>
      </w:r>
      <w:r>
        <w:instrText xml:space="preserve"> HYPERLINK "https://www.detik.com/edu/detikpedia/d-5787900/pengertian-qiyas-sebagai-sumber-hukum-islam-yang-keempat" </w:instrText>
      </w:r>
      <w:r>
        <w:fldChar w:fldCharType="separate"/>
      </w:r>
      <w:r>
        <w:rPr>
          <w:rStyle w:val="18"/>
          <w:rFonts w:ascii="Times New Roman" w:hAnsi="Times New Roman" w:cs="Times New Roman"/>
          <w:sz w:val="22"/>
          <w:szCs w:val="22"/>
          <w:u w:val="none"/>
          <w:lang w:val="en-US"/>
        </w:rPr>
        <w:t>https://www.detik.com/edu/detikpedia/d-5787900/pengertian-qiyas-sebagai-sumber-hukum-Islam-yang-keempat</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Di akses pada 6 Mei 2025 pukul 12:10 WIB</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Maskum Rangkuti, </w:t>
      </w:r>
      <w:r>
        <w:rPr>
          <w:rFonts w:ascii="Times New Roman" w:hAnsi="Times New Roman" w:cs="Times New Roman"/>
          <w:i/>
          <w:iCs/>
          <w:sz w:val="22"/>
          <w:szCs w:val="22"/>
          <w:lang w:val="en-US"/>
        </w:rPr>
        <w:t>Apa Itu Keadilan dalam Hukum</w:t>
      </w:r>
      <w:r>
        <w:rPr>
          <w:rFonts w:ascii="Times New Roman" w:hAnsi="Times New Roman" w:cs="Times New Roman"/>
          <w:sz w:val="22"/>
          <w:szCs w:val="22"/>
          <w:lang w:val="en-US"/>
        </w:rPr>
        <w:t xml:space="preserve">, </w:t>
      </w:r>
      <w:r>
        <w:fldChar w:fldCharType="begin"/>
      </w:r>
      <w:r>
        <w:instrText xml:space="preserve"> HYPERLINK "https://fahum.umsu.ac.id/apa-itu-keadilan-dalam-hukum/" </w:instrText>
      </w:r>
      <w:r>
        <w:fldChar w:fldCharType="separate"/>
      </w:r>
      <w:r>
        <w:rPr>
          <w:rStyle w:val="18"/>
          <w:rFonts w:ascii="Times New Roman" w:hAnsi="Times New Roman" w:cs="Times New Roman"/>
          <w:sz w:val="22"/>
          <w:szCs w:val="22"/>
          <w:u w:val="none"/>
          <w:lang w:val="en-US"/>
        </w:rPr>
        <w:t>https://fahum.umsu.ac.id/apa-itu-keadilan-dalam-hukum/</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xml:space="preserve"> diakses 24 September 2024. </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Migran Care, </w:t>
      </w:r>
      <w:r>
        <w:rPr>
          <w:rFonts w:ascii="Times New Roman" w:hAnsi="Times New Roman" w:cs="Times New Roman"/>
          <w:i/>
          <w:iCs/>
          <w:sz w:val="22"/>
          <w:szCs w:val="22"/>
          <w:lang w:val="en-US"/>
        </w:rPr>
        <w:t>MU</w:t>
      </w:r>
      <w:r>
        <w:rPr>
          <w:rFonts w:ascii="Times New Roman" w:hAnsi="Times New Roman" w:cs="Times New Roman"/>
          <w:i/>
          <w:iCs/>
          <w:sz w:val="22"/>
          <w:szCs w:val="22"/>
        </w:rPr>
        <w:t>: Potret Buruh Migran Indonesia,</w:t>
      </w:r>
      <w:r>
        <w:rPr>
          <w:rFonts w:ascii="Times New Roman" w:hAnsi="Times New Roman" w:cs="Times New Roman"/>
          <w:sz w:val="22"/>
          <w:szCs w:val="22"/>
        </w:rPr>
        <w:t xml:space="preserve"> </w:t>
      </w:r>
      <w:r>
        <w:fldChar w:fldCharType="begin"/>
      </w:r>
      <w:r>
        <w:instrText xml:space="preserve"> HYPERLINK "https://migrantcare.net/2017/01/profil-merri-utami/" </w:instrText>
      </w:r>
      <w:r>
        <w:fldChar w:fldCharType="separate"/>
      </w:r>
      <w:r>
        <w:rPr>
          <w:rStyle w:val="18"/>
          <w:rFonts w:ascii="Times New Roman" w:hAnsi="Times New Roman" w:cs="Times New Roman"/>
          <w:sz w:val="22"/>
          <w:szCs w:val="22"/>
          <w:u w:val="none"/>
        </w:rPr>
        <w:t>https://migrantcare.net/2017/01/profil-merri-utami/</w:t>
      </w:r>
      <w:r>
        <w:rPr>
          <w:rStyle w:val="18"/>
          <w:rFonts w:ascii="Times New Roman" w:hAnsi="Times New Roman" w:cs="Times New Roman"/>
          <w:sz w:val="22"/>
          <w:szCs w:val="22"/>
          <w:u w:val="none"/>
        </w:rPr>
        <w:fldChar w:fldCharType="end"/>
      </w:r>
      <w:r>
        <w:rPr>
          <w:rFonts w:ascii="Times New Roman" w:hAnsi="Times New Roman" w:cs="Times New Roman"/>
          <w:sz w:val="22"/>
          <w:szCs w:val="22"/>
        </w:rPr>
        <w:t xml:space="preserve"> (di akses pada 3 maret 2025).</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 xml:space="preserve">Rahma Harbani, </w:t>
      </w:r>
      <w:r>
        <w:rPr>
          <w:rFonts w:ascii="Times New Roman" w:hAnsi="Times New Roman" w:cs="Times New Roman"/>
          <w:i/>
          <w:iCs/>
          <w:sz w:val="22"/>
          <w:szCs w:val="22"/>
          <w:lang w:val="en-US"/>
        </w:rPr>
        <w:t xml:space="preserve">4 Hadits Memaafan Sesama, Bentuk Iman yang Paling Utama”, </w:t>
      </w:r>
      <w:r>
        <w:fldChar w:fldCharType="begin"/>
      </w:r>
      <w:r>
        <w:instrText xml:space="preserve"> HYPERLINK "https://www.detik.com/hikmah/doa-dan-hadits/d-6614448/4-hadits-" </w:instrText>
      </w:r>
      <w:r>
        <w:fldChar w:fldCharType="separate"/>
      </w:r>
      <w:r>
        <w:rPr>
          <w:rStyle w:val="18"/>
          <w:rFonts w:ascii="Times New Roman" w:hAnsi="Times New Roman" w:cs="Times New Roman"/>
          <w:sz w:val="22"/>
          <w:szCs w:val="22"/>
          <w:u w:val="none"/>
          <w:lang w:val="en-US"/>
        </w:rPr>
        <w:t>https://www.detik.com/hikmah/doa-dan-hadits/d-6614448/4-hadits-</w:t>
      </w:r>
      <w:r>
        <w:rPr>
          <w:rStyle w:val="18"/>
          <w:rFonts w:ascii="Times New Roman" w:hAnsi="Times New Roman" w:cs="Times New Roman"/>
          <w:sz w:val="22"/>
          <w:szCs w:val="22"/>
          <w:u w:val="none"/>
          <w:lang w:val="en-US"/>
        </w:rPr>
        <w:fldChar w:fldCharType="end"/>
      </w:r>
      <w:r>
        <w:rPr>
          <w:rFonts w:ascii="Times New Roman" w:hAnsi="Times New Roman" w:cs="Times New Roman"/>
          <w:sz w:val="22"/>
          <w:szCs w:val="22"/>
          <w:lang w:val="en-US"/>
        </w:rPr>
        <w:t xml:space="preserve">, </w:t>
      </w:r>
      <w:r>
        <w:rPr>
          <w:rFonts w:ascii="Times New Roman" w:hAnsi="Times New Roman" w:cs="Times New Roman"/>
          <w:i/>
          <w:iCs/>
          <w:sz w:val="22"/>
          <w:szCs w:val="22"/>
          <w:lang w:val="en-US"/>
        </w:rPr>
        <w:t>di akses pada 2 Mei 2025 pukul 10:40 WIB.</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Yennni ratna pratiwi, artikel djkn, </w:t>
      </w:r>
      <w:r>
        <w:rPr>
          <w:rFonts w:ascii="Times New Roman" w:hAnsi="Times New Roman" w:cs="Times New Roman"/>
          <w:i/>
          <w:iCs/>
          <w:sz w:val="22"/>
          <w:szCs w:val="22"/>
        </w:rPr>
        <w:t>Menanggapi Adanaya Permohonan Peninjauan Kembali (P</w:t>
      </w:r>
      <w:r>
        <w:rPr>
          <w:rFonts w:ascii="Times New Roman" w:hAnsi="Times New Roman" w:cs="Times New Roman"/>
          <w:i/>
          <w:iCs/>
          <w:sz w:val="22"/>
          <w:szCs w:val="22"/>
          <w:lang w:val="en-US"/>
        </w:rPr>
        <w:t>K</w:t>
      </w:r>
      <w:r>
        <w:rPr>
          <w:rFonts w:ascii="Times New Roman" w:hAnsi="Times New Roman" w:cs="Times New Roman"/>
          <w:i/>
          <w:iCs/>
          <w:sz w:val="22"/>
          <w:szCs w:val="22"/>
        </w:rPr>
        <w:t xml:space="preserve">) Dari Lawan”, </w:t>
      </w:r>
      <w:r>
        <w:fldChar w:fldCharType="begin"/>
      </w:r>
      <w:r>
        <w:instrText xml:space="preserve"> HYPERLINK "https://www.djkn.kemenkeu.go.id/artikel/baca/12955/Menanggapi-Adanya-Permohonan%20Peninjauan-Kembali-PK-Dari-Lawan.html" </w:instrText>
      </w:r>
      <w:r>
        <w:fldChar w:fldCharType="separate"/>
      </w:r>
      <w:r>
        <w:rPr>
          <w:rStyle w:val="18"/>
          <w:rFonts w:ascii="Times New Roman" w:hAnsi="Times New Roman" w:cs="Times New Roman"/>
          <w:sz w:val="22"/>
          <w:szCs w:val="22"/>
          <w:u w:val="none"/>
        </w:rPr>
        <w:t>https://www.djkn.kemenkeu.go.id/artikel/baca/12955/Menanggapi-Adanya-Permohonan%20Peninjauan-Kembali-PK-Dari-Lawan.html</w:t>
      </w:r>
      <w:r>
        <w:rPr>
          <w:rStyle w:val="18"/>
          <w:rFonts w:ascii="Times New Roman" w:hAnsi="Times New Roman" w:cs="Times New Roman"/>
          <w:sz w:val="22"/>
          <w:szCs w:val="22"/>
          <w:u w:val="none"/>
        </w:rPr>
        <w:fldChar w:fldCharType="end"/>
      </w:r>
      <w:r>
        <w:rPr>
          <w:rFonts w:ascii="Times New Roman" w:hAnsi="Times New Roman" w:cs="Times New Roman"/>
          <w:sz w:val="22"/>
          <w:szCs w:val="22"/>
        </w:rPr>
        <w:t xml:space="preserve"> (di akses pada 10 </w:t>
      </w:r>
      <w:r>
        <w:rPr>
          <w:rFonts w:ascii="Times New Roman" w:hAnsi="Times New Roman" w:cs="Times New Roman"/>
          <w:sz w:val="22"/>
          <w:szCs w:val="22"/>
          <w:lang w:val="en-US"/>
        </w:rPr>
        <w:t>M</w:t>
      </w:r>
      <w:r>
        <w:rPr>
          <w:rFonts w:ascii="Times New Roman" w:hAnsi="Times New Roman" w:cs="Times New Roman"/>
          <w:sz w:val="22"/>
          <w:szCs w:val="22"/>
        </w:rPr>
        <w:t>aret 2025)</w:t>
      </w:r>
    </w:p>
    <w:p>
      <w:pPr>
        <w:spacing w:after="0" w:line="312" w:lineRule="auto"/>
        <w:contextualSpacing/>
        <w:jc w:val="both"/>
        <w:rPr>
          <w:rFonts w:ascii="Times New Roman" w:hAnsi="Times New Roman" w:cs="Times New Roman"/>
        </w:rPr>
      </w:pPr>
    </w:p>
    <w:p>
      <w:pPr>
        <w:spacing w:after="0" w:line="312" w:lineRule="auto"/>
        <w:ind w:left="647" w:hanging="645" w:hangingChars="293"/>
        <w:contextualSpacing/>
        <w:jc w:val="both"/>
        <w:rPr>
          <w:rFonts w:ascii="Times New Roman" w:hAnsi="Times New Roman" w:cs="Times New Roman"/>
          <w:b/>
          <w:bCs/>
          <w:lang w:val="en-US"/>
        </w:rPr>
      </w:pPr>
      <w:r>
        <w:rPr>
          <w:rFonts w:ascii="Times New Roman" w:hAnsi="Times New Roman" w:cs="Times New Roman"/>
          <w:b/>
          <w:bCs/>
          <w:lang w:val="en-US"/>
        </w:rPr>
        <w:t>Undang-Undang dan Fatwa MUI</w:t>
      </w:r>
    </w:p>
    <w:p>
      <w:pPr>
        <w:pStyle w:val="8"/>
        <w:spacing w:line="312" w:lineRule="auto"/>
        <w:ind w:left="645" w:right="-15" w:rightChars="-7"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Fatwa MUI, Penyalahgunaan Narkotika, 551</w:t>
      </w:r>
    </w:p>
    <w:p>
      <w:pPr>
        <w:pStyle w:val="8"/>
        <w:snapToGrid w:val="0"/>
        <w:spacing w:line="312" w:lineRule="auto"/>
        <w:ind w:left="645" w:hanging="644" w:hangingChars="293"/>
        <w:jc w:val="both"/>
        <w:rPr>
          <w:rFonts w:ascii="Times New Roman" w:hAnsi="Times New Roman" w:cs="Times New Roman"/>
          <w:sz w:val="22"/>
          <w:szCs w:val="22"/>
          <w:lang w:val="en-US"/>
        </w:rPr>
      </w:pPr>
      <w:r>
        <w:rPr>
          <w:rFonts w:ascii="Times New Roman" w:hAnsi="Times New Roman" w:cs="Times New Roman"/>
          <w:sz w:val="22"/>
          <w:szCs w:val="22"/>
          <w:lang w:val="en-US"/>
        </w:rPr>
        <w:t>LBH Masyarakat, Rilis Pers Grasi Presiden Kepada Merri Utami: Komutasi Setengah Hati.</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Pasal 1 Ayat 1 UU Ri Nomor 35 Tahun 2009</w:t>
      </w:r>
    </w:p>
    <w:p>
      <w:pPr>
        <w:pStyle w:val="8"/>
        <w:snapToGrid w:val="0"/>
        <w:spacing w:line="312" w:lineRule="auto"/>
        <w:ind w:left="645" w:hanging="644" w:hangingChars="293"/>
        <w:jc w:val="both"/>
        <w:rPr>
          <w:rFonts w:ascii="Times New Roman" w:hAnsi="Times New Roman" w:cs="Times New Roman"/>
          <w:sz w:val="22"/>
          <w:szCs w:val="22"/>
          <w:lang w:val="en-US"/>
        </w:rPr>
      </w:pPr>
      <w:r>
        <w:rPr>
          <w:rFonts w:ascii="Times New Roman" w:hAnsi="Times New Roman" w:cs="Times New Roman"/>
          <w:sz w:val="22"/>
          <w:szCs w:val="22"/>
          <w:lang w:val="en-US"/>
        </w:rPr>
        <w:t>Pasal 1 UU Nomor 35 Tahun 2009</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Pasal 10 UU No 5 Tahun 2010</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Pasal 2 UU Grasi Nomor 5 Tahun 2010</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Pasal 9 U</w:t>
      </w:r>
      <w:r>
        <w:rPr>
          <w:rFonts w:ascii="Times New Roman" w:hAnsi="Times New Roman" w:cs="Times New Roman"/>
          <w:sz w:val="22"/>
          <w:szCs w:val="22"/>
          <w:lang w:val="en-US"/>
        </w:rPr>
        <w:t xml:space="preserve">U </w:t>
      </w:r>
      <w:r>
        <w:rPr>
          <w:rFonts w:ascii="Times New Roman" w:hAnsi="Times New Roman" w:cs="Times New Roman"/>
          <w:sz w:val="22"/>
          <w:szCs w:val="22"/>
        </w:rPr>
        <w:t>No 39 Tahun 1999 Tentang HAM</w:t>
      </w:r>
    </w:p>
    <w:p>
      <w:pPr>
        <w:spacing w:after="0" w:line="312" w:lineRule="auto"/>
        <w:ind w:left="645" w:hanging="644" w:hangingChars="293"/>
        <w:contextualSpacing/>
        <w:jc w:val="both"/>
        <w:rPr>
          <w:rFonts w:ascii="Times New Roman" w:hAnsi="Times New Roman" w:cs="Times New Roman"/>
          <w:b/>
          <w:bCs/>
          <w:lang w:val="en-US"/>
        </w:rPr>
      </w:pPr>
      <w:r>
        <w:rPr>
          <w:rFonts w:ascii="Times New Roman" w:hAnsi="Times New Roman" w:cs="Times New Roman"/>
        </w:rPr>
        <w:t>Pasal 9 UU No 5 Tahun 2010</w:t>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Undang-Undang</w:t>
      </w:r>
      <w:r>
        <w:rPr>
          <w:rFonts w:ascii="Times New Roman" w:hAnsi="Times New Roman" w:cs="Times New Roman"/>
          <w:sz w:val="22"/>
          <w:szCs w:val="22"/>
        </w:rPr>
        <w:t xml:space="preserve"> Darurat Nomor 11 Tahun 1954 Tentang Amnesti dan Abolisi</w:t>
      </w:r>
    </w:p>
    <w:p>
      <w:pPr>
        <w:spacing w:after="0" w:line="312" w:lineRule="auto"/>
        <w:ind w:left="645" w:hanging="644" w:hangingChars="293"/>
        <w:contextualSpacing/>
        <w:jc w:val="both"/>
        <w:rPr>
          <w:rFonts w:ascii="Times New Roman" w:hAnsi="Times New Roman" w:cs="Times New Roman"/>
        </w:rPr>
      </w:pPr>
      <w:r>
        <w:fldChar w:fldCharType="begin"/>
      </w:r>
      <w:r>
        <w:instrText xml:space="preserve"> HYPERLINK "https://www.hukumonline.com/pusatdata/detail/19300/node/965/undang-undang-darurat-no-11-tahun-1954-amnesti-dan-abolisi" </w:instrText>
      </w:r>
      <w:r>
        <w:fldChar w:fldCharType="separate"/>
      </w:r>
      <w:r>
        <w:rPr>
          <w:rFonts w:ascii="Times New Roman" w:hAnsi="Times New Roman" w:cs="Times New Roman"/>
          <w:lang w:val="en-US"/>
        </w:rPr>
        <w:t>Undang-Undang</w:t>
      </w:r>
      <w:r>
        <w:rPr>
          <w:rFonts w:ascii="Times New Roman" w:hAnsi="Times New Roman" w:cs="Times New Roman"/>
        </w:rPr>
        <w:t xml:space="preserve"> Darurat Nomor 11 Tahun 1954 tentang Amnesti dan Abolisi</w:t>
      </w:r>
      <w:r>
        <w:rPr>
          <w:rFonts w:ascii="Times New Roman" w:hAnsi="Times New Roman" w:cs="Times New Roman"/>
        </w:rPr>
        <w:fldChar w:fldCharType="end"/>
      </w:r>
    </w:p>
    <w:p>
      <w:pPr>
        <w:pStyle w:val="8"/>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lang w:val="en-US"/>
        </w:rPr>
        <w:t>Undang-Undang</w:t>
      </w:r>
      <w:r>
        <w:rPr>
          <w:rFonts w:ascii="Times New Roman" w:hAnsi="Times New Roman" w:cs="Times New Roman"/>
          <w:sz w:val="22"/>
          <w:szCs w:val="22"/>
        </w:rPr>
        <w:t xml:space="preserve"> No 35 Tahun 2009 Tentang Narkotika</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Undang-Undang Nomer 22 Tahun 2002 Tentang Grasi, bagian penjelasan umum.</w:t>
      </w:r>
    </w:p>
    <w:p>
      <w:pPr>
        <w:spacing w:after="0" w:line="312" w:lineRule="auto"/>
        <w:ind w:left="645" w:hanging="644" w:hangingChars="293"/>
        <w:contextualSpacing/>
        <w:jc w:val="both"/>
        <w:rPr>
          <w:rFonts w:ascii="Times New Roman" w:hAnsi="Times New Roman" w:cs="Times New Roman"/>
          <w:lang w:val="en-US"/>
        </w:rPr>
      </w:pPr>
      <w:r>
        <w:rPr>
          <w:rFonts w:ascii="Times New Roman" w:hAnsi="Times New Roman" w:cs="Times New Roman"/>
          <w:lang w:val="en-US"/>
        </w:rPr>
        <w:t>Undang-Undang</w:t>
      </w:r>
      <w:r>
        <w:rPr>
          <w:rFonts w:ascii="Times New Roman" w:hAnsi="Times New Roman" w:cs="Times New Roman"/>
        </w:rPr>
        <w:t xml:space="preserve"> Rep</w:t>
      </w:r>
      <w:r>
        <w:rPr>
          <w:rFonts w:ascii="Times New Roman" w:hAnsi="Times New Roman" w:cs="Times New Roman"/>
          <w:lang w:val="en-US"/>
        </w:rPr>
        <w:t>u</w:t>
      </w:r>
      <w:r>
        <w:rPr>
          <w:rFonts w:ascii="Times New Roman" w:hAnsi="Times New Roman" w:cs="Times New Roman"/>
        </w:rPr>
        <w:t>bulik</w:t>
      </w:r>
      <w:r>
        <w:rPr>
          <w:rFonts w:ascii="Times New Roman" w:hAnsi="Times New Roman" w:cs="Times New Roman"/>
          <w:spacing w:val="-2"/>
        </w:rPr>
        <w:t xml:space="preserve"> </w:t>
      </w:r>
      <w:r>
        <w:rPr>
          <w:rFonts w:ascii="Times New Roman" w:hAnsi="Times New Roman" w:cs="Times New Roman"/>
        </w:rPr>
        <w:t>Indonesia Nomor</w:t>
      </w:r>
      <w:r>
        <w:rPr>
          <w:rFonts w:ascii="Times New Roman" w:hAnsi="Times New Roman" w:cs="Times New Roman"/>
          <w:spacing w:val="-1"/>
        </w:rPr>
        <w:t xml:space="preserve"> </w:t>
      </w:r>
      <w:r>
        <w:rPr>
          <w:rFonts w:ascii="Times New Roman" w:hAnsi="Times New Roman" w:cs="Times New Roman"/>
        </w:rPr>
        <w:t>22 Tahun</w:t>
      </w:r>
      <w:r>
        <w:rPr>
          <w:rFonts w:ascii="Times New Roman" w:hAnsi="Times New Roman" w:cs="Times New Roman"/>
          <w:spacing w:val="-1"/>
        </w:rPr>
        <w:t xml:space="preserve"> </w:t>
      </w:r>
      <w:r>
        <w:rPr>
          <w:rFonts w:ascii="Times New Roman" w:hAnsi="Times New Roman" w:cs="Times New Roman"/>
        </w:rPr>
        <w:t>2002</w:t>
      </w:r>
      <w:r>
        <w:rPr>
          <w:rFonts w:ascii="Times New Roman" w:hAnsi="Times New Roman" w:cs="Times New Roman"/>
          <w:spacing w:val="-1"/>
        </w:rPr>
        <w:t xml:space="preserve"> </w:t>
      </w:r>
      <w:r>
        <w:rPr>
          <w:rFonts w:ascii="Times New Roman" w:hAnsi="Times New Roman" w:cs="Times New Roman"/>
        </w:rPr>
        <w:t>tentang Grasi.</w:t>
      </w:r>
    </w:p>
    <w:p>
      <w:pPr>
        <w:pStyle w:val="8"/>
        <w:snapToGrid w:val="0"/>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Undang-Undang</w:t>
      </w:r>
      <w:r>
        <w:rPr>
          <w:rFonts w:ascii="Times New Roman" w:hAnsi="Times New Roman" w:cs="Times New Roman"/>
          <w:sz w:val="22"/>
          <w:szCs w:val="22"/>
        </w:rPr>
        <w:t xml:space="preserve"> RI 1945 UU Grasi Pasal 6 Ayat 2</w:t>
      </w:r>
    </w:p>
    <w:p>
      <w:pPr>
        <w:spacing w:after="0" w:line="312" w:lineRule="auto"/>
        <w:ind w:left="645" w:hanging="644" w:hangingChars="293"/>
        <w:contextualSpacing/>
        <w:jc w:val="both"/>
        <w:rPr>
          <w:rFonts w:ascii="Times New Roman" w:hAnsi="Times New Roman" w:cs="Times New Roman"/>
          <w:lang w:val="en-US"/>
        </w:rPr>
      </w:pPr>
    </w:p>
    <w:p>
      <w:pPr>
        <w:pStyle w:val="8"/>
        <w:spacing w:line="312" w:lineRule="auto"/>
        <w:ind w:left="647" w:hanging="645" w:hangingChars="293"/>
        <w:contextualSpacing/>
        <w:jc w:val="both"/>
        <w:rPr>
          <w:rFonts w:ascii="Times New Roman" w:hAnsi="Times New Roman" w:cs="Times New Roman"/>
          <w:b/>
          <w:bCs/>
          <w:sz w:val="22"/>
          <w:szCs w:val="22"/>
        </w:rPr>
      </w:pPr>
      <w:r>
        <w:rPr>
          <w:rFonts w:ascii="Times New Roman" w:hAnsi="Times New Roman" w:cs="Times New Roman"/>
          <w:b/>
          <w:bCs/>
          <w:sz w:val="22"/>
          <w:szCs w:val="22"/>
          <w:lang w:val="en-US"/>
        </w:rPr>
        <w:t>Aplikasi</w:t>
      </w:r>
    </w:p>
    <w:p>
      <w:pPr>
        <w:pStyle w:val="8"/>
        <w:spacing w:line="312" w:lineRule="auto"/>
        <w:ind w:left="645" w:hanging="644" w:hangingChars="293"/>
        <w:contextualSpacing/>
        <w:jc w:val="both"/>
        <w:rPr>
          <w:rFonts w:ascii="Times New Roman" w:hAnsi="Times New Roman" w:cs="Times New Roman"/>
          <w:sz w:val="22"/>
          <w:szCs w:val="22"/>
          <w:lang w:val="en-US"/>
        </w:rPr>
      </w:pPr>
      <w:r>
        <w:rPr>
          <w:rFonts w:ascii="Times New Roman" w:hAnsi="Times New Roman" w:cs="Times New Roman"/>
          <w:sz w:val="22"/>
          <w:szCs w:val="22"/>
          <w:lang w:val="en-US"/>
        </w:rPr>
        <w:t>Aplikasi (Tafsir &amp; Kata per Kata) v 1.31.4.</w:t>
      </w:r>
    </w:p>
    <w:p>
      <w:pPr>
        <w:pStyle w:val="8"/>
        <w:snapToGrid w:val="0"/>
        <w:spacing w:line="312" w:lineRule="auto"/>
        <w:ind w:left="645" w:hanging="644" w:hangingChars="293"/>
        <w:contextualSpacing/>
        <w:jc w:val="both"/>
        <w:rPr>
          <w:rFonts w:ascii="Times New Roman" w:hAnsi="Times New Roman" w:cs="Times New Roman"/>
          <w:sz w:val="22"/>
          <w:szCs w:val="22"/>
        </w:rPr>
      </w:pPr>
      <w:r>
        <w:rPr>
          <w:rFonts w:ascii="Times New Roman" w:hAnsi="Times New Roman" w:cs="Times New Roman"/>
          <w:sz w:val="22"/>
          <w:szCs w:val="22"/>
        </w:rPr>
        <w:t xml:space="preserve"> </w:t>
      </w:r>
    </w:p>
    <w:p>
      <w:pPr>
        <w:pStyle w:val="8"/>
        <w:snapToGrid w:val="0"/>
        <w:spacing w:line="312" w:lineRule="auto"/>
        <w:ind w:firstLine="534" w:firstLineChars="243"/>
        <w:contextualSpacing/>
        <w:jc w:val="both"/>
        <w:rPr>
          <w:rFonts w:ascii="Times New Roman" w:hAnsi="Times New Roman" w:eastAsia="SimSun" w:cs="Times New Roman"/>
          <w:sz w:val="22"/>
          <w:szCs w:val="22"/>
          <w:lang w:val="en-US"/>
        </w:rPr>
      </w:pPr>
    </w:p>
    <w:p>
      <w:pPr>
        <w:pStyle w:val="8"/>
        <w:snapToGrid w:val="0"/>
        <w:spacing w:line="312" w:lineRule="auto"/>
        <w:ind w:firstLine="534" w:firstLineChars="243"/>
        <w:contextualSpacing/>
        <w:jc w:val="both"/>
        <w:rPr>
          <w:rFonts w:ascii="Times New Roman" w:hAnsi="Times New Roman" w:cs="Times New Roman"/>
          <w:sz w:val="22"/>
          <w:szCs w:val="22"/>
          <w:lang w:val="en-US"/>
        </w:rPr>
      </w:pPr>
      <w:r>
        <w:rPr>
          <w:rFonts w:ascii="Times New Roman" w:hAnsi="Times New Roman" w:cs="Times New Roman"/>
          <w:sz w:val="22"/>
          <w:szCs w:val="22"/>
        </w:rPr>
        <w:t xml:space="preserve">  </w:t>
      </w:r>
    </w:p>
    <w:p>
      <w:pPr>
        <w:pStyle w:val="8"/>
        <w:snapToGrid w:val="0"/>
        <w:spacing w:line="312" w:lineRule="auto"/>
        <w:ind w:firstLine="534" w:firstLineChars="243"/>
        <w:contextualSpacing/>
        <w:jc w:val="both"/>
        <w:rPr>
          <w:rFonts w:ascii="Times New Roman" w:hAnsi="Times New Roman" w:cs="Times New Roman"/>
          <w:sz w:val="22"/>
          <w:szCs w:val="22"/>
          <w:lang w:val="en-US"/>
        </w:rPr>
      </w:pPr>
      <w:r>
        <w:rPr>
          <w:rFonts w:ascii="Times New Roman" w:hAnsi="Times New Roman" w:cs="Times New Roman"/>
          <w:sz w:val="22"/>
          <w:szCs w:val="22"/>
        </w:rPr>
        <w:t xml:space="preserve"> </w:t>
      </w:r>
    </w:p>
    <w:p>
      <w:pPr>
        <w:pStyle w:val="8"/>
        <w:spacing w:line="312" w:lineRule="auto"/>
        <w:ind w:firstLine="534" w:firstLineChars="243"/>
        <w:contextualSpacing/>
        <w:jc w:val="both"/>
        <w:rPr>
          <w:rFonts w:ascii="Times New Roman" w:hAnsi="Times New Roman" w:cs="Times New Roman"/>
          <w:sz w:val="22"/>
          <w:szCs w:val="22"/>
          <w:lang w:val="it-IT"/>
        </w:rPr>
      </w:pPr>
      <w:r>
        <w:rPr>
          <w:rFonts w:ascii="Times New Roman" w:hAnsi="Times New Roman" w:cs="Times New Roman"/>
          <w:sz w:val="22"/>
          <w:szCs w:val="22"/>
        </w:rPr>
        <w:t xml:space="preserve"> </w:t>
      </w:r>
    </w:p>
    <w:p>
      <w:pPr>
        <w:pStyle w:val="8"/>
        <w:spacing w:line="312" w:lineRule="auto"/>
        <w:ind w:firstLine="534" w:firstLineChars="243"/>
        <w:contextualSpacing/>
        <w:jc w:val="both"/>
        <w:rPr>
          <w:rFonts w:ascii="Times New Roman" w:hAnsi="Times New Roman" w:cs="Times New Roman"/>
          <w:sz w:val="22"/>
          <w:szCs w:val="22"/>
        </w:rPr>
      </w:pPr>
      <w:r>
        <w:rPr>
          <w:rFonts w:ascii="Times New Roman" w:hAnsi="Times New Roman" w:cs="Times New Roman"/>
          <w:sz w:val="22"/>
          <w:szCs w:val="22"/>
        </w:rPr>
        <w:t xml:space="preserve"> </w:t>
      </w:r>
    </w:p>
    <w:p>
      <w:pPr>
        <w:pStyle w:val="8"/>
        <w:spacing w:line="312" w:lineRule="auto"/>
        <w:ind w:firstLine="534" w:firstLineChars="243"/>
        <w:contextualSpacing/>
        <w:jc w:val="both"/>
        <w:rPr>
          <w:rFonts w:ascii="Times New Roman" w:hAnsi="Times New Roman" w:cs="Times New Roman"/>
          <w:sz w:val="22"/>
          <w:szCs w:val="22"/>
        </w:rPr>
      </w:pPr>
      <w:r>
        <w:rPr>
          <w:rFonts w:ascii="Times New Roman" w:hAnsi="Times New Roman" w:cs="Times New Roman"/>
          <w:sz w:val="22"/>
          <w:szCs w:val="22"/>
        </w:rPr>
        <w:t xml:space="preserve">  </w:t>
      </w:r>
    </w:p>
    <w:p>
      <w:pPr>
        <w:pStyle w:val="8"/>
        <w:spacing w:line="312" w:lineRule="auto"/>
        <w:ind w:firstLine="534" w:firstLineChars="243"/>
        <w:contextualSpacing/>
        <w:jc w:val="both"/>
        <w:rPr>
          <w:rFonts w:ascii="Times New Roman" w:hAnsi="Times New Roman" w:cs="Times New Roman"/>
          <w:sz w:val="22"/>
          <w:szCs w:val="22"/>
        </w:rPr>
      </w:pPr>
      <w:r>
        <w:rPr>
          <w:rFonts w:ascii="Times New Roman" w:hAnsi="Times New Roman" w:cs="Times New Roman"/>
          <w:sz w:val="22"/>
          <w:szCs w:val="22"/>
        </w:rPr>
        <w:t xml:space="preserve"> </w:t>
      </w:r>
    </w:p>
    <w:p>
      <w:pPr>
        <w:pStyle w:val="8"/>
        <w:spacing w:line="312" w:lineRule="auto"/>
        <w:contextualSpacing/>
        <w:jc w:val="both"/>
        <w:rPr>
          <w:rFonts w:ascii="Times New Roman" w:hAnsi="Times New Roman" w:cs="Times New Roman"/>
          <w:sz w:val="22"/>
          <w:szCs w:val="22"/>
        </w:rPr>
      </w:pPr>
    </w:p>
    <w:p>
      <w:pPr>
        <w:pStyle w:val="8"/>
        <w:spacing w:line="312" w:lineRule="auto"/>
        <w:ind w:firstLine="534" w:firstLineChars="243"/>
        <w:contextualSpacing/>
        <w:jc w:val="both"/>
        <w:rPr>
          <w:rFonts w:ascii="Times New Roman" w:hAnsi="Times New Roman" w:cs="Times New Roman"/>
          <w:sz w:val="22"/>
          <w:szCs w:val="22"/>
        </w:rPr>
        <w:sectPr>
          <w:headerReference r:id="rId19" w:type="first"/>
          <w:footerReference r:id="rId21" w:type="first"/>
          <w:headerReference r:id="rId18" w:type="default"/>
          <w:footerReference r:id="rId20" w:type="default"/>
          <w:pgSz w:w="8334" w:h="11849"/>
          <w:pgMar w:top="1418" w:right="1134" w:bottom="1134" w:left="1418" w:header="720" w:footer="720" w:gutter="0"/>
          <w:pgNumType w:start="132" w:chapStyle="1"/>
          <w:cols w:space="0" w:num="1"/>
          <w:titlePg/>
          <w:docGrid w:linePitch="360" w:charSpace="0"/>
        </w:sectPr>
      </w:pPr>
    </w:p>
    <w:p>
      <w:pPr>
        <w:pStyle w:val="8"/>
        <w:spacing w:line="312" w:lineRule="auto"/>
        <w:ind w:right="-15" w:rightChars="-7"/>
        <w:contextualSpacing/>
        <w:jc w:val="center"/>
        <w:rPr>
          <w:rFonts w:asciiTheme="majorBidi" w:hAnsiTheme="majorBidi" w:cstheme="majorBidi"/>
          <w:b/>
          <w:bCs/>
          <w:sz w:val="22"/>
          <w:szCs w:val="22"/>
          <w:lang w:val="en-US"/>
        </w:rPr>
      </w:pPr>
      <w:r>
        <w:rPr>
          <w:rFonts w:asciiTheme="majorBidi" w:hAnsiTheme="majorBidi" w:cstheme="majorBidi"/>
          <w:b/>
          <w:bCs/>
          <w:sz w:val="22"/>
          <w:szCs w:val="22"/>
          <w:lang w:val="en-US"/>
        </w:rPr>
        <w:t>LAMPIRAN</w:t>
      </w:r>
    </w:p>
    <w:p>
      <w:pPr>
        <w:tabs>
          <w:tab w:val="left" w:pos="90"/>
        </w:tabs>
        <w:spacing w:after="0" w:line="312" w:lineRule="auto"/>
        <w:ind w:right="-99" w:rightChars="-45"/>
        <w:contextualSpacing/>
        <w:jc w:val="both"/>
        <w:rPr>
          <w:rFonts w:asciiTheme="majorBidi" w:hAnsiTheme="majorBidi" w:cstheme="majorBidi"/>
        </w:rPr>
      </w:pPr>
      <w:r>
        <w:rPr>
          <w:rFonts w:ascii="Times New Roman"/>
          <w:lang w:val="en-US"/>
        </w:rPr>
        <w:drawing>
          <wp:anchor distT="0" distB="0" distL="0" distR="0" simplePos="0" relativeHeight="251662336" behindDoc="0" locked="0" layoutInCell="1" allowOverlap="1">
            <wp:simplePos x="0" y="0"/>
            <wp:positionH relativeFrom="page">
              <wp:posOffset>900430</wp:posOffset>
            </wp:positionH>
            <wp:positionV relativeFrom="page">
              <wp:posOffset>1228725</wp:posOffset>
            </wp:positionV>
            <wp:extent cx="3707765" cy="5588635"/>
            <wp:effectExtent l="0" t="0" r="6985" b="0"/>
            <wp:wrapNone/>
            <wp:docPr id="3" name="Image 1"/>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36" cstate="print"/>
                    <a:stretch>
                      <a:fillRect/>
                    </a:stretch>
                  </pic:blipFill>
                  <pic:spPr>
                    <a:xfrm>
                      <a:off x="0" y="0"/>
                      <a:ext cx="3707765" cy="5588635"/>
                    </a:xfrm>
                    <a:prstGeom prst="rect">
                      <a:avLst/>
                    </a:prstGeom>
                  </pic:spPr>
                </pic:pic>
              </a:graphicData>
            </a:graphic>
          </wp:anchor>
        </w:drawing>
      </w: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sectPr>
          <w:headerReference r:id="rId22" w:type="first"/>
          <w:footerReference r:id="rId23" w:type="first"/>
          <w:pgSz w:w="8334" w:h="11849"/>
          <w:pgMar w:top="1418" w:right="1134" w:bottom="1134" w:left="1418" w:header="720" w:footer="720" w:gutter="0"/>
          <w:pgNumType w:start="156" w:chapStyle="1"/>
          <w:cols w:space="0" w:num="1"/>
          <w:titlePg/>
          <w:docGrid w:linePitch="360" w:charSpace="0"/>
        </w:sectPr>
      </w:pPr>
    </w:p>
    <w:p>
      <w:pPr>
        <w:tabs>
          <w:tab w:val="left" w:pos="1043"/>
        </w:tabs>
        <w:rPr>
          <w:rFonts w:asciiTheme="majorBidi" w:hAnsiTheme="majorBidi" w:cstheme="majorBidi"/>
        </w:rPr>
      </w:pPr>
    </w:p>
    <w:p>
      <w:pPr>
        <w:tabs>
          <w:tab w:val="left" w:pos="1788"/>
        </w:tabs>
        <w:rPr>
          <w:rFonts w:asciiTheme="majorBidi" w:hAnsiTheme="majorBidi" w:cstheme="majorBidi"/>
        </w:rPr>
      </w:pPr>
      <w:r>
        <w:rPr>
          <w:rFonts w:asciiTheme="majorBidi" w:hAnsiTheme="majorBidi" w:cstheme="majorBidi"/>
        </w:rPr>
        <w:tab/>
      </w:r>
      <w:r>
        <w:rPr>
          <w:rFonts w:ascii="Times New Roman"/>
          <w:lang w:val="en-US"/>
        </w:rPr>
        <w:drawing>
          <wp:anchor distT="0" distB="0" distL="0" distR="0" simplePos="0" relativeHeight="251660288" behindDoc="0" locked="0" layoutInCell="1" allowOverlap="1">
            <wp:simplePos x="0" y="0"/>
            <wp:positionH relativeFrom="page">
              <wp:posOffset>899795</wp:posOffset>
            </wp:positionH>
            <wp:positionV relativeFrom="page">
              <wp:posOffset>1021715</wp:posOffset>
            </wp:positionV>
            <wp:extent cx="3768725" cy="5745480"/>
            <wp:effectExtent l="0" t="0" r="3175" b="7620"/>
            <wp:wrapNone/>
            <wp:docPr id="7" name="Image 2"/>
            <wp:cNvGraphicFramePr/>
            <a:graphic xmlns:a="http://schemas.openxmlformats.org/drawingml/2006/main">
              <a:graphicData uri="http://schemas.openxmlformats.org/drawingml/2006/picture">
                <pic:pic xmlns:pic="http://schemas.openxmlformats.org/drawingml/2006/picture">
                  <pic:nvPicPr>
                    <pic:cNvPr id="7" name="Image 2"/>
                    <pic:cNvPicPr/>
                  </pic:nvPicPr>
                  <pic:blipFill>
                    <a:blip r:embed="rId37" cstate="print"/>
                    <a:stretch>
                      <a:fillRect/>
                    </a:stretch>
                  </pic:blipFill>
                  <pic:spPr>
                    <a:xfrm>
                      <a:off x="0" y="0"/>
                      <a:ext cx="3768725" cy="5745480"/>
                    </a:xfrm>
                    <a:prstGeom prst="rect">
                      <a:avLst/>
                    </a:prstGeom>
                  </pic:spPr>
                </pic:pic>
              </a:graphicData>
            </a:graphic>
          </wp:anchor>
        </w:drawing>
      </w: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tabs>
          <w:tab w:val="left" w:pos="90"/>
        </w:tabs>
        <w:spacing w:after="0" w:line="312" w:lineRule="auto"/>
        <w:ind w:right="-99" w:rightChars="-45"/>
        <w:contextualSpacing/>
        <w:jc w:val="both"/>
        <w:rPr>
          <w:rFonts w:asciiTheme="majorBidi" w:hAnsiTheme="majorBidi" w:cstheme="majorBidi"/>
        </w:rPr>
      </w:pPr>
    </w:p>
    <w:p>
      <w:pPr>
        <w:pStyle w:val="2"/>
        <w:sectPr>
          <w:headerReference r:id="rId24" w:type="first"/>
          <w:footerReference r:id="rId26" w:type="first"/>
          <w:footerReference r:id="rId25" w:type="default"/>
          <w:pgSz w:w="8334" w:h="11849"/>
          <w:pgMar w:top="1418" w:right="1134" w:bottom="1134" w:left="1418" w:header="720" w:footer="720" w:gutter="0"/>
          <w:cols w:space="0" w:num="1"/>
          <w:titlePg/>
          <w:docGrid w:linePitch="360" w:charSpace="0"/>
        </w:sectPr>
      </w:pPr>
    </w:p>
    <w:p>
      <w:pPr>
        <w:pStyle w:val="2"/>
      </w:pPr>
      <w:r>
        <w:t>DAFTAR RIWAYAT HIDUP</w:t>
      </w:r>
    </w:p>
    <w:p>
      <w:pPr>
        <w:spacing w:after="0" w:line="312" w:lineRule="auto"/>
        <w:rPr>
          <w:lang w:val="en-US"/>
        </w:rPr>
      </w:pPr>
    </w:p>
    <w:p>
      <w:pPr>
        <w:spacing w:after="0" w:line="312" w:lineRule="auto"/>
        <w:jc w:val="both"/>
        <w:rPr>
          <w:rFonts w:ascii="Times New Roman" w:hAnsi="Times New Roman" w:cs="Times New Roman"/>
          <w:lang w:val="en-US"/>
        </w:rPr>
      </w:pPr>
      <w:r>
        <w:rPr>
          <w:rFonts w:ascii="Times New Roman" w:hAnsi="Times New Roman" w:cs="Times New Roman"/>
        </w:rPr>
        <w:t>Nama</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Siti Nur Bayinah</w:t>
      </w:r>
    </w:p>
    <w:p>
      <w:pPr>
        <w:spacing w:after="0" w:line="312" w:lineRule="auto"/>
        <w:jc w:val="both"/>
        <w:rPr>
          <w:rFonts w:ascii="Times New Roman" w:hAnsi="Times New Roman" w:cs="Times New Roman"/>
          <w:lang w:val="en-US"/>
        </w:rPr>
      </w:pPr>
      <w:r>
        <w:rPr>
          <w:rFonts w:ascii="Times New Roman" w:hAnsi="Times New Roman" w:cs="Times New Roman"/>
        </w:rPr>
        <w:t>TTL</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Brebes, 24 Mei 2003</w:t>
      </w:r>
    </w:p>
    <w:p>
      <w:pPr>
        <w:spacing w:after="0" w:line="312" w:lineRule="auto"/>
        <w:ind w:left="1760" w:hanging="1760" w:hangingChars="800"/>
        <w:jc w:val="both"/>
        <w:rPr>
          <w:rFonts w:ascii="Times New Roman" w:hAnsi="Times New Roman" w:cs="Times New Roman"/>
          <w:lang w:val="en-US"/>
        </w:rPr>
      </w:pPr>
      <w:r>
        <w:rPr>
          <w:rFonts w:ascii="Times New Roman" w:hAnsi="Times New Roman" w:cs="Times New Roman"/>
        </w:rPr>
        <w:t>Alamat Asal</w:t>
      </w:r>
      <w:r>
        <w:rPr>
          <w:rFonts w:ascii="Times New Roman" w:hAnsi="Times New Roman" w:cs="Times New Roman"/>
        </w:rPr>
        <w:tab/>
      </w:r>
      <w:r>
        <w:rPr>
          <w:rFonts w:ascii="Times New Roman" w:hAnsi="Times New Roman" w:cs="Times New Roman"/>
        </w:rPr>
        <w:t>:</w:t>
      </w:r>
      <w:r>
        <w:rPr>
          <w:rFonts w:ascii="Times New Roman" w:hAnsi="Times New Roman" w:cs="Times New Roman"/>
          <w:lang w:val="en-US"/>
        </w:rPr>
        <w:t xml:space="preserve"> Dk Baturasi RT 04 RW 03 Desa Batursari</w:t>
      </w:r>
    </w:p>
    <w:p>
      <w:pPr>
        <w:spacing w:after="0" w:line="312" w:lineRule="auto"/>
        <w:ind w:left="920" w:leftChars="418" w:firstLine="923"/>
        <w:jc w:val="both"/>
        <w:rPr>
          <w:rFonts w:ascii="Times New Roman" w:hAnsi="Times New Roman" w:cs="Times New Roman"/>
          <w:lang w:val="en-US"/>
        </w:rPr>
      </w:pPr>
      <w:r>
        <w:rPr>
          <w:rFonts w:ascii="Times New Roman" w:hAnsi="Times New Roman" w:cs="Times New Roman"/>
          <w:lang w:val="en-US"/>
        </w:rPr>
        <w:t>Kecamatan Sirampog Kabupaten Brebes</w:t>
      </w:r>
    </w:p>
    <w:p>
      <w:pPr>
        <w:spacing w:after="0" w:line="312" w:lineRule="auto"/>
        <w:ind w:left="1760" w:hanging="1760" w:hangingChars="800"/>
        <w:jc w:val="both"/>
        <w:rPr>
          <w:rFonts w:ascii="Times New Roman" w:hAnsi="Times New Roman" w:cs="Times New Roman"/>
          <w:lang w:val="en-US"/>
        </w:rPr>
      </w:pPr>
      <w:r>
        <w:rPr>
          <w:rFonts w:ascii="Times New Roman" w:hAnsi="Times New Roman" w:cs="Times New Roman"/>
        </w:rPr>
        <w:t>Alamat Sekarang</w:t>
      </w:r>
      <w:r>
        <w:rPr>
          <w:rFonts w:ascii="Times New Roman" w:hAnsi="Times New Roman" w:cs="Times New Roman"/>
          <w:lang w:val="en-US"/>
        </w:rPr>
        <w:tab/>
      </w:r>
      <w:r>
        <w:rPr>
          <w:rFonts w:ascii="Times New Roman" w:hAnsi="Times New Roman" w:cs="Times New Roman"/>
        </w:rPr>
        <w:t xml:space="preserve">: </w:t>
      </w:r>
      <w:r>
        <w:rPr>
          <w:rFonts w:ascii="Times New Roman" w:hAnsi="Times New Roman" w:cs="Times New Roman"/>
          <w:lang w:val="en-US"/>
        </w:rPr>
        <w:t>PG TK Mellatena Jl Tanjung Sari Barat III</w:t>
      </w:r>
    </w:p>
    <w:p>
      <w:pPr>
        <w:spacing w:after="0" w:line="312" w:lineRule="auto"/>
        <w:ind w:left="1760" w:leftChars="800" w:firstLine="81" w:firstLineChars="37"/>
        <w:jc w:val="both"/>
        <w:rPr>
          <w:rFonts w:ascii="Times New Roman" w:hAnsi="Times New Roman" w:cs="Times New Roman"/>
          <w:lang w:val="en-US"/>
        </w:rPr>
      </w:pPr>
      <w:r>
        <w:rPr>
          <w:rFonts w:ascii="Times New Roman" w:hAnsi="Times New Roman" w:cs="Times New Roman"/>
          <w:lang w:val="en-US"/>
        </w:rPr>
        <w:t>Ngaliyan, Kota Semarang</w:t>
      </w:r>
    </w:p>
    <w:p>
      <w:pPr>
        <w:spacing w:after="0" w:line="312" w:lineRule="auto"/>
        <w:jc w:val="both"/>
        <w:rPr>
          <w:rFonts w:ascii="Times New Roman" w:hAnsi="Times New Roman" w:cs="Times New Roman"/>
          <w:lang w:val="en-US"/>
        </w:rPr>
      </w:pPr>
      <w:r>
        <w:rPr>
          <w:rFonts w:ascii="Times New Roman" w:hAnsi="Times New Roman" w:cs="Times New Roman"/>
        </w:rPr>
        <w:t>No.Hp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lang w:val="en-US"/>
        </w:rPr>
        <w:t xml:space="preserve"> 085702644553</w:t>
      </w:r>
    </w:p>
    <w:p>
      <w:pPr>
        <w:spacing w:after="0" w:line="312" w:lineRule="auto"/>
        <w:jc w:val="both"/>
        <w:rPr>
          <w:rFonts w:ascii="Times New Roman" w:hAnsi="Times New Roman" w:cs="Times New Roman"/>
          <w:lang w:val="en-US"/>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 </w:t>
      </w:r>
      <w:r>
        <w:fldChar w:fldCharType="begin"/>
      </w:r>
      <w:r>
        <w:instrText xml:space="preserve"> HYPERLINK "mailto:bayinah245@gmail.com" </w:instrText>
      </w:r>
      <w:r>
        <w:fldChar w:fldCharType="separate"/>
      </w:r>
      <w:r>
        <w:rPr>
          <w:rStyle w:val="18"/>
          <w:rFonts w:ascii="Times New Roman" w:hAnsi="Times New Roman" w:cs="Times New Roman"/>
          <w:color w:val="auto"/>
          <w:u w:val="none"/>
          <w:lang w:val="en-US"/>
        </w:rPr>
        <w:t>bayinah245@gmail.com</w:t>
      </w:r>
      <w:r>
        <w:rPr>
          <w:rStyle w:val="18"/>
          <w:rFonts w:ascii="Times New Roman" w:hAnsi="Times New Roman" w:cs="Times New Roman"/>
          <w:color w:val="auto"/>
          <w:u w:val="none"/>
          <w:lang w:val="en-US"/>
        </w:rPr>
        <w:fldChar w:fldCharType="end"/>
      </w:r>
      <w:r>
        <w:rPr>
          <w:rFonts w:ascii="Times New Roman" w:hAnsi="Times New Roman" w:cs="Times New Roman"/>
          <w:lang w:val="en-US"/>
        </w:rPr>
        <w:t xml:space="preserve"> </w:t>
      </w:r>
    </w:p>
    <w:p>
      <w:pPr>
        <w:spacing w:after="0" w:line="312" w:lineRule="auto"/>
        <w:jc w:val="both"/>
        <w:rPr>
          <w:rFonts w:ascii="Times New Roman" w:hAnsi="Times New Roman" w:cs="Times New Roman"/>
        </w:rPr>
      </w:pPr>
      <w:r>
        <w:rPr>
          <w:rFonts w:ascii="Times New Roman" w:hAnsi="Times New Roman" w:cs="Times New Roman"/>
          <w:lang w:val="en-US"/>
        </w:rPr>
        <w:t>Riwayat</w:t>
      </w:r>
      <w:r>
        <w:rPr>
          <w:rFonts w:ascii="Times New Roman" w:hAnsi="Times New Roman" w:cs="Times New Roman"/>
        </w:rPr>
        <w:t xml:space="preserve"> Pendidikan:</w:t>
      </w:r>
    </w:p>
    <w:p>
      <w:pPr>
        <w:pStyle w:val="4"/>
        <w:numPr>
          <w:ilvl w:val="0"/>
          <w:numId w:val="65"/>
        </w:numPr>
        <w:spacing w:after="0" w:line="312" w:lineRule="auto"/>
        <w:ind w:left="426"/>
        <w:jc w:val="both"/>
        <w:rPr>
          <w:rFonts w:ascii="Times New Roman" w:hAnsi="Times New Roman" w:cs="Times New Roman"/>
          <w:b/>
          <w:bCs/>
        </w:rPr>
      </w:pPr>
      <w:r>
        <w:rPr>
          <w:rFonts w:ascii="Times New Roman" w:hAnsi="Times New Roman" w:cs="Times New Roman"/>
          <w:b/>
          <w:bCs/>
        </w:rPr>
        <w:t>Pendidikan formal</w:t>
      </w:r>
    </w:p>
    <w:p>
      <w:pPr>
        <w:pStyle w:val="4"/>
        <w:numPr>
          <w:ilvl w:val="0"/>
          <w:numId w:val="66"/>
        </w:numPr>
        <w:spacing w:after="0" w:line="312" w:lineRule="auto"/>
        <w:jc w:val="both"/>
        <w:rPr>
          <w:rFonts w:ascii="Times New Roman" w:hAnsi="Times New Roman" w:cs="Times New Roman"/>
        </w:rPr>
      </w:pPr>
      <w:r>
        <w:rPr>
          <w:rFonts w:ascii="Times New Roman" w:hAnsi="Times New Roman" w:cs="Times New Roman"/>
        </w:rPr>
        <w:t xml:space="preserve">SD      : SDN </w:t>
      </w:r>
      <w:r>
        <w:rPr>
          <w:rFonts w:ascii="Times New Roman" w:hAnsi="Times New Roman" w:cs="Times New Roman"/>
          <w:lang w:val="en-US"/>
        </w:rPr>
        <w:t>Batusari 03 Sirampog</w:t>
      </w:r>
    </w:p>
    <w:p>
      <w:pPr>
        <w:pStyle w:val="4"/>
        <w:numPr>
          <w:ilvl w:val="0"/>
          <w:numId w:val="66"/>
        </w:numPr>
        <w:spacing w:after="0" w:line="312" w:lineRule="auto"/>
        <w:jc w:val="both"/>
        <w:rPr>
          <w:rFonts w:ascii="Times New Roman" w:hAnsi="Times New Roman" w:cs="Times New Roman"/>
        </w:rPr>
      </w:pPr>
      <w:r>
        <w:rPr>
          <w:rFonts w:ascii="Times New Roman" w:hAnsi="Times New Roman" w:cs="Times New Roman"/>
        </w:rPr>
        <w:t xml:space="preserve">SMP     : MTs </w:t>
      </w:r>
      <w:r>
        <w:rPr>
          <w:rFonts w:ascii="Times New Roman" w:hAnsi="Times New Roman" w:cs="Times New Roman"/>
          <w:lang w:val="en-US"/>
        </w:rPr>
        <w:t>Ma’arif NU 05 Dawuhan</w:t>
      </w:r>
    </w:p>
    <w:p>
      <w:pPr>
        <w:pStyle w:val="4"/>
        <w:numPr>
          <w:ilvl w:val="0"/>
          <w:numId w:val="66"/>
        </w:numPr>
        <w:spacing w:after="0" w:line="312" w:lineRule="auto"/>
        <w:jc w:val="both"/>
        <w:rPr>
          <w:rFonts w:ascii="Times New Roman" w:hAnsi="Times New Roman" w:cs="Times New Roman"/>
        </w:rPr>
      </w:pPr>
      <w:r>
        <w:rPr>
          <w:rFonts w:ascii="Times New Roman" w:hAnsi="Times New Roman" w:cs="Times New Roman"/>
        </w:rPr>
        <w:t xml:space="preserve">MA     : </w:t>
      </w:r>
      <w:r>
        <w:rPr>
          <w:rFonts w:ascii="Times New Roman" w:hAnsi="Times New Roman" w:cs="Times New Roman"/>
          <w:lang w:val="en-US"/>
        </w:rPr>
        <w:t>SMK Ma’arif NU 3 Sirampog</w:t>
      </w:r>
    </w:p>
    <w:p>
      <w:pPr>
        <w:pStyle w:val="4"/>
        <w:numPr>
          <w:ilvl w:val="0"/>
          <w:numId w:val="66"/>
        </w:numPr>
        <w:spacing w:after="0" w:line="312" w:lineRule="auto"/>
        <w:jc w:val="both"/>
        <w:rPr>
          <w:rFonts w:ascii="Times New Roman" w:hAnsi="Times New Roman" w:cs="Times New Roman"/>
        </w:rPr>
      </w:pPr>
      <w:r>
        <w:rPr>
          <w:rFonts w:ascii="Times New Roman" w:hAnsi="Times New Roman" w:cs="Times New Roman"/>
        </w:rPr>
        <w:t xml:space="preserve">S1 FSH UIN Walisongo Semarang </w:t>
      </w:r>
    </w:p>
    <w:p>
      <w:pPr>
        <w:pStyle w:val="4"/>
        <w:numPr>
          <w:ilvl w:val="0"/>
          <w:numId w:val="65"/>
        </w:numPr>
        <w:spacing w:after="0" w:line="312" w:lineRule="auto"/>
        <w:ind w:left="284" w:hanging="284"/>
        <w:jc w:val="both"/>
        <w:rPr>
          <w:rFonts w:ascii="Times New Roman" w:hAnsi="Times New Roman" w:cs="Times New Roman"/>
          <w:b/>
          <w:bCs/>
        </w:rPr>
      </w:pPr>
      <w:r>
        <w:rPr>
          <w:rFonts w:ascii="Times New Roman" w:hAnsi="Times New Roman" w:cs="Times New Roman"/>
          <w:b/>
          <w:bCs/>
        </w:rPr>
        <w:t>Pendidikan Non Formal</w:t>
      </w:r>
    </w:p>
    <w:p>
      <w:pPr>
        <w:pStyle w:val="4"/>
        <w:numPr>
          <w:ilvl w:val="0"/>
          <w:numId w:val="67"/>
        </w:numPr>
        <w:spacing w:after="0" w:line="312" w:lineRule="auto"/>
        <w:jc w:val="both"/>
        <w:rPr>
          <w:rFonts w:ascii="Times New Roman" w:hAnsi="Times New Roman" w:cs="Times New Roman"/>
        </w:rPr>
      </w:pPr>
      <w:r>
        <w:rPr>
          <w:rFonts w:ascii="Times New Roman" w:hAnsi="Times New Roman" w:cs="Times New Roman"/>
          <w:lang w:val="en-US"/>
        </w:rPr>
        <w:t xml:space="preserve">MD Awaliyah dan MD Wustho Darussalam Desa Batursari </w:t>
      </w:r>
    </w:p>
    <w:p>
      <w:pPr>
        <w:pStyle w:val="4"/>
        <w:numPr>
          <w:ilvl w:val="0"/>
          <w:numId w:val="67"/>
        </w:numPr>
        <w:spacing w:after="0" w:line="312" w:lineRule="auto"/>
        <w:jc w:val="both"/>
        <w:rPr>
          <w:rFonts w:ascii="Times New Roman" w:hAnsi="Times New Roman" w:cs="Times New Roman"/>
        </w:rPr>
      </w:pPr>
      <w:r>
        <w:rPr>
          <w:rFonts w:ascii="Times New Roman" w:hAnsi="Times New Roman" w:cs="Times New Roman"/>
          <w:lang w:val="en-US"/>
        </w:rPr>
        <w:t>Pondok Pesantren Bahrul Qur’an Al Munawwir Desa Sridadi Sirampog Brebes</w:t>
      </w:r>
    </w:p>
    <w:p>
      <w:pPr>
        <w:pStyle w:val="4"/>
        <w:numPr>
          <w:ilvl w:val="0"/>
          <w:numId w:val="67"/>
        </w:numPr>
        <w:spacing w:after="0" w:line="312" w:lineRule="auto"/>
        <w:jc w:val="both"/>
        <w:rPr>
          <w:rFonts w:ascii="Times New Roman" w:hAnsi="Times New Roman" w:cs="Times New Roman"/>
        </w:rPr>
      </w:pPr>
      <w:r>
        <w:rPr>
          <w:rFonts w:ascii="Times New Roman" w:hAnsi="Times New Roman" w:cs="Times New Roman"/>
        </w:rPr>
        <w:t>Monash Institute Semarang</w:t>
      </w:r>
      <w:r>
        <w:rPr>
          <w:rFonts w:ascii="Times New Roman" w:hAnsi="Times New Roman" w:cs="Times New Roman"/>
          <w:lang w:val="en-US"/>
        </w:rPr>
        <w:t xml:space="preserve"> </w:t>
      </w:r>
    </w:p>
    <w:p>
      <w:pPr>
        <w:pStyle w:val="4"/>
        <w:numPr>
          <w:ilvl w:val="0"/>
          <w:numId w:val="67"/>
        </w:numPr>
        <w:spacing w:after="0" w:line="312" w:lineRule="auto"/>
        <w:jc w:val="both"/>
        <w:rPr>
          <w:rFonts w:ascii="Times New Roman" w:hAnsi="Times New Roman" w:cs="Times New Roman"/>
        </w:rPr>
      </w:pPr>
      <w:r>
        <w:rPr>
          <w:rFonts w:ascii="Times New Roman" w:hAnsi="Times New Roman" w:cs="Times New Roman"/>
          <w:lang w:val="en-US"/>
        </w:rPr>
        <w:t>Madrosatul Qur’aniyah Al Aziziyah Semarang</w:t>
      </w:r>
    </w:p>
    <w:p>
      <w:pPr>
        <w:numPr>
          <w:ilvl w:val="0"/>
          <w:numId w:val="65"/>
        </w:numPr>
        <w:spacing w:after="0" w:line="312" w:lineRule="auto"/>
        <w:ind w:left="284" w:hanging="284"/>
        <w:jc w:val="both"/>
        <w:rPr>
          <w:rFonts w:ascii="Times New Roman" w:hAnsi="Times New Roman" w:cs="Times New Roman"/>
          <w:b/>
          <w:bCs/>
        </w:rPr>
      </w:pPr>
      <w:r>
        <w:rPr>
          <w:rFonts w:ascii="Times New Roman" w:hAnsi="Times New Roman" w:cs="Times New Roman"/>
          <w:b/>
          <w:bCs/>
        </w:rPr>
        <w:t>Pengalaman Organisasai</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Wakil Ketua Santri Putri Pondok Pesantren Bahrul Qur’an Al Munawwir</w:t>
      </w:r>
    </w:p>
    <w:p>
      <w:pPr>
        <w:pStyle w:val="4"/>
        <w:numPr>
          <w:ilvl w:val="0"/>
          <w:numId w:val="68"/>
        </w:numPr>
        <w:tabs>
          <w:tab w:val="left" w:pos="660"/>
          <w:tab w:val="clear" w:pos="425"/>
        </w:tabs>
        <w:spacing w:after="0" w:line="312" w:lineRule="auto"/>
        <w:ind w:left="645"/>
        <w:jc w:val="both"/>
        <w:rPr>
          <w:rFonts w:ascii="Times New Roman" w:hAnsi="Times New Roman" w:cs="Times New Roman"/>
        </w:rPr>
        <w:sectPr>
          <w:headerReference r:id="rId27" w:type="first"/>
          <w:footerReference r:id="rId28" w:type="first"/>
          <w:pgSz w:w="8334" w:h="11849"/>
          <w:pgMar w:top="1418" w:right="1134" w:bottom="1134" w:left="1418" w:header="720" w:footer="720" w:gutter="0"/>
          <w:cols w:space="0" w:num="1"/>
          <w:titlePg/>
          <w:docGrid w:linePitch="360" w:charSpace="0"/>
        </w:sectPr>
      </w:pP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Ketua Bidang Khitobah IPPNU MTS Maarif NU Dawuhan</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Sekertaris umum IPPNU SMK Ma’arif NU 03 Sirampog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Menteri Sarana dan Prsarana Kabinet Madani Monash Institute Semarang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Menteri Kedisiplinan Karakter dan Hukum Kabinet Abinaya Monash Institute Semarang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Gubernur Distrik 2 Monash Institute Semarang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Ketua umum Bidang Pemberdayaan Perempuan HMI Komisyariat Syariah Korkom Walisongo</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Ketua umum Kohati HMI Komisyariat Syariah Korom Walisongo</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Bendahara umum Kohati HMI Koordinator Komisyariat Semarang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Badan Pengelola Latihan HMI Cabang Semarang</w:t>
      </w:r>
    </w:p>
    <w:p>
      <w:pPr>
        <w:pStyle w:val="4"/>
        <w:numPr>
          <w:ilvl w:val="0"/>
          <w:numId w:val="68"/>
        </w:numPr>
        <w:tabs>
          <w:tab w:val="left" w:pos="660"/>
          <w:tab w:val="clear" w:pos="425"/>
        </w:tabs>
        <w:spacing w:after="0" w:line="312" w:lineRule="auto"/>
        <w:ind w:left="645"/>
        <w:jc w:val="both"/>
        <w:rPr>
          <w:rFonts w:ascii="Times New Roman" w:hAnsi="Times New Roman" w:cs="Times New Roman"/>
        </w:rPr>
      </w:pPr>
      <w:r>
        <w:rPr>
          <w:rFonts w:ascii="Times New Roman" w:hAnsi="Times New Roman" w:cs="Times New Roman"/>
          <w:lang w:val="en-US"/>
        </w:rPr>
        <w:t>Bidang Media dan Komunikasi HMI Cabang Semarang</w:t>
      </w:r>
    </w:p>
    <w:p>
      <w:pPr>
        <w:spacing w:after="0" w:line="312" w:lineRule="auto"/>
        <w:ind w:left="1134" w:hanging="992"/>
        <w:jc w:val="both"/>
        <w:rPr>
          <w:rFonts w:ascii="Times New Roman" w:hAnsi="Times New Roman" w:cs="Times New Roman"/>
          <w:lang w:val="en-US"/>
        </w:rPr>
      </w:pPr>
      <w:r>
        <w:rPr>
          <w:rFonts w:ascii="Times New Roman" w:hAnsi="Times New Roman" w:cs="Times New Roman"/>
        </w:rPr>
        <w:t xml:space="preserve">MOTTO: </w:t>
      </w:r>
      <w:r>
        <w:rPr>
          <w:rFonts w:ascii="Times New Roman" w:hAnsi="Times New Roman" w:cs="Times New Roman"/>
          <w:lang w:val="en-US"/>
        </w:rPr>
        <w:t>KEYAKINAN PASTI AKAN MENGALAHKAN KERAGUAN DAN PERJUANGAN PASTI AKAN MENDAPATKAN KEBERHASILAN.</w:t>
      </w:r>
    </w:p>
    <w:p>
      <w:pPr>
        <w:spacing w:line="312" w:lineRule="auto"/>
        <w:jc w:val="both"/>
        <w:rPr>
          <w:rFonts w:ascii="Times New Roman" w:hAnsi="Times New Roman" w:cs="Times New Roman"/>
        </w:rPr>
      </w:pPr>
    </w:p>
    <w:p>
      <w:pPr>
        <w:tabs>
          <w:tab w:val="left" w:pos="90"/>
        </w:tabs>
        <w:spacing w:after="0" w:line="312" w:lineRule="auto"/>
        <w:ind w:right="-99" w:rightChars="-45"/>
        <w:contextualSpacing/>
        <w:jc w:val="both"/>
        <w:rPr>
          <w:rFonts w:asciiTheme="majorBidi" w:hAnsiTheme="majorBidi" w:cstheme="majorBidi"/>
        </w:rPr>
      </w:pPr>
    </w:p>
    <w:sectPr>
      <w:headerReference r:id="rId29" w:type="first"/>
      <w:footerReference r:id="rId30" w:type="first"/>
      <w:pgSz w:w="8334" w:h="11849"/>
      <w:pgMar w:top="1418" w:right="1134" w:bottom="1134" w:left="1418" w:header="720" w:footer="720" w:gutter="0"/>
      <w:cols w:space="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raditional Arabic">
    <w:altName w:val="Times New Roman"/>
    <w:panose1 w:val="02020603050405020304"/>
    <w:charset w:val="00"/>
    <w:family w:val="roman"/>
    <w:pitch w:val="default"/>
    <w:sig w:usb0="00000000" w:usb1="00000000" w:usb2="00000008" w:usb3="00000000" w:csb0="00000041" w:csb1="00000000"/>
  </w:font>
  <w:font w:name="Microsoft YaHei Light">
    <w:panose1 w:val="020B0502040204020203"/>
    <w:charset w:val="86"/>
    <w:family w:val="swiss"/>
    <w:pitch w:val="default"/>
    <w:sig w:usb0="80000287" w:usb1="2ACF0010" w:usb2="00000016" w:usb3="00000000" w:csb0="0004001F" w:csb1="00000000"/>
  </w:font>
  <w:font w:name="Microsoft Sans Serif">
    <w:panose1 w:val="020B0604020202020204"/>
    <w:charset w:val="00"/>
    <w:family w:val="swiss"/>
    <w:pitch w:val="default"/>
    <w:sig w:usb0="E5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__Inter_Fallback_9d3317">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sans-serif 1">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905"/>
        <w:tab w:val="clear" w:pos="4680"/>
        <w:tab w:val="clear" w:pos="9360"/>
      </w:tabs>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vhaUAAgAACAQAAA4AAABkcnMvZTJvRG9jLnhtbK1TwYrbMBC9F/oP&#10;QvfGTpYuIcRZ0l1SCqG7kC09K7IcGySNkJTY6df3SYmzpe2p9CKPZ0ZvZt48LR8Go9lJ+dCRrfh0&#10;UnKmrKS6s4eKf3vdfJhzFqKwtdBkVcXPKvCH1ft3y94t1Ixa0rXyDCA2LHpX8TZGtyiKIFtlRJiQ&#10;UxbBhrwREb/+UNRe9EA3upiV5X3Rk6+dJ6lCgPfpEuSrjN80SsbnpgkqMl1x9Bbz6fO5T2exWorF&#10;wQvXdvLahviHLozoLIreoJ5EFOzouz+gTCc9BWriRJIpqGk6qfIMmGZa/jbNrhVO5VlATnA3msL/&#10;g5VfTy+edXXF72acWWGwo1c1RPaJBgYX+OldWCBt55AYB/ix59Ef4ExjD4036YuBGOJg+nxjN6HJ&#10;dGk+m89LhCRi4w/wi7frzof4WZFhyai4x/oyq+K0DfGSOqakapY2ndZ5hdqyvuL3dx/LfOEWAbi2&#10;qJGGuDSbrDjsh+tke6rPGMzTRRrByU2H4lsR4ovw0AIahr7jM45GE4rQ1eKsJf/jb/6UjxUhylkP&#10;bVXcQvyc6S8Wq0syHA0/GvvRsEfzSBDrFO/GyWzigo96NBtP5jtEv041EBJWolLF42g+xou+8Wik&#10;Wq9zEsTmRNzanZMJOpEX3PoYQWDmNZFyYeLKFeSWN3N9GknPv/7nrLcHvPo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0lY7tAAAAAFAQAADwAAAAAAAAABACAAAAAiAAAAZHJzL2Rvd25yZXYueG1s&#10;UEsBAhQAFAAAAAgAh07iQOnvhaUAAgAACAQAAA4AAAAAAAAAAQAgAAAAHwEAAGRycy9lMm9Eb2Mu&#10;eG1sUEsFBgAAAAAGAAYAWQEAAJEFA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hCtEAAgAABgQAAA4AAABkcnMvZTJvRG9jLnhtbK1TwW7bMAy9D9g/&#10;CLovdrKuCII4RdYiw4BiLZAWOyuyHBuQREFSYmdfvyclTodtp2EXmSapR/LxaXk3GM2OyoeObMWn&#10;k5IzZSXVnd1X/PVl82HOWYjC1kKTVRU/qcDvVu/fLXu3UDNqSdfKM4DYsOhdxdsY3aIogmyVEWFC&#10;TlkEG/JGRPz6fVF70QPd6GJWlrdFT752nqQKAd6Hc5CvMn7TKBmfmiaoyHTF0VvMp8/nLp3FaikW&#10;ey9c28lLG+IfujCisyh6hXoQUbCD7/6AMp30FKiJE0mmoKbppMozYJpp+ds021Y4lWcBOcFdaQr/&#10;D1Z+Oz571tUVv+HMCoMVvaghss80sJvETu/CAklbh7Q4wI0tj/4AZxp6aLxJX4zDEAfPpyu3CUym&#10;S/PZfF4iJBEbf4BfvF13PsQvigxLRsU9lpc5FcfHEM+pY0qqZmnTaZ0XqC3rK3778VOZL1wjANcW&#10;NdIQ52aTFYfdcJlsR/UJg3k6CyM4uelQ/FGE+Cw8lICGoe74hKPRhCJ0sThryf/4mz/lY0GIctZD&#10;WRW3kD5n+qvF4pIIR8OPxm407MHcE6Q6xatxMpu44KMezcaT+Q7Jr1MNhISVqFTxOJr38axuPBmp&#10;1uucBKk5ER/t1skEncgLbn2IIDDzmkg5M3HhCmLLm7k8jKTmX/9z1tvzXf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0lY7tAAAAAFAQAADwAAAAAAAAABACAAAAAiAAAAZHJzL2Rvd25yZXYueG1s&#10;UEsBAhQAFAAAAAgAh07iQDAhCtEAAgAABgQAAA4AAAAAAAAAAQAgAAAAHwEAAGRycy9lMm9Eb2Mu&#10;eG1sUEsFBgAAAAAGAAYAWQEAAJEFA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r>
      <w:rPr>
        <w:lang w:val="en-US"/>
      </w:rPr>
      <w:t>132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r>
      <w:rPr>
        <w:lang w:val="en-US"/>
      </w:rPr>
      <w:t>141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940"/>
        <w:tab w:val="clear" w:pos="4680"/>
        <w:tab w:val="clear" w:pos="9360"/>
      </w:tabs>
      <w:jc w:val="center"/>
      <w:rPr>
        <w:lang w:val="en-US"/>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lang w:val="en-US"/>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xiZMAAgAACAQAAA4AAABkcnMvZTJvRG9jLnhtbK1TwY7TMBC9I/EP&#10;lu80aYFVVTVdlV0VIVXsSl3E2XWcJpLtsWy3Sfl6nt2mi4AT4uJMZsZvZt48L+8Ho9lJ+dCRrfh0&#10;UnKmrKS6s4eKf3vZvJtzFqKwtdBkVcXPKvD71ds3y94t1Ixa0rXyDCA2LHpX8TZGtyiKIFtlRJiQ&#10;UxbBhrwREb/+UNRe9EA3upiV5V3Rk6+dJ6lCgPfxEuSrjN80SsanpgkqMl1x9Bbz6fO5T2exWorF&#10;wQvXdvLahviHLozoLIreoB5FFOzouz+gTCc9BWriRJIpqGk6qfIMmGZa/jbNrhVO5VlATnA3msL/&#10;g5VfT8+edXXFP8w4s8JgRy9qiOwTDQwu8NO7sEDaziExDvBjz6M/wJnGHhpv0hcDMcTB9PnGbkKT&#10;6dJ8Np+XCEnExh/gF6/XnQ/xsyLDklFxj/VlVsVpG+IldUxJ1SxtOq3zCrVlfcXv3n8s84VbBODa&#10;okYa4tJssuKwH66T7ak+YzBPF2kEJzcdim9FiM/CQwtoGPqOTzgaTShCV4uzlvyPv/lTPlaEKGc9&#10;tFVxC/Fzpr9YrC7JcDT8aOxHwx7NA0GsU7wbJ7OJCz7q0Ww8me8Q/TrVQEhYiUoVj6P5EC/6xqOR&#10;ar3OSRCbE3Frd04m6ERecOtjBIGZ10TKhYkrV5Bb3sz1aSQ9//qfs14f8O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0lY7tAAAAAFAQAADwAAAAAAAAABACAAAAAiAAAAZHJzL2Rvd25yZXYueG1s&#10;UEsBAhQAFAAAAAgAh07iQB3xiZMAAgAACAQAAA4AAAAAAAAAAQAgAAAAHwEAAGRycy9lMm9Eb2Mu&#10;eG1sUEsFBgAAAAAGAAYAWQEAAJEFA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r>
      <w:rPr>
        <w:lang w:val="en-US"/>
      </w:rPr>
      <w:t>143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r>
      <w:rPr>
        <w:lang w:val="en-US"/>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rPr>
      <w:id w:val="1706518863"/>
    </w:sdtPr>
    <w:sdtEndPr>
      <w:rPr>
        <w:rFonts w:asciiTheme="majorBidi" w:hAnsiTheme="majorBidi" w:cstheme="majorBidi"/>
      </w:rPr>
    </w:sdtEndPr>
    <w:sdtContent>
      <w:p>
        <w:pPr>
          <w:pStyle w:val="7"/>
          <w:jc w:val="center"/>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2</w:t>
        </w:r>
        <w:r>
          <w:rPr>
            <w:rFonts w:asciiTheme="majorBidi" w:hAnsiTheme="majorBidi" w:cstheme="majorBidi"/>
          </w:rPr>
          <w:fldChar w:fldCharType="end"/>
        </w:r>
      </w:p>
    </w:sdtContent>
  </w:sdt>
  <w:p>
    <w:pPr>
      <w:pStyle w:val="7"/>
      <w:tabs>
        <w:tab w:val="left" w:pos="1905"/>
        <w:tab w:val="clear" w:pos="4680"/>
        <w:tab w:val="clear" w:pos="9360"/>
      </w:tabs>
      <w:rPr>
        <w:rFonts w:asciiTheme="majorBidi" w:hAnsiTheme="majorBidi" w:cstheme="majorBid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lang w:val="en-US"/>
      </w:rPr>
    </w:pPr>
    <w:r>
      <w:rPr>
        <w:lang w:val="en-US"/>
      </w:rPr>
      <w:t>27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heme="majorBidi" w:hAnsiTheme="majorBidi" w:cstheme="majorBidi"/>
        <w:lang w:val="en-US"/>
      </w:rPr>
    </w:pPr>
    <w:r>
      <w:rPr>
        <w:rFonts w:asciiTheme="majorBidi" w:hAnsiTheme="majorBidi" w:cstheme="majorBidi"/>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eT2v+AQAABgQAAA4AAABkcnMvZTJvRG9jLnhtbK1TwYrbMBC9F/oP&#10;QvfGTkpDCHGWdJeUQugu7JaeFVmODZJGSErs9Ov7pMTZpe2p9CKPZ0ZvZt48re4Go9lJ+dCRrfh0&#10;UnKmrKS6s4eKf3/ZflhwFqKwtdBkVcXPKvC79ft3q94t1Yxa0rXyDCA2LHtX8TZGtyyKIFtlRJiQ&#10;UxbBhrwREb/+UNRe9EA3upiV5bzoydfOk1QhwPtwCfJ1xm8aJeNj0wQVma44eov59Pncp7NYr8Ty&#10;4IVrO3ltQ/xDF0Z0FkVvUA8iCnb03R9QppOeAjVxIskU1DSdVHkGTDMtf5vmuRVO5VlATnA3msL/&#10;g5XfTk+edXXF55xZYbCiFzVE9pkGNk/s9C4skfTskBYHuLHl0R/gTEMPjTfpi3EY4uD5fOM2gcl0&#10;aTFbLEqEJGLjD/CL1+vOh/hFkWHJqLjH8jKn4rQL8ZI6pqRqlrad1nmB2rIeE3z8VOYLtwjAtUWN&#10;NMSl2WTFYT9cJ9tTfcZgni7CCE5uOxTfiRCfhIcS0DDUHR9xNJpQhK4WZy35n3/zp3wsCFHOeiir&#10;4hbS50x/tVhcEuFo+NHYj4Y9mnuCVKd4NU5mExd81KPZeDI/IPlNqoGQsBKVKh5H8z5e1I0nI9Vm&#10;k5MgNSfizj47maATecFtjhEEZl4TKRcmrlxBbHkz14eR1Pz2P2e9Pt/1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NJWO7QAAAABQEAAA8AAAAAAAAAAQAgAAAAIgAAAGRycy9kb3ducmV2LnhtbFBL&#10;AQIUABQAAAAIAIdO4kAk3k9r/gEAAAYEAAAOAAAAAAAAAAEAIAAAAB8BAABkcnMvZTJvRG9jLnht&#10;bFBLBQYAAAAABgAGAFkBAACPBQ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r>
      <w:rPr>
        <w:rFonts w:asciiTheme="majorBidi" w:hAnsiTheme="majorBidi" w:cstheme="majorBidi"/>
        <w:lang w:val="en-US"/>
      </w:rPr>
      <w:t>60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heme="majorBidi" w:hAnsiTheme="majorBidi" w:cstheme="majorBidi"/>
        <w:lang w:val="en-US"/>
      </w:rPr>
    </w:pPr>
    <w:r>
      <w:rPr>
        <w:rFonts w:asciiTheme="majorBidi" w:hAnsiTheme="majorBidi" w:cstheme="majorBidi"/>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lQz/+AQAACAQAAA4AAABkcnMvZTJvRG9jLnhtbK1TwYrbMBC9F/oP&#10;QvfGTkqXEOIs6S4phdBdyJaeFVmODZJGSErs9Ov7pMTZpe2p9CKPZ0ZvZt48Le8Ho9lJ+dCRrfh0&#10;UnKmrKS6s4eKf3/ZfJhzFqKwtdBkVcXPKvD71ft3y94t1Ixa0rXyDCA2LHpX8TZGtyiKIFtlRJiQ&#10;UxbBhrwREb/+UNRe9EA3upiV5V3Rk6+dJ6lCgPfxEuSrjN80SsanpgkqMl1x9Bbz6fO5T2exWorF&#10;wQvXdvLahviHLozoLIreoB5FFOzouz+gTCc9BWriRJIpqGk6qfIMmGZa/jbNrhVO5VlATnA3msL/&#10;g5XfTs+edTV2B3qsMNjRixoi+0wDgwv89C4skLZzSIwD/Mgd/QHONPbQeJO+GIghDqjzjd2EJtOl&#10;+Ww+LxGSiI0/wC9erzsf4hdFhiWj4h7ry6yK0zbES+qYkqpZ2nRa5xVqy/qK3338VOYLtwjAtUWN&#10;NMSl2WTFYT9cJ9tTfcZgni7SCE5uOhTfihCfhYcW0DD0HZ9wNJpQhK4WZy35n3/zp3ysCFHOemir&#10;4hbi50x/tVgdAONo+NHYj4Y9mgeCWKd4N05mExd81KPZeDI/IPp1qoGQsBKVKh5H8yFe9I1HI9V6&#10;nZMgNifi1u6cTNCJvODWxwgCM6+JlAsTV64gt7yZ69NIen77n7NeH/Dq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NJWO7QAAAABQEAAA8AAAAAAAAAAQAgAAAAIgAAAGRycy9kb3ducmV2LnhtbFBL&#10;AQIUABQAAAAIAIdO4kA75UM//gEAAAgEAAAOAAAAAAAAAAEAIAAAAB8BAABkcnMvZTJvRG9jLnht&#10;bFBLBQYAAAAABgAGAFkBAACPBQ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r>
      <w:rPr>
        <w:rFonts w:asciiTheme="majorBidi" w:hAnsiTheme="majorBidi" w:cstheme="majorBidi"/>
        <w:lang w:val="en-US"/>
      </w:rPr>
      <w:t>72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heme="majorBidi" w:hAnsiTheme="majorBidi" w:cstheme="majorBidi"/>
        <w:lang w:val="en-US"/>
      </w:rPr>
    </w:pPr>
    <w:r>
      <w:rPr>
        <w:rFonts w:asciiTheme="majorBidi" w:hAnsiTheme="majorBidi" w:cstheme="majorBidi"/>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lang w:val="en-US"/>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QVqcAAgAABgQAAA4AAABkcnMvZTJvRG9jLnhtbK1TwW7bMAy9D9g/&#10;CLovdjKsSIM4RdYiw4BiLZAWOyuyHBuQREFSYmdfvyclTodtp2EXmSapR/LxaXk3GM2OyoeObMWn&#10;k5IzZSXVnd1X/PVl82HOWYjC1kKTVRU/qcDvVu/fLXu3UDNqSdfKM4DYsOhdxdsY3aIogmyVEWFC&#10;TlkEG/JGRPz6fVF70QPd6GJWljdFT752nqQKAd6Hc5CvMn7TKBmfmiaoyHTF0VvMp8/nLp3FaikW&#10;ey9c28lLG+IfujCisyh6hXoQUbCD7/6AMp30FKiJE0mmoKbppMozYJpp+ds021Y4lWcBOcFdaQr/&#10;D1Z+Oz571tUVv+XMCoMVvaghss80sNvETu/CAklbh7Q4wI0tj/4AZxp6aLxJX4zDEAfPpyu3CUym&#10;S/PZfF4iJBEbf4BfvF13PsQvigxLRsU9lpc5FcfHEM+pY0qqZmnTaZ0XqC3rK37z8VOZL1wjANcW&#10;NdIQ52aTFYfdcJlsR/UJg3k6CyM4uelQ/FGE+Cw8lICGoe74hKPRhCJ0sThryf/4mz/lY0GIctZD&#10;WRW3kD5n+qvF4pIIR8OPxm407MHcE6Q6xatxMpu44KMezcaT+Q7Jr1MNhISVqFTxOJr38axuPBmp&#10;1uucBKk5ER/t1skEncgLbn2IIDDzmkg5M3HhCmLLm7k8jKTmX/9z1tvzXf0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0lY7tAAAAAFAQAADwAAAAAAAAABACAAAAAiAAAAZHJzL2Rvd25yZXYueG1s&#10;UEsBAhQAFAAAAAgAh07iQEDQVqcAAgAABgQAAA4AAAAAAAAAAQAgAAAAHwEAAGRycy9lMm9Eb2Mu&#10;eG1sUEsFBgAAAAAGAAYAWQEAAJEFAAAAAA==&#10;">
              <v:fill on="f" focussize="0,0"/>
              <v:stroke on="f" weight="0.5pt"/>
              <v:imagedata o:title=""/>
              <o:lock v:ext="edit" aspectratio="f"/>
              <v:textbox inset="0mm,0mm,0mm,0mm" style="mso-fit-shape-to-text:t;">
                <w:txbxContent>
                  <w:p>
                    <w:pPr>
                      <w:pStyle w:val="7"/>
                      <w:rPr>
                        <w:lang w:val="en-US"/>
                      </w:rPr>
                    </w:pPr>
                  </w:p>
                </w:txbxContent>
              </v:textbox>
            </v:shape>
          </w:pict>
        </mc:Fallback>
      </mc:AlternateContent>
    </w:r>
    <w:r>
      <w:rPr>
        <w:rFonts w:asciiTheme="majorBidi" w:hAnsiTheme="majorBidi" w:cstheme="majorBidi"/>
        <w:lang w:val="en-US"/>
      </w:rPr>
      <w:t>129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940"/>
        <w:tab w:val="clear" w:pos="4680"/>
        <w:tab w:val="clear" w:pos="9360"/>
      </w:tabs>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8"/>
        <w:rPr>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Departemen Agama RI, </w:t>
      </w:r>
      <w:r>
        <w:rPr>
          <w:rFonts w:asciiTheme="majorBidi" w:hAnsiTheme="majorBidi" w:cstheme="majorBidi"/>
          <w:i/>
          <w:iCs/>
          <w:sz w:val="18"/>
          <w:szCs w:val="18"/>
          <w:lang w:val="en-US"/>
        </w:rPr>
        <w:t xml:space="preserve"> </w:t>
      </w:r>
      <w:r>
        <w:rPr>
          <w:rFonts w:asciiTheme="majorBidi" w:hAnsiTheme="majorBidi" w:cstheme="majorBidi"/>
          <w:i/>
          <w:iCs/>
          <w:sz w:val="18"/>
          <w:szCs w:val="18"/>
        </w:rPr>
        <w:t xml:space="preserve">"Al Qur'an dan Terjemah Special For Woman", </w:t>
      </w:r>
      <w:r>
        <w:rPr>
          <w:rFonts w:asciiTheme="majorBidi" w:hAnsiTheme="majorBidi" w:cstheme="majorBidi"/>
          <w:sz w:val="18"/>
          <w:szCs w:val="18"/>
        </w:rPr>
        <w:t>Al Maidah:90, (PT Sygma: 2009), 1</w:t>
      </w:r>
      <w:r>
        <w:rPr>
          <w:rFonts w:asciiTheme="majorBidi" w:hAnsiTheme="majorBidi" w:cstheme="majorBidi"/>
          <w:sz w:val="18"/>
          <w:szCs w:val="18"/>
          <w:lang w:val="en-US"/>
        </w:rPr>
        <w:t>14</w:t>
      </w:r>
    </w:p>
  </w:footnote>
  <w:footnote w:id="1">
    <w:p>
      <w:pPr>
        <w:pStyle w:val="8"/>
        <w:snapToGrid w:val="0"/>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Sujatmiko dan Willy Wibowo</w:t>
      </w:r>
      <w:r>
        <w:rPr>
          <w:rFonts w:eastAsia="SimSun" w:asciiTheme="majorBidi" w:hAnsiTheme="majorBidi" w:cstheme="majorBidi"/>
          <w:i/>
          <w:iCs/>
          <w:sz w:val="18"/>
          <w:szCs w:val="18"/>
        </w:rPr>
        <w:t>, Urgensi Pembentukan Regulasi Grasi, Amnesti, Abolisi dan Rehabilitasi</w:t>
      </w:r>
      <w:r>
        <w:rPr>
          <w:rFonts w:eastAsia="SimSun" w:asciiTheme="majorBidi" w:hAnsiTheme="majorBidi" w:cstheme="majorBidi"/>
          <w:sz w:val="18"/>
          <w:szCs w:val="18"/>
        </w:rPr>
        <w:t xml:space="preserve">, </w:t>
      </w:r>
      <w:r>
        <w:rPr>
          <w:rFonts w:eastAsia="SimSun" w:asciiTheme="majorBidi" w:hAnsiTheme="majorBidi" w:cstheme="majorBidi"/>
          <w:sz w:val="18"/>
          <w:szCs w:val="18"/>
          <w:lang w:val="en-US"/>
        </w:rPr>
        <w:t>(</w:t>
      </w:r>
      <w:r>
        <w:rPr>
          <w:rFonts w:eastAsia="SimSun" w:asciiTheme="majorBidi" w:hAnsiTheme="majorBidi" w:cstheme="majorBidi"/>
          <w:sz w:val="18"/>
          <w:szCs w:val="18"/>
        </w:rPr>
        <w:t xml:space="preserve">Jurnal Penelitian Hukum De June, Vol. 21 2021).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92.</w:t>
      </w:r>
    </w:p>
  </w:footnote>
  <w:footnote w:id="2">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Undang-Undang Nomer 22 Tahun 2002 Tentang Grasi, bagian penjelasan umum.</w:t>
      </w:r>
    </w:p>
  </w:footnote>
  <w:footnote w:id="3">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Pasal 2 UU Grasi Nomor 5 Tahun 2010</w:t>
      </w:r>
    </w:p>
  </w:footnote>
  <w:footnote w:id="4">
    <w:p>
      <w:pPr>
        <w:pStyle w:val="8"/>
        <w:snapToGrid w:val="0"/>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Departemen Agama RI, </w:t>
      </w:r>
      <w:r>
        <w:rPr>
          <w:rFonts w:asciiTheme="majorBidi" w:hAnsiTheme="majorBidi" w:cstheme="majorBidi"/>
          <w:i/>
          <w:iCs/>
          <w:sz w:val="18"/>
          <w:szCs w:val="18"/>
          <w:lang w:val="en-US"/>
        </w:rPr>
        <w:t xml:space="preserve"> </w:t>
      </w:r>
      <w:r>
        <w:rPr>
          <w:rFonts w:asciiTheme="majorBidi" w:hAnsiTheme="majorBidi" w:cstheme="majorBidi"/>
          <w:i/>
          <w:iCs/>
          <w:sz w:val="18"/>
          <w:szCs w:val="18"/>
        </w:rPr>
        <w:t xml:space="preserve">"Al Qur'an dan Terjemah Special For Woman", </w:t>
      </w:r>
      <w:r>
        <w:rPr>
          <w:rFonts w:asciiTheme="majorBidi" w:hAnsiTheme="majorBidi" w:cstheme="majorBidi"/>
          <w:sz w:val="18"/>
          <w:szCs w:val="18"/>
        </w:rPr>
        <w:t>Al Maidah:90, (PT Sygma: 2009), 12</w:t>
      </w:r>
    </w:p>
  </w:footnote>
  <w:footnote w:id="5">
    <w:p>
      <w:pPr>
        <w:pStyle w:val="8"/>
        <w:snapToGrid w:val="0"/>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Jihan Nada Qatrunnada, </w:t>
      </w:r>
      <w:r>
        <w:rPr>
          <w:rFonts w:asciiTheme="majorBidi" w:hAnsiTheme="majorBidi" w:cstheme="majorBidi"/>
          <w:i/>
          <w:iCs/>
          <w:sz w:val="18"/>
          <w:szCs w:val="18"/>
        </w:rPr>
        <w:t xml:space="preserve">Hadis dan larangan Al qur’an Meminum Khamr, </w:t>
      </w:r>
      <w:r>
        <w:fldChar w:fldCharType="begin"/>
      </w:r>
      <w:r>
        <w:instrText xml:space="preserve"> HYPERLINK "https://www.detik.com/hikmah/doa-dan-hadits/d-6910484/hadits-dan-ayat-al-quran-tentang-larangan-minum-khamr" </w:instrText>
      </w:r>
      <w:r>
        <w:fldChar w:fldCharType="separate"/>
      </w:r>
      <w:r>
        <w:rPr>
          <w:rStyle w:val="18"/>
          <w:rFonts w:asciiTheme="majorBidi" w:hAnsiTheme="majorBidi" w:cstheme="majorBidi"/>
          <w:sz w:val="18"/>
          <w:szCs w:val="18"/>
          <w:u w:val="none"/>
        </w:rPr>
        <w:t>https://www.detik.com/hikmah/doa-dan-hadits/d-6910484/hadits-dan-ayat-al-quran-tentang-larangan-minum-khamr</w:t>
      </w:r>
      <w:r>
        <w:rPr>
          <w:rStyle w:val="18"/>
          <w:rFonts w:asciiTheme="majorBidi" w:hAnsiTheme="majorBidi" w:cstheme="majorBidi"/>
          <w:sz w:val="18"/>
          <w:szCs w:val="18"/>
          <w:u w:val="none"/>
        </w:rPr>
        <w:fldChar w:fldCharType="end"/>
      </w:r>
      <w:r>
        <w:rPr>
          <w:rFonts w:asciiTheme="majorBidi" w:hAnsiTheme="majorBidi" w:cstheme="majorBidi"/>
          <w:sz w:val="18"/>
          <w:szCs w:val="18"/>
        </w:rPr>
        <w:t>, di akses pada 16 Maret 2025.</w:t>
      </w:r>
    </w:p>
    <w:p>
      <w:pPr>
        <w:pStyle w:val="8"/>
        <w:snapToGrid w:val="0"/>
        <w:ind w:firstLine="437" w:firstLineChars="243"/>
        <w:contextualSpacing/>
        <w:jc w:val="both"/>
        <w:rPr>
          <w:rFonts w:asciiTheme="majorBidi" w:hAnsiTheme="majorBidi" w:cstheme="majorBidi"/>
          <w:sz w:val="18"/>
          <w:szCs w:val="18"/>
        </w:rPr>
      </w:pPr>
    </w:p>
  </w:footnote>
  <w:footnote w:id="6">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Yusriza, Ferdy Saputra, Hadi Iskandar, Romi Asmara</w:t>
      </w:r>
      <w:r>
        <w:rPr>
          <w:rFonts w:eastAsia="SimSun" w:asciiTheme="majorBidi" w:hAnsiTheme="majorBidi" w:cstheme="majorBidi"/>
          <w:sz w:val="18"/>
          <w:szCs w:val="18"/>
          <w:lang w:val="en-US"/>
        </w:rPr>
        <w:t xml:space="preserve">. </w:t>
      </w:r>
      <w:r>
        <w:rPr>
          <w:rFonts w:eastAsia="SimSun" w:asciiTheme="majorBidi" w:hAnsiTheme="majorBidi" w:cstheme="majorBidi"/>
          <w:i/>
          <w:iCs/>
          <w:sz w:val="18"/>
          <w:szCs w:val="18"/>
        </w:rPr>
        <w:t>Tindak Pidana Narkotika Dalam Perspektif Hukum Islam dan Filsafat</w:t>
      </w:r>
      <w:r>
        <w:rPr>
          <w:rFonts w:eastAsia="SimSun" w:asciiTheme="majorBidi" w:hAnsiTheme="majorBidi" w:cstheme="majorBidi"/>
          <w:i/>
          <w:iCs/>
          <w:sz w:val="18"/>
          <w:szCs w:val="18"/>
          <w:lang w:val="en-US"/>
        </w:rPr>
        <w:t>.</w:t>
      </w:r>
      <w:r>
        <w:rPr>
          <w:rFonts w:eastAsia="SimSun" w:asciiTheme="majorBidi" w:hAnsiTheme="majorBidi" w:cstheme="majorBidi"/>
          <w:sz w:val="18"/>
          <w:szCs w:val="18"/>
          <w:lang w:val="en-US"/>
        </w:rPr>
        <w:t xml:space="preserve"> </w:t>
      </w:r>
      <w:r>
        <w:rPr>
          <w:rFonts w:eastAsia="SimSun" w:asciiTheme="majorBidi" w:hAnsiTheme="majorBidi" w:cstheme="majorBidi"/>
          <w:sz w:val="18"/>
          <w:szCs w:val="18"/>
        </w:rPr>
        <w:t xml:space="preserve">Vol. 1, No. 2, Juni-November, 2024,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115-136</w:t>
      </w:r>
    </w:p>
  </w:footnote>
  <w:footnote w:id="7">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Maskum rangkuti, </w:t>
      </w:r>
      <w:r>
        <w:rPr>
          <w:rFonts w:asciiTheme="majorBidi" w:hAnsiTheme="majorBidi" w:cstheme="majorBidi"/>
          <w:i/>
          <w:iCs/>
          <w:sz w:val="18"/>
          <w:szCs w:val="18"/>
          <w:lang w:val="en-US"/>
        </w:rPr>
        <w:t>Apa Itu Keadilan dalam Hukum</w:t>
      </w:r>
      <w:r>
        <w:rPr>
          <w:rFonts w:asciiTheme="majorBidi" w:hAnsiTheme="majorBidi" w:cstheme="majorBidi"/>
          <w:sz w:val="18"/>
          <w:szCs w:val="18"/>
          <w:lang w:val="en-US"/>
        </w:rPr>
        <w:t xml:space="preserve">, </w:t>
      </w:r>
      <w:r>
        <w:fldChar w:fldCharType="begin"/>
      </w:r>
      <w:r>
        <w:instrText xml:space="preserve"> HYPERLINK "https://fahum.umsu.ac.id/apa-itu-keadilan-dalam-hukum/" </w:instrText>
      </w:r>
      <w:r>
        <w:fldChar w:fldCharType="separate"/>
      </w:r>
      <w:r>
        <w:rPr>
          <w:rStyle w:val="18"/>
          <w:rFonts w:asciiTheme="majorBidi" w:hAnsiTheme="majorBidi" w:cstheme="majorBidi"/>
          <w:sz w:val="18"/>
          <w:szCs w:val="18"/>
          <w:u w:val="none"/>
          <w:lang w:val="en-US"/>
        </w:rPr>
        <w:t>https://fahum.umsu.ac.id/apa-itu-keadilan-dalam-hukum/</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xml:space="preserve"> diakses 24 September 2024. </w:t>
      </w:r>
    </w:p>
    <w:p>
      <w:pPr>
        <w:pStyle w:val="8"/>
        <w:snapToGrid w:val="0"/>
        <w:ind w:firstLine="437" w:firstLineChars="243"/>
        <w:contextualSpacing/>
        <w:jc w:val="both"/>
        <w:rPr>
          <w:rFonts w:asciiTheme="majorBidi" w:hAnsiTheme="majorBidi" w:cstheme="majorBidi"/>
          <w:sz w:val="18"/>
          <w:szCs w:val="18"/>
          <w:lang w:val="en-US"/>
        </w:rPr>
      </w:pPr>
    </w:p>
    <w:p>
      <w:pPr>
        <w:pStyle w:val="8"/>
        <w:snapToGrid w:val="0"/>
        <w:ind w:firstLine="437" w:firstLineChars="243"/>
        <w:contextualSpacing/>
        <w:jc w:val="both"/>
        <w:rPr>
          <w:rFonts w:asciiTheme="majorBidi" w:hAnsiTheme="majorBidi" w:cstheme="majorBidi"/>
          <w:sz w:val="18"/>
          <w:szCs w:val="18"/>
          <w:lang w:val="en-US"/>
        </w:rPr>
      </w:pPr>
    </w:p>
  </w:footnote>
  <w:footnote w:id="8">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Riscon sinaga. </w:t>
      </w:r>
      <w:r>
        <w:rPr>
          <w:rFonts w:asciiTheme="majorBidi" w:hAnsiTheme="majorBidi" w:cstheme="majorBidi"/>
          <w:i/>
          <w:iCs/>
          <w:sz w:val="18"/>
          <w:szCs w:val="18"/>
          <w:lang w:val="en-US"/>
        </w:rPr>
        <w:t xml:space="preserve">Analisis Yuridis Penjatuhan Hukuman Mati Terhadap Perantara Jual Beli Narkotika </w:t>
      </w:r>
      <w:r>
        <w:rPr>
          <w:rFonts w:asciiTheme="majorBidi" w:hAnsiTheme="majorBidi" w:cstheme="majorBidi"/>
          <w:sz w:val="18"/>
          <w:szCs w:val="18"/>
          <w:lang w:val="en-US"/>
        </w:rPr>
        <w:t>(Studi Putusan Nomor 594/Pid.Sus/215/Pn.Tjb). 112</w:t>
      </w:r>
    </w:p>
  </w:footnote>
  <w:footnote w:id="9">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Zahrotul latifah. </w:t>
      </w:r>
      <w:r>
        <w:rPr>
          <w:rFonts w:asciiTheme="majorBidi" w:hAnsiTheme="majorBidi" w:cstheme="majorBidi"/>
          <w:i/>
          <w:iCs/>
          <w:sz w:val="18"/>
          <w:szCs w:val="18"/>
          <w:lang w:val="en-US"/>
        </w:rPr>
        <w:t>Hak Proregatif Presiden Dalam Memberikan Grasi Kepada Terpidana Mati Kasus Narkotika Perspektif Fikih Siyasah</w:t>
      </w:r>
      <w:r>
        <w:rPr>
          <w:rFonts w:asciiTheme="majorBidi" w:hAnsiTheme="majorBidi" w:cstheme="majorBidi"/>
          <w:sz w:val="18"/>
          <w:szCs w:val="18"/>
          <w:lang w:val="en-US"/>
        </w:rPr>
        <w:t xml:space="preserve">. 87 </w:t>
      </w:r>
    </w:p>
  </w:footnote>
  <w:footnote w:id="10">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Joko santoso. </w:t>
      </w:r>
      <w:r>
        <w:rPr>
          <w:rFonts w:asciiTheme="majorBidi" w:hAnsiTheme="majorBidi" w:cstheme="majorBidi"/>
          <w:i/>
          <w:iCs/>
          <w:sz w:val="18"/>
          <w:szCs w:val="18"/>
          <w:lang w:val="en-US"/>
        </w:rPr>
        <w:t>Analisis Penerapan Hukuman Mati Dalam Kasus Narkorika (Studi Kasus Putusan Mahkamah Agung No.383 K/Pid.Sus/2022).</w:t>
      </w:r>
      <w:r>
        <w:rPr>
          <w:rFonts w:asciiTheme="majorBidi" w:hAnsiTheme="majorBidi" w:cstheme="majorBidi"/>
          <w:sz w:val="18"/>
          <w:szCs w:val="18"/>
          <w:lang w:val="en-US"/>
        </w:rPr>
        <w:t xml:space="preserve"> 85-86</w:t>
      </w:r>
    </w:p>
  </w:footnote>
  <w:footnote w:id="11">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Laelly Mrlina Padmawti, </w:t>
      </w:r>
      <w:r>
        <w:rPr>
          <w:rFonts w:asciiTheme="majorBidi" w:hAnsiTheme="majorBidi" w:cstheme="majorBidi"/>
          <w:i/>
          <w:iCs/>
          <w:sz w:val="18"/>
          <w:szCs w:val="18"/>
          <w:lang w:val="en-US"/>
        </w:rPr>
        <w:t>Tinjauan Yuridis Pembeian Grasi Dlm Kaian Pidana Tterkait Efek Jera Pemidanan.</w:t>
      </w:r>
      <w:r>
        <w:rPr>
          <w:rFonts w:asciiTheme="majorBidi" w:hAnsiTheme="majorBidi" w:cstheme="majorBidi"/>
          <w:sz w:val="18"/>
          <w:szCs w:val="18"/>
          <w:lang w:val="en-US"/>
        </w:rPr>
        <w:t xml:space="preserve"> (Residive vol 2 No 3: Sep 2013)</w:t>
      </w:r>
    </w:p>
  </w:footnote>
  <w:footnote w:id="12">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Jihadini Nur Azizah dan Siti Ngainnur Rohmah.  </w:t>
      </w:r>
      <w:r>
        <w:rPr>
          <w:rFonts w:eastAsia="SimSun" w:asciiTheme="majorBidi" w:hAnsiTheme="majorBidi" w:cstheme="majorBidi"/>
          <w:i/>
          <w:iCs/>
          <w:sz w:val="18"/>
          <w:szCs w:val="18"/>
        </w:rPr>
        <w:t>Kewenangan Presiden dalam Pemberian Grasi Kepada Terpidana Narkotika, Psikotropika dan Bahan Adiktif Perspektif Fiqih Siyasah</w:t>
      </w:r>
      <w:r>
        <w:rPr>
          <w:rFonts w:eastAsia="SimSun" w:asciiTheme="majorBidi" w:hAnsiTheme="majorBidi" w:cstheme="majorBidi"/>
          <w:i/>
          <w:iCs/>
          <w:sz w:val="18"/>
          <w:szCs w:val="18"/>
          <w:lang w:val="en-US"/>
        </w:rPr>
        <w:t>.</w:t>
      </w:r>
      <w:r>
        <w:rPr>
          <w:rFonts w:eastAsia="SimSun" w:asciiTheme="majorBidi" w:hAnsiTheme="majorBidi" w:cstheme="majorBidi"/>
          <w:sz w:val="18"/>
          <w:szCs w:val="18"/>
          <w:lang w:val="en-US"/>
        </w:rPr>
        <w:t xml:space="preserve"> </w:t>
      </w:r>
      <w:r>
        <w:rPr>
          <w:rFonts w:eastAsia="SimSun" w:asciiTheme="majorBidi" w:hAnsiTheme="majorBidi" w:cstheme="majorBidi"/>
          <w:sz w:val="18"/>
          <w:szCs w:val="18"/>
        </w:rPr>
        <w:t>Vol. 6 No. 2 (2022), pp. 167-188</w:t>
      </w:r>
    </w:p>
  </w:footnote>
  <w:footnote w:id="13">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Froyland Matthew Karundeng</w:t>
      </w:r>
      <w:r>
        <w:rPr>
          <w:rFonts w:eastAsia="SimSun" w:asciiTheme="majorBidi" w:hAnsiTheme="majorBidi" w:cstheme="majorBidi"/>
          <w:sz w:val="18"/>
          <w:szCs w:val="18"/>
          <w:lang w:val="en-US"/>
        </w:rPr>
        <w:t>,</w:t>
      </w:r>
      <w:r>
        <w:rPr>
          <w:rFonts w:eastAsia="SimSun" w:asciiTheme="majorBidi" w:hAnsiTheme="majorBidi" w:cstheme="majorBidi"/>
          <w:sz w:val="18"/>
          <w:szCs w:val="18"/>
        </w:rPr>
        <w:t xml:space="preserve"> Daniel F. Aling</w:t>
      </w:r>
      <w:r>
        <w:rPr>
          <w:rFonts w:eastAsia="SimSun" w:asciiTheme="majorBidi" w:hAnsiTheme="majorBidi" w:cstheme="majorBidi"/>
          <w:sz w:val="18"/>
          <w:szCs w:val="18"/>
          <w:lang w:val="en-US"/>
        </w:rPr>
        <w:t xml:space="preserve"> dan</w:t>
      </w:r>
      <w:r>
        <w:rPr>
          <w:rFonts w:eastAsia="SimSun" w:asciiTheme="majorBidi" w:hAnsiTheme="majorBidi" w:cstheme="majorBidi"/>
          <w:sz w:val="18"/>
          <w:szCs w:val="18"/>
        </w:rPr>
        <w:t xml:space="preserve"> Marthin Doodoh</w:t>
      </w:r>
      <w:r>
        <w:rPr>
          <w:rFonts w:eastAsia="SimSun" w:asciiTheme="majorBidi" w:hAnsiTheme="majorBidi" w:cstheme="majorBidi"/>
          <w:sz w:val="18"/>
          <w:szCs w:val="18"/>
          <w:lang w:val="en-US"/>
        </w:rPr>
        <w:t xml:space="preserve"> . </w:t>
      </w:r>
      <w:r>
        <w:rPr>
          <w:rFonts w:eastAsia="SimSun" w:asciiTheme="majorBidi" w:hAnsiTheme="majorBidi" w:cstheme="majorBidi"/>
          <w:i/>
          <w:iCs/>
          <w:sz w:val="18"/>
          <w:szCs w:val="18"/>
        </w:rPr>
        <w:t>Kajian Hukum Tentang Grasi Terhadap Terpidana Mati Kasus Narkoba</w:t>
      </w:r>
      <w:r>
        <w:rPr>
          <w:rFonts w:eastAsia="SimSun" w:asciiTheme="majorBidi" w:hAnsiTheme="majorBidi" w:cstheme="majorBidi"/>
          <w:sz w:val="18"/>
          <w:szCs w:val="18"/>
          <w:lang w:val="en-US"/>
        </w:rPr>
        <w:t>. vol-1 no-3: lex administratum Tahun 2022</w:t>
      </w:r>
    </w:p>
  </w:footnote>
  <w:footnote w:id="14">
    <w:p>
      <w:pPr>
        <w:pStyle w:val="8"/>
        <w:snapToGrid w:val="0"/>
        <w:ind w:firstLine="440" w:firstLineChars="220"/>
        <w:jc w:val="both"/>
      </w:pPr>
      <w:r>
        <w:rPr>
          <w:rStyle w:val="17"/>
        </w:rPr>
        <w:footnoteRef/>
      </w:r>
      <w:r>
        <w:t xml:space="preserve"> </w:t>
      </w:r>
      <w:r>
        <w:rPr>
          <w:rFonts w:asciiTheme="majorBidi" w:hAnsiTheme="majorBidi" w:cstheme="majorBidi"/>
          <w:sz w:val="18"/>
          <w:szCs w:val="18"/>
        </w:rPr>
        <w:t xml:space="preserve">Soerjono Soekamto. 2014. </w:t>
      </w:r>
      <w:r>
        <w:rPr>
          <w:rFonts w:asciiTheme="majorBidi" w:hAnsiTheme="majorBidi" w:cstheme="majorBidi"/>
          <w:i/>
          <w:iCs/>
          <w:sz w:val="18"/>
          <w:szCs w:val="18"/>
        </w:rPr>
        <w:t xml:space="preserve">Pengantar </w:t>
      </w:r>
      <w:r>
        <w:rPr>
          <w:rFonts w:asciiTheme="majorBidi" w:hAnsiTheme="majorBidi" w:cstheme="majorBidi"/>
          <w:i/>
          <w:iCs/>
          <w:sz w:val="18"/>
          <w:szCs w:val="18"/>
          <w:lang w:val="en-US"/>
        </w:rPr>
        <w:t>Penelitian Hukum</w:t>
      </w:r>
      <w:r>
        <w:rPr>
          <w:rFonts w:asciiTheme="majorBidi" w:hAnsiTheme="majorBidi" w:cstheme="majorBidi"/>
          <w:sz w:val="18"/>
          <w:szCs w:val="18"/>
        </w:rPr>
        <w:t>. Jakarta: Universitas Indonesia, 3.</w:t>
      </w:r>
    </w:p>
  </w:footnote>
  <w:footnote w:id="15">
    <w:p>
      <w:pPr>
        <w:pStyle w:val="8"/>
        <w:snapToGrid w:val="0"/>
        <w:ind w:firstLine="439" w:firstLineChars="244"/>
        <w:jc w:val="both"/>
        <w:rPr>
          <w:rFonts w:ascii="Times New Roman" w:hAnsi="Times New Roman" w:eastAsia="Microsoft YaHei Light" w:cs="Times New Roman"/>
          <w:sz w:val="18"/>
          <w:szCs w:val="18"/>
          <w:lang w:val="en-US"/>
        </w:rPr>
      </w:pPr>
      <w:r>
        <w:rPr>
          <w:rStyle w:val="17"/>
          <w:rFonts w:ascii="Times New Roman" w:hAnsi="Times New Roman" w:eastAsia="Microsoft YaHei Light" w:cs="Times New Roman"/>
          <w:sz w:val="18"/>
          <w:szCs w:val="18"/>
        </w:rPr>
        <w:footnoteRef/>
      </w:r>
      <w:r>
        <w:rPr>
          <w:rFonts w:ascii="Times New Roman" w:hAnsi="Times New Roman" w:eastAsia="Microsoft YaHei Light" w:cs="Times New Roman"/>
          <w:sz w:val="18"/>
          <w:szCs w:val="18"/>
        </w:rPr>
        <w:t xml:space="preserve"> </w:t>
      </w:r>
      <w:r>
        <w:rPr>
          <w:rFonts w:ascii="Times New Roman" w:hAnsi="Times New Roman" w:eastAsia="Microsoft YaHei Light" w:cs="Times New Roman"/>
          <w:sz w:val="18"/>
          <w:szCs w:val="18"/>
          <w:lang w:val="en-US"/>
        </w:rPr>
        <w:t xml:space="preserve">Soekanto, Soerjono. </w:t>
      </w:r>
      <w:r>
        <w:rPr>
          <w:rFonts w:ascii="Times New Roman" w:hAnsi="Times New Roman" w:eastAsia="Microsoft YaHei Light" w:cs="Times New Roman"/>
          <w:i/>
          <w:iCs/>
          <w:sz w:val="18"/>
          <w:szCs w:val="18"/>
          <w:lang w:val="en-US"/>
        </w:rPr>
        <w:t>Pengantar Penelitian Hukum,</w:t>
      </w:r>
      <w:r>
        <w:rPr>
          <w:rFonts w:ascii="Times New Roman" w:hAnsi="Times New Roman" w:eastAsia="Microsoft YaHei Light" w:cs="Times New Roman"/>
          <w:sz w:val="18"/>
          <w:szCs w:val="18"/>
          <w:lang w:val="en-US"/>
        </w:rPr>
        <w:t xml:space="preserve"> (Jakarta: Penerbit Universitas Di Indonesia, 1986), 12.</w:t>
      </w:r>
    </w:p>
  </w:footnote>
  <w:footnote w:id="16">
    <w:p>
      <w:pPr>
        <w:pStyle w:val="8"/>
        <w:snapToGrid w:val="0"/>
        <w:ind w:firstLine="426"/>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Soerjono Soekanto, Sri Mamudji, </w:t>
      </w:r>
      <w:r>
        <w:rPr>
          <w:rFonts w:asciiTheme="majorBidi" w:hAnsiTheme="majorBidi" w:cstheme="majorBidi"/>
          <w:i/>
          <w:iCs/>
          <w:sz w:val="18"/>
          <w:szCs w:val="18"/>
          <w:lang w:val="en-US"/>
        </w:rPr>
        <w:t>Penelitian Hukum Normatif</w:t>
      </w:r>
      <w:r>
        <w:rPr>
          <w:rFonts w:asciiTheme="majorBidi" w:hAnsiTheme="majorBidi" w:cstheme="majorBidi"/>
          <w:sz w:val="18"/>
          <w:szCs w:val="18"/>
          <w:lang w:val="en-US"/>
        </w:rPr>
        <w:t>, (Jakarta: Rajawali Pers, 2015), 13.</w:t>
      </w:r>
    </w:p>
  </w:footnote>
  <w:footnote w:id="17">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Dr Abdul Fattah Nasution, </w:t>
      </w:r>
      <w:r>
        <w:rPr>
          <w:rFonts w:asciiTheme="majorBidi" w:hAnsiTheme="majorBidi" w:cstheme="majorBidi"/>
          <w:i/>
          <w:iCs/>
          <w:sz w:val="18"/>
          <w:szCs w:val="18"/>
          <w:lang w:val="en-US"/>
        </w:rPr>
        <w:t>Metode Penelitian Kualitatif</w:t>
      </w:r>
      <w:r>
        <w:rPr>
          <w:rFonts w:asciiTheme="majorBidi" w:hAnsiTheme="majorBidi" w:cstheme="majorBidi"/>
          <w:sz w:val="18"/>
          <w:szCs w:val="18"/>
          <w:lang w:val="en-US"/>
        </w:rPr>
        <w:t>. (Bandung: CV Harfa Creative: 2023), 6.</w:t>
      </w:r>
    </w:p>
  </w:footnote>
  <w:footnote w:id="18">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Sirajuddin Saleh,</w:t>
      </w:r>
      <w:r>
        <w:rPr>
          <w:rFonts w:asciiTheme="majorBidi" w:hAnsiTheme="majorBidi" w:cstheme="majorBidi"/>
          <w:i/>
          <w:iCs/>
          <w:sz w:val="18"/>
          <w:szCs w:val="18"/>
          <w:lang w:val="en-US"/>
        </w:rPr>
        <w:t xml:space="preserve"> Analisis Data Kualitati</w:t>
      </w:r>
      <w:r>
        <w:rPr>
          <w:rFonts w:asciiTheme="majorBidi" w:hAnsiTheme="majorBidi" w:cstheme="majorBidi"/>
          <w:sz w:val="18"/>
          <w:szCs w:val="18"/>
          <w:lang w:val="en-US"/>
        </w:rPr>
        <w:t>f. (Pustaka Ramadhan, anung: 2017), 76.</w:t>
      </w:r>
    </w:p>
  </w:footnote>
  <w:footnote w:id="19">
    <w:p>
      <w:pPr>
        <w:pStyle w:val="8"/>
        <w:ind w:firstLine="437" w:firstLineChars="243"/>
        <w:contextualSpacing/>
        <w:jc w:val="both"/>
        <w:rPr>
          <w:rFonts w:asciiTheme="majorBidi" w:hAnsiTheme="majorBidi" w:cstheme="majorBidi"/>
          <w:sz w:val="18"/>
          <w:szCs w:val="18"/>
          <w:lang w:val="it-IT"/>
        </w:rPr>
      </w:pPr>
      <w:r>
        <w:rPr>
          <w:rStyle w:val="17"/>
          <w:rFonts w:asciiTheme="majorBidi" w:hAnsiTheme="majorBidi" w:cstheme="majorBidi"/>
          <w:sz w:val="18"/>
          <w:szCs w:val="18"/>
        </w:rPr>
        <w:footnoteRef/>
      </w:r>
      <w:r>
        <w:rPr>
          <w:rFonts w:asciiTheme="majorBidi" w:hAnsiTheme="majorBidi" w:cstheme="majorBidi"/>
          <w:sz w:val="18"/>
          <w:szCs w:val="18"/>
        </w:rPr>
        <w:t xml:space="preserve"> Anang Priyanto, </w:t>
      </w:r>
      <w:r>
        <w:rPr>
          <w:rFonts w:asciiTheme="majorBidi" w:hAnsiTheme="majorBidi" w:cstheme="majorBidi"/>
          <w:i/>
          <w:iCs/>
          <w:sz w:val="18"/>
          <w:szCs w:val="18"/>
        </w:rPr>
        <w:t>Hukum Acara Pidana Indonesia</w:t>
      </w:r>
      <w:r>
        <w:rPr>
          <w:rFonts w:asciiTheme="majorBidi" w:hAnsiTheme="majorBidi" w:cstheme="majorBidi"/>
          <w:sz w:val="18"/>
          <w:szCs w:val="18"/>
        </w:rPr>
        <w:t>, (Yogyakarta: Ombak, 2012),  138.</w:t>
      </w:r>
    </w:p>
  </w:footnote>
  <w:footnote w:id="2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Nisfu Sya‟ban,</w:t>
      </w:r>
      <w:r>
        <w:rPr>
          <w:rFonts w:asciiTheme="majorBidi" w:hAnsiTheme="majorBidi" w:cstheme="majorBidi"/>
          <w:sz w:val="18"/>
          <w:szCs w:val="18"/>
          <w:lang w:val="en-US"/>
        </w:rPr>
        <w:t xml:space="preserve"> </w:t>
      </w:r>
      <w:r>
        <w:rPr>
          <w:rFonts w:asciiTheme="majorBidi" w:hAnsiTheme="majorBidi" w:cstheme="majorBidi"/>
          <w:i/>
          <w:iCs/>
          <w:sz w:val="18"/>
          <w:szCs w:val="18"/>
        </w:rPr>
        <w:t>Hak Presiden Dalam Memberi Grasi, Amnesti, dan Rehabilitasi</w:t>
      </w:r>
      <w:r>
        <w:rPr>
          <w:rFonts w:asciiTheme="majorBidi" w:hAnsiTheme="majorBidi" w:cstheme="majorBidi"/>
          <w:sz w:val="18"/>
          <w:szCs w:val="18"/>
        </w:rPr>
        <w:t>,</w:t>
      </w:r>
      <w:r>
        <w:rPr>
          <w:rFonts w:asciiTheme="majorBidi" w:hAnsiTheme="majorBidi" w:cstheme="majorBidi"/>
          <w:sz w:val="18"/>
          <w:szCs w:val="18"/>
          <w:lang w:val="it-IT"/>
        </w:rPr>
        <w:t xml:space="preserve"> </w:t>
      </w:r>
      <w:r>
        <w:rPr>
          <w:rFonts w:asciiTheme="majorBidi" w:hAnsiTheme="majorBidi" w:cstheme="majorBidi"/>
          <w:sz w:val="18"/>
          <w:szCs w:val="18"/>
        </w:rPr>
        <w:t>Skripsi, Jakarta: Universitas Indonesia , 2014</w:t>
      </w:r>
    </w:p>
  </w:footnote>
  <w:footnote w:id="2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Dhian Deliani, </w:t>
      </w:r>
      <w:r>
        <w:rPr>
          <w:rFonts w:asciiTheme="majorBidi" w:hAnsiTheme="majorBidi" w:cstheme="majorBidi"/>
          <w:i/>
          <w:iCs/>
          <w:sz w:val="18"/>
          <w:szCs w:val="18"/>
        </w:rPr>
        <w:t>Pelaksanaan Kekuasaan</w:t>
      </w:r>
      <w:r>
        <w:rPr>
          <w:rFonts w:asciiTheme="majorBidi" w:hAnsiTheme="majorBidi" w:cstheme="majorBidi"/>
          <w:sz w:val="18"/>
          <w:szCs w:val="18"/>
        </w:rPr>
        <w:t>, 105.</w:t>
      </w:r>
    </w:p>
  </w:footnote>
  <w:footnote w:id="22">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Departemen Agama RI, </w:t>
      </w:r>
      <w:r>
        <w:rPr>
          <w:rFonts w:asciiTheme="majorBidi" w:hAnsiTheme="majorBidi" w:cstheme="majorBidi"/>
          <w:i/>
          <w:iCs/>
          <w:sz w:val="18"/>
          <w:szCs w:val="18"/>
        </w:rPr>
        <w:t>"Al Qur'an dan Terjemah Special For Woman",</w:t>
      </w:r>
      <w:r>
        <w:rPr>
          <w:rFonts w:asciiTheme="majorBidi" w:hAnsiTheme="majorBidi" w:cstheme="majorBidi"/>
          <w:i/>
          <w:iCs/>
          <w:sz w:val="18"/>
          <w:szCs w:val="18"/>
          <w:lang w:val="en-US"/>
        </w:rPr>
        <w:t xml:space="preserve"> </w:t>
      </w:r>
      <w:r>
        <w:rPr>
          <w:rFonts w:asciiTheme="majorBidi" w:hAnsiTheme="majorBidi" w:cstheme="majorBidi"/>
          <w:sz w:val="18"/>
          <w:szCs w:val="18"/>
        </w:rPr>
        <w:t>Al</w:t>
      </w:r>
      <w:r>
        <w:rPr>
          <w:rFonts w:asciiTheme="majorBidi" w:hAnsiTheme="majorBidi" w:cstheme="majorBidi"/>
          <w:sz w:val="18"/>
          <w:szCs w:val="18"/>
          <w:lang w:val="en-US"/>
        </w:rPr>
        <w:t>-baqarah</w:t>
      </w:r>
      <w:r>
        <w:rPr>
          <w:rFonts w:asciiTheme="majorBidi" w:hAnsiTheme="majorBidi" w:cstheme="majorBidi"/>
          <w:sz w:val="18"/>
          <w:szCs w:val="18"/>
        </w:rPr>
        <w:t>:</w:t>
      </w:r>
      <w:r>
        <w:rPr>
          <w:rFonts w:asciiTheme="majorBidi" w:hAnsiTheme="majorBidi" w:cstheme="majorBidi"/>
          <w:sz w:val="18"/>
          <w:szCs w:val="18"/>
          <w:lang w:val="en-US"/>
        </w:rPr>
        <w:t>219</w:t>
      </w:r>
      <w:r>
        <w:rPr>
          <w:rFonts w:asciiTheme="majorBidi" w:hAnsiTheme="majorBidi" w:cstheme="majorBidi"/>
          <w:sz w:val="18"/>
          <w:szCs w:val="18"/>
        </w:rPr>
        <w:t xml:space="preserve">, (PT Sygma: 2009), </w:t>
      </w:r>
      <w:r>
        <w:rPr>
          <w:rFonts w:asciiTheme="majorBidi" w:hAnsiTheme="majorBidi" w:cstheme="majorBidi"/>
          <w:sz w:val="18"/>
          <w:szCs w:val="18"/>
          <w:lang w:val="en-US"/>
        </w:rPr>
        <w:t>38</w:t>
      </w:r>
    </w:p>
  </w:footnote>
  <w:footnote w:id="23">
    <w:p>
      <w:pPr>
        <w:pStyle w:val="8"/>
        <w:snapToGrid w:val="0"/>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Wahabah al-Zahuili, </w:t>
      </w:r>
      <w:r>
        <w:rPr>
          <w:rFonts w:eastAsia="SimSun" w:asciiTheme="majorBidi" w:hAnsiTheme="majorBidi" w:cstheme="majorBidi"/>
          <w:i/>
          <w:iCs/>
          <w:sz w:val="18"/>
          <w:szCs w:val="18"/>
        </w:rPr>
        <w:t>Fiqih Islam Wa Adillatuhu</w:t>
      </w:r>
      <w:r>
        <w:rPr>
          <w:rFonts w:eastAsia="SimSun" w:asciiTheme="majorBidi" w:hAnsiTheme="majorBidi" w:cstheme="majorBidi"/>
          <w:sz w:val="18"/>
          <w:szCs w:val="18"/>
        </w:rPr>
        <w:t>,(Jakarta: Gema Insan dan Darul Fikri, 2007), cet. ke- 10, h. 454</w:t>
      </w:r>
    </w:p>
  </w:footnote>
  <w:footnote w:id="24">
    <w:p>
      <w:pPr>
        <w:pStyle w:val="8"/>
        <w:snapToGrid w:val="0"/>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Nur Riani Zuhroni dan Nirwan Nazaruddin, 2003. </w:t>
      </w:r>
      <w:r>
        <w:rPr>
          <w:rFonts w:eastAsia="SimSun" w:asciiTheme="majorBidi" w:hAnsiTheme="majorBidi" w:cstheme="majorBidi"/>
          <w:i/>
          <w:iCs/>
          <w:sz w:val="18"/>
          <w:szCs w:val="18"/>
        </w:rPr>
        <w:t xml:space="preserve">Islam untuk Disiplin </w:t>
      </w:r>
      <w:r>
        <w:rPr>
          <w:rFonts w:eastAsia="SimSun" w:asciiTheme="majorBidi" w:hAnsiTheme="majorBidi" w:cstheme="majorBidi"/>
          <w:i/>
          <w:iCs/>
          <w:sz w:val="18"/>
          <w:szCs w:val="18"/>
          <w:lang w:val="en-US"/>
        </w:rPr>
        <w:t xml:space="preserve">ilmu </w:t>
      </w:r>
      <w:r>
        <w:rPr>
          <w:rFonts w:eastAsia="SimSun" w:asciiTheme="majorBidi" w:hAnsiTheme="majorBidi" w:cstheme="majorBidi"/>
          <w:i/>
          <w:iCs/>
          <w:sz w:val="18"/>
          <w:szCs w:val="18"/>
        </w:rPr>
        <w:t>Kesehatan dan Kedokteran 2 Fiqh Kontemporer</w:t>
      </w:r>
      <w:r>
        <w:rPr>
          <w:rFonts w:eastAsia="SimSun" w:asciiTheme="majorBidi" w:hAnsiTheme="majorBidi" w:cstheme="majorBidi"/>
          <w:sz w:val="18"/>
          <w:szCs w:val="18"/>
        </w:rPr>
        <w:t xml:space="preserve">. </w:t>
      </w:r>
      <w:r>
        <w:rPr>
          <w:rFonts w:eastAsia="SimSun" w:asciiTheme="majorBidi" w:hAnsiTheme="majorBidi" w:cstheme="majorBidi"/>
          <w:sz w:val="18"/>
          <w:szCs w:val="18"/>
          <w:lang w:val="en-US"/>
        </w:rPr>
        <w:t>(</w:t>
      </w:r>
      <w:r>
        <w:rPr>
          <w:rFonts w:eastAsia="SimSun" w:asciiTheme="majorBidi" w:hAnsiTheme="majorBidi" w:cstheme="majorBidi"/>
          <w:sz w:val="18"/>
          <w:szCs w:val="18"/>
        </w:rPr>
        <w:t>Jakarta: Direktorat Jenderal Kelembagaan Departemen Agama Rl</w:t>
      </w:r>
      <w:r>
        <w:rPr>
          <w:rFonts w:eastAsia="SimSun" w:asciiTheme="majorBidi" w:hAnsiTheme="majorBidi" w:cstheme="majorBidi"/>
          <w:sz w:val="18"/>
          <w:szCs w:val="18"/>
          <w:lang w:val="en-US"/>
        </w:rPr>
        <w:t>)</w:t>
      </w:r>
      <w:r>
        <w:rPr>
          <w:rFonts w:eastAsia="SimSun" w:asciiTheme="majorBidi" w:hAnsiTheme="majorBidi" w:cstheme="majorBidi"/>
          <w:sz w:val="18"/>
          <w:szCs w:val="18"/>
        </w:rPr>
        <w:t xml:space="preserve">,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215</w:t>
      </w:r>
    </w:p>
  </w:footnote>
  <w:footnote w:id="25">
    <w:p>
      <w:pPr>
        <w:pStyle w:val="8"/>
        <w:snapToGrid w:val="0"/>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Cnn Indonesia. </w:t>
      </w:r>
      <w:r>
        <w:rPr>
          <w:rFonts w:asciiTheme="majorBidi" w:hAnsiTheme="majorBidi" w:cstheme="majorBidi"/>
          <w:i/>
          <w:iCs/>
          <w:sz w:val="18"/>
          <w:szCs w:val="18"/>
          <w:lang w:val="en-US"/>
        </w:rPr>
        <w:t>Jejak Kasus MU, Teridana Mati Dapat Grasi Dari Jokowi.</w:t>
      </w:r>
      <w:r>
        <w:rPr>
          <w:rFonts w:asciiTheme="majorBidi" w:hAnsiTheme="majorBidi" w:cstheme="majorBidi"/>
          <w:sz w:val="18"/>
          <w:szCs w:val="18"/>
          <w:lang w:val="en-US"/>
        </w:rPr>
        <w:t xml:space="preserve"> </w:t>
      </w:r>
      <w:r>
        <w:fldChar w:fldCharType="begin"/>
      </w:r>
      <w:r>
        <w:instrText xml:space="preserve"> HYPERLINK "https://www.cnnindonesia.com/nasional/20230414134529-12-937775/jejak-kasus-merri-utami-terpidana-mati-dapat-grasi-dari-jokowi" </w:instrText>
      </w:r>
      <w:r>
        <w:fldChar w:fldCharType="separate"/>
      </w:r>
      <w:r>
        <w:rPr>
          <w:rStyle w:val="18"/>
          <w:rFonts w:asciiTheme="majorBidi" w:hAnsiTheme="majorBidi" w:cstheme="majorBidi"/>
          <w:sz w:val="18"/>
          <w:szCs w:val="18"/>
          <w:u w:val="none"/>
          <w:lang w:val="en-US"/>
        </w:rPr>
        <w:t>https://www.cnnindonesia.com/nasional/20230414134529-12-937775/jejak-kasus-merri-utami-terpidana-mati-dapat-grasi-dari-jokowi</w:t>
      </w:r>
      <w:r>
        <w:rPr>
          <w:rStyle w:val="18"/>
          <w:rFonts w:asciiTheme="majorBidi" w:hAnsiTheme="majorBidi" w:cstheme="majorBidi"/>
          <w:sz w:val="18"/>
          <w:szCs w:val="18"/>
          <w:u w:val="none"/>
          <w:lang w:val="en-US"/>
        </w:rPr>
        <w:fldChar w:fldCharType="end"/>
      </w:r>
      <w:r>
        <w:rPr>
          <w:rStyle w:val="18"/>
          <w:rFonts w:asciiTheme="majorBidi" w:hAnsiTheme="majorBidi" w:cstheme="majorBidi"/>
          <w:sz w:val="18"/>
          <w:szCs w:val="18"/>
          <w:u w:val="none"/>
          <w:lang w:val="en-US"/>
        </w:rPr>
        <w:t>,</w:t>
      </w:r>
      <w:r>
        <w:rPr>
          <w:rStyle w:val="18"/>
          <w:rFonts w:asciiTheme="majorBidi" w:hAnsiTheme="majorBidi" w:cstheme="majorBidi"/>
          <w:color w:val="auto"/>
          <w:sz w:val="18"/>
          <w:szCs w:val="18"/>
          <w:u w:val="none"/>
          <w:lang w:val="en-US"/>
        </w:rPr>
        <w:t xml:space="preserve"> di </w:t>
      </w:r>
      <w:r>
        <w:rPr>
          <w:rFonts w:asciiTheme="majorBidi" w:hAnsiTheme="majorBidi" w:cstheme="majorBidi"/>
          <w:sz w:val="18"/>
          <w:szCs w:val="18"/>
          <w:lang w:val="en-US"/>
        </w:rPr>
        <w:t>akses pada 13:38 WIB 11 Februari 2025)</w:t>
      </w:r>
    </w:p>
  </w:footnote>
  <w:footnote w:id="2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Nurul Irfan dan Masyrofah, </w:t>
      </w:r>
      <w:r>
        <w:rPr>
          <w:rFonts w:eastAsia="SimSun" w:asciiTheme="majorBidi" w:hAnsiTheme="majorBidi" w:cstheme="majorBidi"/>
          <w:i/>
          <w:iCs/>
          <w:sz w:val="18"/>
          <w:szCs w:val="18"/>
        </w:rPr>
        <w:t>Fiqh Jinayah</w:t>
      </w:r>
      <w:r>
        <w:rPr>
          <w:rFonts w:eastAsia="SimSun" w:asciiTheme="majorBidi" w:hAnsiTheme="majorBidi" w:cstheme="majorBidi"/>
          <w:i/>
          <w:iCs/>
          <w:sz w:val="18"/>
          <w:szCs w:val="18"/>
          <w:lang w:val="en-US"/>
        </w:rPr>
        <w:t xml:space="preserve"> </w:t>
      </w:r>
      <w:r>
        <w:rPr>
          <w:rFonts w:eastAsia="SimSun" w:asciiTheme="majorBidi" w:hAnsiTheme="majorBidi" w:cstheme="majorBidi"/>
          <w:i w:val="0"/>
          <w:iCs w:val="0"/>
          <w:sz w:val="18"/>
          <w:szCs w:val="18"/>
          <w:lang w:val="en-US"/>
        </w:rPr>
        <w:t>(Jakarta, Amzah:2016)</w:t>
      </w:r>
      <w:r>
        <w:rPr>
          <w:rFonts w:eastAsia="SimSun" w:asciiTheme="majorBidi" w:hAnsiTheme="majorBidi" w:cstheme="majorBidi"/>
          <w:i/>
          <w:iCs/>
          <w:sz w:val="18"/>
          <w:szCs w:val="18"/>
        </w:rPr>
        <w:t>,</w:t>
      </w:r>
      <w:r>
        <w:rPr>
          <w:rFonts w:eastAsia="SimSun" w:asciiTheme="majorBidi" w:hAnsiTheme="majorBidi" w:cstheme="majorBidi"/>
          <w:i/>
          <w:iCs/>
          <w:sz w:val="18"/>
          <w:szCs w:val="18"/>
          <w:lang w:val="en-US"/>
        </w:rPr>
        <w:t xml:space="preserve">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172</w:t>
      </w:r>
    </w:p>
  </w:footnote>
  <w:footnote w:id="27">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T. Baasher, </w:t>
      </w:r>
      <w:r>
        <w:rPr>
          <w:rFonts w:eastAsia="SimSun" w:asciiTheme="majorBidi" w:hAnsiTheme="majorBidi" w:cstheme="majorBidi"/>
          <w:i/>
          <w:iCs/>
          <w:sz w:val="18"/>
          <w:szCs w:val="18"/>
        </w:rPr>
        <w:t>The Use of Drugs in the Islamic World,</w:t>
      </w:r>
      <w:r>
        <w:rPr>
          <w:rFonts w:eastAsia="SimSun" w:asciiTheme="majorBidi" w:hAnsiTheme="majorBidi" w:cstheme="majorBidi"/>
          <w:sz w:val="18"/>
          <w:szCs w:val="18"/>
        </w:rPr>
        <w:t xml:space="preserve"> Addiction, Vol. 76 No. 3 Tahun 1981,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233–243.</w:t>
      </w:r>
    </w:p>
  </w:footnote>
  <w:footnote w:id="2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Kazem Mirzaei Nejad, Seyed Hossein Hashemi,</w:t>
      </w:r>
      <w:r>
        <w:rPr>
          <w:rFonts w:eastAsia="SimSun" w:asciiTheme="majorBidi" w:hAnsiTheme="majorBidi" w:cstheme="majorBidi"/>
          <w:i/>
          <w:iCs/>
          <w:sz w:val="18"/>
          <w:szCs w:val="18"/>
        </w:rPr>
        <w:t xml:space="preserve"> Status of Narcotic Drugs in Islamic Jurisprudence and Foundations of Islamic Laws,</w:t>
      </w:r>
      <w:r>
        <w:rPr>
          <w:rFonts w:eastAsia="SimSun" w:asciiTheme="majorBidi" w:hAnsiTheme="majorBidi" w:cstheme="majorBidi"/>
          <w:sz w:val="18"/>
          <w:szCs w:val="18"/>
        </w:rPr>
        <w:t xml:space="preserve"> (Beijing Law Review, Vol. 9 No. 3),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406.</w:t>
      </w:r>
    </w:p>
  </w:footnote>
  <w:footnote w:id="2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R. L. Miller, </w:t>
      </w:r>
      <w:r>
        <w:rPr>
          <w:rFonts w:eastAsia="SimSun" w:asciiTheme="majorBidi" w:hAnsiTheme="majorBidi" w:cstheme="majorBidi"/>
          <w:i/>
          <w:iCs/>
          <w:sz w:val="18"/>
          <w:szCs w:val="18"/>
        </w:rPr>
        <w:t>Encyclopedia of Addictive Medicines (Ashkan Pashangzadeh, Trans.</w:t>
      </w:r>
      <w:r>
        <w:rPr>
          <w:rFonts w:eastAsia="SimSun" w:asciiTheme="majorBidi" w:hAnsiTheme="majorBidi" w:cstheme="majorBidi"/>
          <w:sz w:val="18"/>
          <w:szCs w:val="18"/>
        </w:rPr>
        <w:t>). (Tehran: Jahad Daneshgahi, Publication Organization, 2014).</w:t>
      </w:r>
    </w:p>
  </w:footnote>
  <w:footnote w:id="3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Vivi Ariyanti, </w:t>
      </w:r>
      <w:r>
        <w:rPr>
          <w:rFonts w:eastAsia="SimSun" w:asciiTheme="majorBidi" w:hAnsiTheme="majorBidi" w:cstheme="majorBidi"/>
          <w:i/>
          <w:iCs/>
          <w:sz w:val="18"/>
          <w:szCs w:val="18"/>
        </w:rPr>
        <w:t>Kedudukan Korban Penyalahgunaan Narkotika Dalam Hukum Pidana Indonesia Dan Hukum Pidana Islam,</w:t>
      </w:r>
      <w:r>
        <w:rPr>
          <w:rFonts w:eastAsia="SimSun" w:asciiTheme="majorBidi" w:hAnsiTheme="majorBidi" w:cstheme="majorBidi"/>
          <w:sz w:val="18"/>
          <w:szCs w:val="18"/>
        </w:rPr>
        <w:t xml:space="preserve"> (Jurnal Al Manahij Vol. XI No. 2, 2017),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257-258.</w:t>
      </w:r>
    </w:p>
  </w:footnote>
  <w:footnote w:id="31">
    <w:p>
      <w:pPr>
        <w:pStyle w:val="8"/>
        <w:snapToGrid w:val="0"/>
        <w:ind w:firstLine="439" w:firstLineChars="244"/>
        <w:rPr>
          <w:rFonts w:ascii="Times New Roman" w:hAnsi="Times New Roman" w:cs="Times New Roman"/>
          <w:sz w:val="18"/>
          <w:szCs w:val="18"/>
          <w:lang w:val="en-US"/>
        </w:rPr>
      </w:pPr>
      <w:r>
        <w:rPr>
          <w:rStyle w:val="17"/>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Pasal 1 UU Nomor 35 Tahun 2009</w:t>
      </w:r>
    </w:p>
  </w:footnote>
  <w:footnote w:id="3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Dedi (Humas BNN), </w:t>
      </w:r>
      <w:r>
        <w:rPr>
          <w:rFonts w:asciiTheme="majorBidi" w:hAnsiTheme="majorBidi" w:cstheme="majorBidi"/>
          <w:i/>
          <w:iCs/>
          <w:sz w:val="18"/>
          <w:szCs w:val="18"/>
        </w:rPr>
        <w:t xml:space="preserve">Sejarah Singkat Narkoba. </w:t>
      </w:r>
      <w:r>
        <w:fldChar w:fldCharType="begin"/>
      </w:r>
      <w:r>
        <w:instrText xml:space="preserve"> HYPERLINK "https://dedihumas.bnn.go.id/read/section/artikel/2011/10/31/189/sejarah-singkat-narkoba" </w:instrText>
      </w:r>
      <w:r>
        <w:fldChar w:fldCharType="separate"/>
      </w:r>
      <w:r>
        <w:rPr>
          <w:rStyle w:val="18"/>
          <w:rFonts w:asciiTheme="majorBidi" w:hAnsiTheme="majorBidi" w:cstheme="majorBidi"/>
          <w:sz w:val="18"/>
          <w:szCs w:val="18"/>
          <w:u w:val="none"/>
        </w:rPr>
        <w:t>https://dedihumas.bnn.go.id/read/section/artikel/2011/10/31/189/sejarah-singkat-narkoba</w:t>
      </w:r>
      <w:r>
        <w:rPr>
          <w:rStyle w:val="18"/>
          <w:rFonts w:asciiTheme="majorBidi" w:hAnsiTheme="majorBidi" w:cstheme="majorBidi"/>
          <w:sz w:val="18"/>
          <w:szCs w:val="18"/>
          <w:u w:val="none"/>
        </w:rPr>
        <w:fldChar w:fldCharType="end"/>
      </w:r>
      <w:r>
        <w:rPr>
          <w:rStyle w:val="18"/>
          <w:rFonts w:asciiTheme="majorBidi" w:hAnsiTheme="majorBidi" w:cstheme="majorBidi"/>
          <w:sz w:val="18"/>
          <w:szCs w:val="18"/>
          <w:u w:val="none"/>
          <w:lang w:val="en-US"/>
        </w:rPr>
        <w:t xml:space="preserve">, </w:t>
      </w:r>
      <w:r>
        <w:rPr>
          <w:rFonts w:asciiTheme="majorBidi" w:hAnsiTheme="majorBidi" w:cstheme="majorBidi"/>
          <w:sz w:val="18"/>
          <w:szCs w:val="18"/>
        </w:rPr>
        <w:t>di akses pada 12 januari 2025 pukul 08:14 WIB</w:t>
      </w:r>
      <w:r>
        <w:rPr>
          <w:rFonts w:asciiTheme="majorBidi" w:hAnsiTheme="majorBidi" w:cstheme="majorBidi"/>
          <w:sz w:val="18"/>
          <w:szCs w:val="18"/>
          <w:lang w:val="en-US"/>
        </w:rPr>
        <w:t>.</w:t>
      </w:r>
    </w:p>
    <w:p>
      <w:pPr>
        <w:pStyle w:val="8"/>
        <w:ind w:firstLine="437" w:firstLineChars="243"/>
        <w:contextualSpacing/>
        <w:jc w:val="both"/>
        <w:rPr>
          <w:rFonts w:asciiTheme="majorBidi" w:hAnsiTheme="majorBidi" w:cstheme="majorBidi"/>
          <w:sz w:val="18"/>
          <w:szCs w:val="18"/>
        </w:rPr>
      </w:pPr>
    </w:p>
  </w:footnote>
  <w:footnote w:id="33">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Ahmad Reki, </w:t>
      </w:r>
      <w:r>
        <w:rPr>
          <w:rFonts w:eastAsia="SimSun" w:asciiTheme="majorBidi" w:hAnsiTheme="majorBidi" w:cstheme="majorBidi"/>
          <w:i/>
          <w:iCs/>
          <w:sz w:val="18"/>
          <w:szCs w:val="18"/>
        </w:rPr>
        <w:t xml:space="preserve">Strategi Kepala Desa Seri Kembang I Kecamatatan Payaraman Kabupaten Ogan Ilir Dan Polres Ogan Ilir Dalam Menaggulangi Penyalahgunaan Narkoba Pada Orgen Tunggal House </w:t>
      </w:r>
      <w:r>
        <w:rPr>
          <w:rFonts w:eastAsia="SimSun" w:asciiTheme="majorBidi" w:hAnsiTheme="majorBidi" w:cstheme="majorBidi"/>
          <w:i/>
          <w:iCs/>
          <w:sz w:val="18"/>
          <w:szCs w:val="18"/>
          <w:lang w:val="en-US"/>
        </w:rPr>
        <w:t xml:space="preserve">MU </w:t>
      </w:r>
      <w:r>
        <w:rPr>
          <w:rFonts w:eastAsia="SimSun" w:asciiTheme="majorBidi" w:hAnsiTheme="majorBidi" w:cstheme="majorBidi"/>
          <w:i/>
          <w:iCs/>
          <w:sz w:val="18"/>
          <w:szCs w:val="18"/>
        </w:rPr>
        <w:t>sic</w:t>
      </w:r>
      <w:r>
        <w:rPr>
          <w:rFonts w:eastAsia="SimSun" w:asciiTheme="majorBidi" w:hAnsiTheme="majorBidi" w:cstheme="majorBidi"/>
          <w:sz w:val="18"/>
          <w:szCs w:val="18"/>
        </w:rPr>
        <w:t>, (Skripsi, Universitas Islam Negeri Raden Fatah Palembang, 2018).</w:t>
      </w:r>
    </w:p>
  </w:footnote>
  <w:footnote w:id="34">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Dewi Iriani, </w:t>
      </w:r>
      <w:r>
        <w:rPr>
          <w:rFonts w:eastAsia="SimSun" w:asciiTheme="majorBidi" w:hAnsiTheme="majorBidi" w:cstheme="majorBidi"/>
          <w:i/>
          <w:iCs/>
          <w:sz w:val="18"/>
          <w:szCs w:val="18"/>
        </w:rPr>
        <w:t>Kejahatan Narkoba:</w:t>
      </w:r>
      <w:r>
        <w:rPr>
          <w:rFonts w:eastAsia="SimSun" w:asciiTheme="majorBidi" w:hAnsiTheme="majorBidi" w:cstheme="majorBidi"/>
          <w:sz w:val="18"/>
          <w:szCs w:val="18"/>
        </w:rPr>
        <w:t xml:space="preserve"> P</w:t>
      </w:r>
      <w:r>
        <w:rPr>
          <w:rFonts w:eastAsia="SimSun" w:asciiTheme="majorBidi" w:hAnsiTheme="majorBidi" w:cstheme="majorBidi"/>
          <w:i/>
          <w:iCs/>
          <w:sz w:val="18"/>
          <w:szCs w:val="18"/>
        </w:rPr>
        <w:t>enanggulangan, Pencegahan dan Penerapan Hukuman Mati</w:t>
      </w:r>
      <w:r>
        <w:rPr>
          <w:rFonts w:eastAsia="SimSun" w:asciiTheme="majorBidi" w:hAnsiTheme="majorBidi" w:cstheme="majorBidi"/>
          <w:sz w:val="18"/>
          <w:szCs w:val="18"/>
        </w:rPr>
        <w:t xml:space="preserve">, (Justitila Islamica, Vol 12 No. 2, 2015), Jurnal.iainponorogo.ac.id </w:t>
      </w:r>
      <w:r>
        <w:rPr>
          <w:rFonts w:eastAsia="SimSun" w:asciiTheme="majorBidi" w:hAnsiTheme="majorBidi" w:cstheme="majorBidi"/>
          <w:sz w:val="18"/>
          <w:szCs w:val="18"/>
          <w:lang w:val="en-US"/>
        </w:rPr>
        <w:t>h.</w:t>
      </w:r>
      <w:r>
        <w:rPr>
          <w:rFonts w:eastAsia="SimSun" w:asciiTheme="majorBidi" w:hAnsiTheme="majorBidi" w:cstheme="majorBidi"/>
          <w:sz w:val="18"/>
          <w:szCs w:val="18"/>
        </w:rPr>
        <w:t>316-317.</w:t>
      </w:r>
    </w:p>
  </w:footnote>
  <w:footnote w:id="35">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Undang-Undang</w:t>
      </w:r>
      <w:r>
        <w:rPr>
          <w:rFonts w:asciiTheme="majorBidi" w:hAnsiTheme="majorBidi" w:cstheme="majorBidi"/>
          <w:sz w:val="18"/>
          <w:szCs w:val="18"/>
        </w:rPr>
        <w:t xml:space="preserve"> No 35 Tahun 2009 Tentang Narkotika</w:t>
      </w:r>
    </w:p>
  </w:footnote>
  <w:footnote w:id="3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Departemen Agama RI, </w:t>
      </w:r>
      <w:r>
        <w:rPr>
          <w:rFonts w:asciiTheme="majorBidi" w:hAnsiTheme="majorBidi" w:cstheme="majorBidi"/>
          <w:i/>
          <w:iCs/>
          <w:sz w:val="18"/>
          <w:szCs w:val="18"/>
        </w:rPr>
        <w:t>"Al Qur'an dan Terjemah Special For Woman",</w:t>
      </w:r>
      <w:r>
        <w:rPr>
          <w:rFonts w:asciiTheme="majorBidi" w:hAnsiTheme="majorBidi" w:cstheme="majorBidi"/>
          <w:sz w:val="18"/>
          <w:szCs w:val="18"/>
        </w:rPr>
        <w:t xml:space="preserve"> Al Baqarah: 237, (PT Sygma: 2009), </w:t>
      </w:r>
      <w:r>
        <w:rPr>
          <w:rFonts w:asciiTheme="majorBidi" w:hAnsiTheme="majorBidi" w:cstheme="majorBidi"/>
          <w:sz w:val="18"/>
          <w:szCs w:val="18"/>
          <w:lang w:val="en-US"/>
        </w:rPr>
        <w:t>h.</w:t>
      </w:r>
      <w:r>
        <w:rPr>
          <w:rFonts w:asciiTheme="majorBidi" w:hAnsiTheme="majorBidi" w:cstheme="majorBidi"/>
          <w:sz w:val="18"/>
          <w:szCs w:val="18"/>
        </w:rPr>
        <w:t>38</w:t>
      </w:r>
    </w:p>
  </w:footnote>
  <w:footnote w:id="37">
    <w:p>
      <w:pPr>
        <w:pStyle w:val="8"/>
        <w:snapToGrid w:val="0"/>
        <w:ind w:left="161" w:leftChars="73" w:firstLine="277" w:firstLineChars="154"/>
        <w:rPr>
          <w:rFonts w:ascii="Times New Roman" w:hAnsi="Times New Roman" w:cs="Times New Roman"/>
          <w:i/>
          <w:spacing w:val="-5"/>
          <w:sz w:val="18"/>
          <w:szCs w:val="18"/>
        </w:rPr>
      </w:pPr>
      <w:r>
        <w:rPr>
          <w:rStyle w:val="17"/>
          <w:rFonts w:ascii="Times New Roman" w:hAnsi="Times New Roman" w:cs="Times New Roman"/>
          <w:sz w:val="18"/>
          <w:szCs w:val="18"/>
        </w:rPr>
        <w:footnoteRef/>
      </w:r>
      <w:r>
        <w:rPr>
          <w:rFonts w:ascii="Times New Roman" w:hAnsi="Times New Roman" w:cs="Times New Roman"/>
          <w:sz w:val="18"/>
          <w:szCs w:val="18"/>
        </w:rPr>
        <w:t xml:space="preserve"> Devi</w:t>
      </w:r>
      <w:r>
        <w:rPr>
          <w:rFonts w:ascii="Times New Roman" w:hAnsi="Times New Roman" w:cs="Times New Roman"/>
          <w:spacing w:val="-7"/>
          <w:sz w:val="18"/>
          <w:szCs w:val="18"/>
        </w:rPr>
        <w:t xml:space="preserve"> </w:t>
      </w:r>
      <w:r>
        <w:rPr>
          <w:rFonts w:ascii="Times New Roman" w:hAnsi="Times New Roman" w:cs="Times New Roman"/>
          <w:sz w:val="18"/>
          <w:szCs w:val="18"/>
        </w:rPr>
        <w:t>Yuliana</w:t>
      </w:r>
      <w:r>
        <w:rPr>
          <w:rFonts w:ascii="Times New Roman" w:hAnsi="Times New Roman" w:cs="Times New Roman"/>
          <w:spacing w:val="-3"/>
          <w:sz w:val="18"/>
          <w:szCs w:val="18"/>
        </w:rPr>
        <w:t xml:space="preserve"> </w:t>
      </w:r>
      <w:r>
        <w:rPr>
          <w:rFonts w:ascii="Times New Roman" w:hAnsi="Times New Roman" w:cs="Times New Roman"/>
          <w:sz w:val="18"/>
          <w:szCs w:val="18"/>
        </w:rPr>
        <w:t>Ashar,</w:t>
      </w:r>
      <w:r>
        <w:rPr>
          <w:rFonts w:ascii="Times New Roman" w:hAnsi="Times New Roman" w:cs="Times New Roman"/>
          <w:spacing w:val="-4"/>
          <w:sz w:val="18"/>
          <w:szCs w:val="18"/>
        </w:rPr>
        <w:t xml:space="preserve"> </w:t>
      </w:r>
      <w:r>
        <w:rPr>
          <w:rFonts w:ascii="Times New Roman" w:hAnsi="Times New Roman" w:cs="Times New Roman"/>
          <w:i/>
          <w:sz w:val="18"/>
          <w:szCs w:val="18"/>
        </w:rPr>
        <w:t>Kewenangan</w:t>
      </w:r>
      <w:r>
        <w:rPr>
          <w:rFonts w:ascii="Times New Roman" w:hAnsi="Times New Roman" w:cs="Times New Roman"/>
          <w:i/>
          <w:spacing w:val="-7"/>
          <w:sz w:val="18"/>
          <w:szCs w:val="18"/>
        </w:rPr>
        <w:t xml:space="preserve"> </w:t>
      </w:r>
      <w:r>
        <w:rPr>
          <w:rFonts w:ascii="Times New Roman" w:hAnsi="Times New Roman" w:cs="Times New Roman"/>
          <w:i/>
          <w:sz w:val="18"/>
          <w:szCs w:val="18"/>
        </w:rPr>
        <w:t>Presiden</w:t>
      </w:r>
      <w:r>
        <w:rPr>
          <w:rFonts w:ascii="Times New Roman" w:hAnsi="Times New Roman" w:cs="Times New Roman"/>
          <w:i/>
          <w:spacing w:val="-4"/>
          <w:sz w:val="18"/>
          <w:szCs w:val="18"/>
        </w:rPr>
        <w:t xml:space="preserve"> </w:t>
      </w:r>
      <w:r>
        <w:rPr>
          <w:rFonts w:ascii="Times New Roman" w:hAnsi="Times New Roman" w:cs="Times New Roman"/>
          <w:i/>
          <w:sz w:val="18"/>
          <w:szCs w:val="18"/>
        </w:rPr>
        <w:t>daam</w:t>
      </w:r>
      <w:r>
        <w:rPr>
          <w:rFonts w:ascii="Times New Roman" w:hAnsi="Times New Roman" w:cs="Times New Roman"/>
          <w:i/>
          <w:spacing w:val="-6"/>
          <w:sz w:val="18"/>
          <w:szCs w:val="18"/>
        </w:rPr>
        <w:t xml:space="preserve"> </w:t>
      </w:r>
      <w:r>
        <w:rPr>
          <w:rFonts w:ascii="Times New Roman" w:hAnsi="Times New Roman" w:cs="Times New Roman"/>
          <w:i/>
          <w:sz w:val="18"/>
          <w:szCs w:val="18"/>
        </w:rPr>
        <w:t>Pemberian</w:t>
      </w:r>
      <w:r>
        <w:rPr>
          <w:rFonts w:ascii="Times New Roman" w:hAnsi="Times New Roman" w:cs="Times New Roman"/>
          <w:i/>
          <w:spacing w:val="-5"/>
          <w:sz w:val="18"/>
          <w:szCs w:val="18"/>
        </w:rPr>
        <w:t xml:space="preserve"> </w:t>
      </w:r>
      <w:r>
        <w:rPr>
          <w:rFonts w:ascii="Times New Roman" w:hAnsi="Times New Roman" w:cs="Times New Roman"/>
          <w:i/>
          <w:sz w:val="18"/>
          <w:szCs w:val="18"/>
        </w:rPr>
        <w:t>Grasi,</w:t>
      </w:r>
      <w:r>
        <w:rPr>
          <w:rFonts w:ascii="Times New Roman" w:hAnsi="Times New Roman" w:cs="Times New Roman"/>
          <w:i/>
          <w:spacing w:val="-5"/>
          <w:sz w:val="18"/>
          <w:szCs w:val="18"/>
        </w:rPr>
        <w:t xml:space="preserve"> 34.</w:t>
      </w:r>
    </w:p>
  </w:footnote>
  <w:footnote w:id="3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i/>
          <w:spacing w:val="-2"/>
          <w:sz w:val="18"/>
          <w:szCs w:val="18"/>
        </w:rPr>
        <w:t>Ibid,…</w:t>
      </w:r>
    </w:p>
  </w:footnote>
  <w:footnote w:id="3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Ahmad</w:t>
      </w:r>
      <w:r>
        <w:rPr>
          <w:rFonts w:asciiTheme="majorBidi" w:hAnsiTheme="majorBidi" w:cstheme="majorBidi"/>
          <w:spacing w:val="-4"/>
          <w:sz w:val="18"/>
          <w:szCs w:val="18"/>
        </w:rPr>
        <w:t xml:space="preserve"> </w:t>
      </w:r>
      <w:r>
        <w:rPr>
          <w:rFonts w:asciiTheme="majorBidi" w:hAnsiTheme="majorBidi" w:cstheme="majorBidi"/>
          <w:sz w:val="18"/>
          <w:szCs w:val="18"/>
        </w:rPr>
        <w:t>Warson</w:t>
      </w:r>
      <w:r>
        <w:rPr>
          <w:rFonts w:asciiTheme="majorBidi" w:hAnsiTheme="majorBidi" w:cstheme="majorBidi"/>
          <w:spacing w:val="-6"/>
          <w:sz w:val="18"/>
          <w:szCs w:val="18"/>
        </w:rPr>
        <w:t xml:space="preserve"> </w:t>
      </w:r>
      <w:r>
        <w:rPr>
          <w:rFonts w:asciiTheme="majorBidi" w:hAnsiTheme="majorBidi" w:cstheme="majorBidi"/>
          <w:sz w:val="18"/>
          <w:szCs w:val="18"/>
          <w:lang w:val="en-US"/>
        </w:rPr>
        <w:t>Mu</w:t>
      </w:r>
      <w:r>
        <w:rPr>
          <w:rFonts w:asciiTheme="majorBidi" w:hAnsiTheme="majorBidi" w:cstheme="majorBidi"/>
          <w:sz w:val="18"/>
          <w:szCs w:val="18"/>
        </w:rPr>
        <w:t>nawwir,</w:t>
      </w:r>
      <w:r>
        <w:rPr>
          <w:rFonts w:asciiTheme="majorBidi" w:hAnsiTheme="majorBidi" w:cstheme="majorBidi"/>
          <w:spacing w:val="-2"/>
          <w:sz w:val="18"/>
          <w:szCs w:val="18"/>
        </w:rPr>
        <w:t xml:space="preserve"> </w:t>
      </w:r>
      <w:r>
        <w:rPr>
          <w:rFonts w:asciiTheme="majorBidi" w:hAnsiTheme="majorBidi" w:cstheme="majorBidi"/>
          <w:i/>
          <w:sz w:val="18"/>
          <w:szCs w:val="18"/>
          <w:lang w:val="en-US"/>
        </w:rPr>
        <w:t>kamu</w:t>
      </w:r>
      <w:r>
        <w:rPr>
          <w:rFonts w:asciiTheme="majorBidi" w:hAnsiTheme="majorBidi" w:cstheme="majorBidi"/>
          <w:i/>
          <w:sz w:val="18"/>
          <w:szCs w:val="18"/>
        </w:rPr>
        <w:t>s</w:t>
      </w:r>
      <w:r>
        <w:rPr>
          <w:rFonts w:asciiTheme="majorBidi" w:hAnsiTheme="majorBidi" w:cstheme="majorBidi"/>
          <w:i/>
          <w:spacing w:val="-6"/>
          <w:sz w:val="18"/>
          <w:szCs w:val="18"/>
        </w:rPr>
        <w:t xml:space="preserve"> </w:t>
      </w:r>
      <w:r>
        <w:rPr>
          <w:rFonts w:asciiTheme="majorBidi" w:hAnsiTheme="majorBidi" w:cstheme="majorBidi"/>
          <w:i/>
          <w:sz w:val="18"/>
          <w:szCs w:val="18"/>
        </w:rPr>
        <w:t>Al-</w:t>
      </w:r>
      <w:r>
        <w:rPr>
          <w:rFonts w:asciiTheme="majorBidi" w:hAnsiTheme="majorBidi" w:cstheme="majorBidi"/>
          <w:i/>
          <w:sz w:val="18"/>
          <w:szCs w:val="18"/>
          <w:lang w:val="en-US"/>
        </w:rPr>
        <w:t>Mu</w:t>
      </w:r>
      <w:r>
        <w:rPr>
          <w:rFonts w:asciiTheme="majorBidi" w:hAnsiTheme="majorBidi" w:cstheme="majorBidi"/>
          <w:i/>
          <w:sz w:val="18"/>
          <w:szCs w:val="18"/>
        </w:rPr>
        <w:t>nawwir</w:t>
      </w:r>
      <w:r>
        <w:rPr>
          <w:rFonts w:asciiTheme="majorBidi" w:hAnsiTheme="majorBidi" w:cstheme="majorBidi"/>
          <w:i/>
          <w:spacing w:val="-6"/>
          <w:sz w:val="18"/>
          <w:szCs w:val="18"/>
        </w:rPr>
        <w:t xml:space="preserve"> </w:t>
      </w:r>
      <w:r>
        <w:rPr>
          <w:rFonts w:asciiTheme="majorBidi" w:hAnsiTheme="majorBidi" w:cstheme="majorBidi"/>
          <w:i/>
          <w:sz w:val="18"/>
          <w:szCs w:val="18"/>
        </w:rPr>
        <w:t>Arab-Indonesia</w:t>
      </w:r>
      <w:r>
        <w:rPr>
          <w:rFonts w:asciiTheme="majorBidi" w:hAnsiTheme="majorBidi" w:cstheme="majorBidi"/>
          <w:i/>
          <w:spacing w:val="-5"/>
          <w:sz w:val="18"/>
          <w:szCs w:val="18"/>
        </w:rPr>
        <w:t xml:space="preserve"> </w:t>
      </w:r>
      <w:r>
        <w:rPr>
          <w:rFonts w:asciiTheme="majorBidi" w:hAnsiTheme="majorBidi" w:cstheme="majorBidi"/>
          <w:i/>
          <w:sz w:val="18"/>
          <w:szCs w:val="18"/>
        </w:rPr>
        <w:t>Terlengkap</w:t>
      </w:r>
      <w:r>
        <w:rPr>
          <w:rFonts w:asciiTheme="majorBidi" w:hAnsiTheme="majorBidi" w:cstheme="majorBidi"/>
          <w:sz w:val="18"/>
          <w:szCs w:val="18"/>
        </w:rPr>
        <w:t xml:space="preserve">, (Surabaya: Pustaka Progressif, 1997), </w:t>
      </w:r>
      <w:r>
        <w:rPr>
          <w:rFonts w:asciiTheme="majorBidi" w:hAnsiTheme="majorBidi" w:cstheme="majorBidi"/>
          <w:sz w:val="18"/>
          <w:szCs w:val="18"/>
          <w:lang w:val="en-US"/>
        </w:rPr>
        <w:t>h.</w:t>
      </w:r>
      <w:r>
        <w:rPr>
          <w:rFonts w:asciiTheme="majorBidi" w:hAnsiTheme="majorBidi" w:cstheme="majorBidi"/>
          <w:sz w:val="18"/>
          <w:szCs w:val="18"/>
        </w:rPr>
        <w:t>729.</w:t>
      </w:r>
    </w:p>
  </w:footnote>
  <w:footnote w:id="4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i/>
          <w:sz w:val="18"/>
          <w:szCs w:val="18"/>
        </w:rPr>
        <w:t>Ibid.,</w:t>
      </w:r>
      <w:r>
        <w:rPr>
          <w:rFonts w:asciiTheme="majorBidi" w:hAnsiTheme="majorBidi" w:cstheme="majorBidi"/>
          <w:i/>
          <w:spacing w:val="-4"/>
          <w:sz w:val="18"/>
          <w:szCs w:val="18"/>
        </w:rPr>
        <w:t xml:space="preserve"> </w:t>
      </w:r>
      <w:r>
        <w:rPr>
          <w:rFonts w:asciiTheme="majorBidi" w:hAnsiTheme="majorBidi" w:cstheme="majorBidi"/>
          <w:spacing w:val="-5"/>
          <w:sz w:val="18"/>
          <w:szCs w:val="18"/>
        </w:rPr>
        <w:t>31.</w:t>
      </w:r>
    </w:p>
  </w:footnote>
  <w:footnote w:id="4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Ali ibn </w:t>
      </w:r>
      <w:r>
        <w:rPr>
          <w:rFonts w:asciiTheme="majorBidi" w:hAnsiTheme="majorBidi" w:cstheme="majorBidi"/>
          <w:sz w:val="18"/>
          <w:szCs w:val="18"/>
          <w:lang w:val="en-US"/>
        </w:rPr>
        <w:t>Muhammad</w:t>
      </w:r>
      <w:r>
        <w:rPr>
          <w:rFonts w:asciiTheme="majorBidi" w:hAnsiTheme="majorBidi" w:cstheme="majorBidi"/>
          <w:sz w:val="18"/>
          <w:szCs w:val="18"/>
        </w:rPr>
        <w:t xml:space="preserve"> ibn </w:t>
      </w:r>
      <w:r>
        <w:rPr>
          <w:rFonts w:asciiTheme="majorBidi" w:hAnsiTheme="majorBidi" w:cstheme="majorBidi"/>
          <w:i/>
          <w:iCs/>
          <w:sz w:val="18"/>
          <w:szCs w:val="18"/>
        </w:rPr>
        <w:t>'Ali al-Jurjani, al-Taifat,</w:t>
      </w:r>
      <w:r>
        <w:rPr>
          <w:rFonts w:asciiTheme="majorBidi" w:hAnsiTheme="majorBidi" w:cstheme="majorBidi"/>
          <w:sz w:val="18"/>
          <w:szCs w:val="18"/>
        </w:rPr>
        <w:t xml:space="preserve"> (Beirut: Dar al-</w:t>
      </w:r>
      <w:r>
        <w:rPr>
          <w:rFonts w:asciiTheme="majorBidi" w:hAnsiTheme="majorBidi" w:cstheme="majorBidi"/>
          <w:sz w:val="18"/>
          <w:szCs w:val="18"/>
          <w:lang w:val="en-US"/>
        </w:rPr>
        <w:t>Kitab</w:t>
      </w:r>
      <w:r>
        <w:rPr>
          <w:rFonts w:asciiTheme="majorBidi" w:hAnsiTheme="majorBidi" w:cstheme="majorBidi"/>
          <w:sz w:val="18"/>
          <w:szCs w:val="18"/>
        </w:rPr>
        <w:t xml:space="preserve"> al-Arabi, tt), 1: </w:t>
      </w:r>
    </w:p>
  </w:footnote>
  <w:footnote w:id="4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Abd al-Qadir 'Awdah</w:t>
      </w:r>
      <w:r>
        <w:rPr>
          <w:rFonts w:asciiTheme="majorBidi" w:hAnsiTheme="majorBidi" w:cstheme="majorBidi"/>
          <w:i/>
          <w:iCs/>
          <w:sz w:val="18"/>
          <w:szCs w:val="18"/>
        </w:rPr>
        <w:t xml:space="preserve">, al-Taryri' al-Jina'i al-Islami, </w:t>
      </w:r>
      <w:r>
        <w:rPr>
          <w:rFonts w:asciiTheme="majorBidi" w:hAnsiTheme="majorBidi" w:cstheme="majorBidi"/>
          <w:sz w:val="18"/>
          <w:szCs w:val="18"/>
        </w:rPr>
        <w:t xml:space="preserve">(Beirut: </w:t>
      </w:r>
      <w:r>
        <w:rPr>
          <w:rFonts w:asciiTheme="majorBidi" w:hAnsiTheme="majorBidi" w:cstheme="majorBidi"/>
          <w:sz w:val="18"/>
          <w:szCs w:val="18"/>
          <w:lang w:val="en-US"/>
        </w:rPr>
        <w:t xml:space="preserve">MU </w:t>
      </w:r>
      <w:r>
        <w:rPr>
          <w:rFonts w:asciiTheme="majorBidi" w:hAnsiTheme="majorBidi" w:cstheme="majorBidi"/>
          <w:sz w:val="18"/>
          <w:szCs w:val="18"/>
        </w:rPr>
        <w:t>'assasah al-Risalah, 1996), I: 774.</w:t>
      </w:r>
    </w:p>
  </w:footnote>
  <w:footnote w:id="43">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Departemen Agama RI, </w:t>
      </w:r>
      <w:r>
        <w:rPr>
          <w:rFonts w:asciiTheme="majorBidi" w:hAnsiTheme="majorBidi" w:cstheme="majorBidi"/>
          <w:i/>
          <w:iCs/>
          <w:sz w:val="18"/>
          <w:szCs w:val="18"/>
        </w:rPr>
        <w:t>“Al Qur’an dan Terjemah Special Women”,</w:t>
      </w:r>
      <w:r>
        <w:rPr>
          <w:rFonts w:asciiTheme="majorBidi" w:hAnsiTheme="majorBidi" w:cstheme="majorBidi"/>
          <w:sz w:val="18"/>
          <w:szCs w:val="18"/>
        </w:rPr>
        <w:t xml:space="preserve"> Al Baqarah:178, (PT Sygma: 2009), 27 </w:t>
      </w:r>
    </w:p>
  </w:footnote>
  <w:footnote w:id="44">
    <w:p>
      <w:pPr>
        <w:spacing w:after="0" w:line="240" w:lineRule="auto"/>
        <w:ind w:right="114"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pacing w:val="25"/>
          <w:sz w:val="18"/>
          <w:szCs w:val="18"/>
        </w:rPr>
        <w:t xml:space="preserve"> </w:t>
      </w:r>
      <w:r>
        <w:rPr>
          <w:rFonts w:asciiTheme="majorBidi" w:hAnsiTheme="majorBidi" w:cstheme="majorBidi"/>
          <w:sz w:val="18"/>
          <w:szCs w:val="18"/>
        </w:rPr>
        <w:t>Quraish</w:t>
      </w:r>
      <w:r>
        <w:rPr>
          <w:rFonts w:asciiTheme="majorBidi" w:hAnsiTheme="majorBidi" w:cstheme="majorBidi"/>
          <w:spacing w:val="29"/>
          <w:sz w:val="18"/>
          <w:szCs w:val="18"/>
        </w:rPr>
        <w:t xml:space="preserve"> </w:t>
      </w:r>
      <w:r>
        <w:rPr>
          <w:rFonts w:asciiTheme="majorBidi" w:hAnsiTheme="majorBidi" w:cstheme="majorBidi"/>
          <w:sz w:val="18"/>
          <w:szCs w:val="18"/>
        </w:rPr>
        <w:t>Shihab,</w:t>
      </w:r>
      <w:r>
        <w:rPr>
          <w:rFonts w:asciiTheme="majorBidi" w:hAnsiTheme="majorBidi" w:cstheme="majorBidi"/>
          <w:spacing w:val="28"/>
          <w:sz w:val="18"/>
          <w:szCs w:val="18"/>
        </w:rPr>
        <w:t xml:space="preserve"> </w:t>
      </w:r>
      <w:r>
        <w:rPr>
          <w:rFonts w:asciiTheme="majorBidi" w:hAnsiTheme="majorBidi" w:cstheme="majorBidi"/>
          <w:i/>
          <w:sz w:val="18"/>
          <w:szCs w:val="18"/>
        </w:rPr>
        <w:t>Tafsir</w:t>
      </w:r>
      <w:r>
        <w:rPr>
          <w:rFonts w:asciiTheme="majorBidi" w:hAnsiTheme="majorBidi" w:cstheme="majorBidi"/>
          <w:i/>
          <w:spacing w:val="23"/>
          <w:sz w:val="18"/>
          <w:szCs w:val="18"/>
        </w:rPr>
        <w:t xml:space="preserve"> </w:t>
      </w:r>
      <w:r>
        <w:rPr>
          <w:rFonts w:asciiTheme="majorBidi" w:hAnsiTheme="majorBidi" w:cstheme="majorBidi"/>
          <w:i/>
          <w:sz w:val="18"/>
          <w:szCs w:val="18"/>
        </w:rPr>
        <w:t>al-Misbah</w:t>
      </w:r>
      <w:r>
        <w:rPr>
          <w:rFonts w:asciiTheme="majorBidi" w:hAnsiTheme="majorBidi" w:cstheme="majorBidi"/>
          <w:sz w:val="18"/>
          <w:szCs w:val="18"/>
        </w:rPr>
        <w:t>:</w:t>
      </w:r>
      <w:r>
        <w:rPr>
          <w:rFonts w:asciiTheme="majorBidi" w:hAnsiTheme="majorBidi" w:cstheme="majorBidi"/>
          <w:spacing w:val="25"/>
          <w:sz w:val="18"/>
          <w:szCs w:val="18"/>
        </w:rPr>
        <w:t xml:space="preserve"> </w:t>
      </w:r>
      <w:r>
        <w:rPr>
          <w:rFonts w:asciiTheme="majorBidi" w:hAnsiTheme="majorBidi" w:cstheme="majorBidi"/>
          <w:i/>
          <w:sz w:val="18"/>
          <w:szCs w:val="18"/>
        </w:rPr>
        <w:t>Pesan,</w:t>
      </w:r>
      <w:r>
        <w:rPr>
          <w:rFonts w:asciiTheme="majorBidi" w:hAnsiTheme="majorBidi" w:cstheme="majorBidi"/>
          <w:i/>
          <w:spacing w:val="26"/>
          <w:sz w:val="18"/>
          <w:szCs w:val="18"/>
        </w:rPr>
        <w:t xml:space="preserve"> </w:t>
      </w:r>
      <w:r>
        <w:rPr>
          <w:rFonts w:asciiTheme="majorBidi" w:hAnsiTheme="majorBidi" w:cstheme="majorBidi"/>
          <w:i/>
          <w:sz w:val="18"/>
          <w:szCs w:val="18"/>
        </w:rPr>
        <w:t>Kesan</w:t>
      </w:r>
      <w:r>
        <w:rPr>
          <w:rFonts w:asciiTheme="majorBidi" w:hAnsiTheme="majorBidi" w:cstheme="majorBidi"/>
          <w:i/>
          <w:spacing w:val="23"/>
          <w:sz w:val="18"/>
          <w:szCs w:val="18"/>
        </w:rPr>
        <w:t xml:space="preserve"> </w:t>
      </w:r>
      <w:r>
        <w:rPr>
          <w:rFonts w:asciiTheme="majorBidi" w:hAnsiTheme="majorBidi" w:cstheme="majorBidi"/>
          <w:i/>
          <w:sz w:val="18"/>
          <w:szCs w:val="18"/>
        </w:rPr>
        <w:t>dan</w:t>
      </w:r>
      <w:r>
        <w:rPr>
          <w:rFonts w:asciiTheme="majorBidi" w:hAnsiTheme="majorBidi" w:cstheme="majorBidi"/>
          <w:i/>
          <w:spacing w:val="24"/>
          <w:sz w:val="18"/>
          <w:szCs w:val="18"/>
        </w:rPr>
        <w:t xml:space="preserve"> </w:t>
      </w:r>
      <w:r>
        <w:rPr>
          <w:rFonts w:asciiTheme="majorBidi" w:hAnsiTheme="majorBidi" w:cstheme="majorBidi"/>
          <w:i/>
          <w:sz w:val="18"/>
          <w:szCs w:val="18"/>
        </w:rPr>
        <w:t>Keserasian</w:t>
      </w:r>
      <w:r>
        <w:rPr>
          <w:rFonts w:asciiTheme="majorBidi" w:hAnsiTheme="majorBidi" w:cstheme="majorBidi"/>
          <w:i/>
          <w:spacing w:val="24"/>
          <w:sz w:val="18"/>
          <w:szCs w:val="18"/>
        </w:rPr>
        <w:t xml:space="preserve"> </w:t>
      </w:r>
      <w:r>
        <w:rPr>
          <w:rFonts w:asciiTheme="majorBidi" w:hAnsiTheme="majorBidi" w:cstheme="majorBidi"/>
          <w:i/>
          <w:sz w:val="18"/>
          <w:szCs w:val="18"/>
        </w:rPr>
        <w:t>al-Qur’an</w:t>
      </w:r>
      <w:r>
        <w:rPr>
          <w:rFonts w:asciiTheme="majorBidi" w:hAnsiTheme="majorBidi" w:cstheme="majorBidi"/>
          <w:sz w:val="18"/>
          <w:szCs w:val="18"/>
        </w:rPr>
        <w:t>,</w:t>
      </w:r>
      <w:r>
        <w:rPr>
          <w:rFonts w:asciiTheme="majorBidi" w:hAnsiTheme="majorBidi" w:cstheme="majorBidi"/>
          <w:spacing w:val="25"/>
          <w:sz w:val="18"/>
          <w:szCs w:val="18"/>
        </w:rPr>
        <w:t xml:space="preserve"> </w:t>
      </w:r>
      <w:r>
        <w:rPr>
          <w:rFonts w:asciiTheme="majorBidi" w:hAnsiTheme="majorBidi" w:cstheme="majorBidi"/>
          <w:sz w:val="18"/>
          <w:szCs w:val="18"/>
        </w:rPr>
        <w:t>(Jakarta:</w:t>
      </w:r>
      <w:r>
        <w:rPr>
          <w:rFonts w:asciiTheme="majorBidi" w:hAnsiTheme="majorBidi" w:cstheme="majorBidi"/>
          <w:spacing w:val="-47"/>
          <w:sz w:val="18"/>
          <w:szCs w:val="18"/>
        </w:rPr>
        <w:t xml:space="preserve"> </w:t>
      </w:r>
      <w:r>
        <w:rPr>
          <w:rFonts w:asciiTheme="majorBidi" w:hAnsiTheme="majorBidi" w:cstheme="majorBidi"/>
          <w:sz w:val="18"/>
          <w:szCs w:val="18"/>
        </w:rPr>
        <w:t>Lentera</w:t>
      </w:r>
      <w:r>
        <w:rPr>
          <w:rFonts w:asciiTheme="majorBidi" w:hAnsiTheme="majorBidi" w:cstheme="majorBidi"/>
          <w:spacing w:val="3"/>
          <w:sz w:val="18"/>
          <w:szCs w:val="18"/>
        </w:rPr>
        <w:t xml:space="preserve"> </w:t>
      </w:r>
      <w:r>
        <w:rPr>
          <w:rFonts w:asciiTheme="majorBidi" w:hAnsiTheme="majorBidi" w:cstheme="majorBidi"/>
          <w:sz w:val="18"/>
          <w:szCs w:val="18"/>
        </w:rPr>
        <w:t>Hati, 2002), cet</w:t>
      </w:r>
      <w:r>
        <w:rPr>
          <w:rFonts w:asciiTheme="majorBidi" w:hAnsiTheme="majorBidi" w:cstheme="majorBidi"/>
          <w:spacing w:val="4"/>
          <w:sz w:val="18"/>
          <w:szCs w:val="18"/>
        </w:rPr>
        <w:t xml:space="preserve"> </w:t>
      </w:r>
      <w:r>
        <w:rPr>
          <w:rFonts w:asciiTheme="majorBidi" w:hAnsiTheme="majorBidi" w:cstheme="majorBidi"/>
          <w:sz w:val="18"/>
          <w:szCs w:val="18"/>
        </w:rPr>
        <w:t>1</w:t>
      </w:r>
      <w:r>
        <w:rPr>
          <w:rFonts w:asciiTheme="majorBidi" w:hAnsiTheme="majorBidi" w:cstheme="majorBidi"/>
          <w:spacing w:val="-3"/>
          <w:sz w:val="18"/>
          <w:szCs w:val="18"/>
        </w:rPr>
        <w:t xml:space="preserve"> </w:t>
      </w:r>
      <w:r>
        <w:rPr>
          <w:rFonts w:asciiTheme="majorBidi" w:hAnsiTheme="majorBidi" w:cstheme="majorBidi"/>
          <w:sz w:val="18"/>
          <w:szCs w:val="18"/>
        </w:rPr>
        <w:t>Vol</w:t>
      </w:r>
      <w:r>
        <w:rPr>
          <w:rFonts w:asciiTheme="majorBidi" w:hAnsiTheme="majorBidi" w:cstheme="majorBidi"/>
          <w:spacing w:val="4"/>
          <w:sz w:val="18"/>
          <w:szCs w:val="18"/>
        </w:rPr>
        <w:t xml:space="preserve"> </w:t>
      </w:r>
      <w:r>
        <w:rPr>
          <w:rFonts w:asciiTheme="majorBidi" w:hAnsiTheme="majorBidi" w:cstheme="majorBidi"/>
          <w:sz w:val="18"/>
          <w:szCs w:val="18"/>
        </w:rPr>
        <w:t>2</w:t>
      </w:r>
      <w:r>
        <w:rPr>
          <w:rFonts w:asciiTheme="majorBidi" w:hAnsiTheme="majorBidi" w:cstheme="majorBidi"/>
          <w:spacing w:val="-1"/>
          <w:sz w:val="18"/>
          <w:szCs w:val="18"/>
        </w:rPr>
        <w:t xml:space="preserve"> </w:t>
      </w:r>
      <w:r>
        <w:rPr>
          <w:rFonts w:asciiTheme="majorBidi" w:hAnsiTheme="majorBidi" w:cstheme="majorBidi"/>
          <w:sz w:val="18"/>
          <w:szCs w:val="18"/>
        </w:rPr>
        <w:t>h. 511</w:t>
      </w:r>
    </w:p>
  </w:footnote>
  <w:footnote w:id="45">
    <w:p>
      <w:pPr>
        <w:spacing w:after="0" w:line="240" w:lineRule="auto"/>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Ali</w:t>
      </w:r>
      <w:r>
        <w:rPr>
          <w:rFonts w:asciiTheme="majorBidi" w:hAnsiTheme="majorBidi" w:cstheme="majorBidi"/>
          <w:spacing w:val="26"/>
          <w:sz w:val="18"/>
          <w:szCs w:val="18"/>
        </w:rPr>
        <w:t xml:space="preserve"> </w:t>
      </w:r>
      <w:r>
        <w:rPr>
          <w:rFonts w:asciiTheme="majorBidi" w:hAnsiTheme="majorBidi" w:cstheme="majorBidi"/>
          <w:sz w:val="18"/>
          <w:szCs w:val="18"/>
        </w:rPr>
        <w:t>bin</w:t>
      </w:r>
      <w:r>
        <w:rPr>
          <w:rFonts w:asciiTheme="majorBidi" w:hAnsiTheme="majorBidi" w:cstheme="majorBidi"/>
          <w:spacing w:val="35"/>
          <w:sz w:val="18"/>
          <w:szCs w:val="18"/>
        </w:rPr>
        <w:t xml:space="preserve"> </w:t>
      </w:r>
      <w:r>
        <w:rPr>
          <w:rFonts w:asciiTheme="majorBidi" w:hAnsiTheme="majorBidi" w:cstheme="majorBidi"/>
          <w:sz w:val="18"/>
          <w:szCs w:val="18"/>
        </w:rPr>
        <w:t>Umar</w:t>
      </w:r>
      <w:r>
        <w:rPr>
          <w:rFonts w:asciiTheme="majorBidi" w:hAnsiTheme="majorBidi" w:cstheme="majorBidi"/>
          <w:spacing w:val="30"/>
          <w:sz w:val="18"/>
          <w:szCs w:val="18"/>
        </w:rPr>
        <w:t xml:space="preserve"> </w:t>
      </w:r>
      <w:r>
        <w:rPr>
          <w:rFonts w:asciiTheme="majorBidi" w:hAnsiTheme="majorBidi" w:cstheme="majorBidi"/>
          <w:sz w:val="18"/>
          <w:szCs w:val="18"/>
        </w:rPr>
        <w:t>al-Daruqutni,</w:t>
      </w:r>
      <w:r>
        <w:rPr>
          <w:rFonts w:asciiTheme="majorBidi" w:hAnsiTheme="majorBidi" w:cstheme="majorBidi"/>
          <w:spacing w:val="28"/>
          <w:sz w:val="18"/>
          <w:szCs w:val="18"/>
        </w:rPr>
        <w:t xml:space="preserve"> </w:t>
      </w:r>
      <w:r>
        <w:rPr>
          <w:rFonts w:asciiTheme="majorBidi" w:hAnsiTheme="majorBidi" w:cstheme="majorBidi"/>
          <w:i/>
          <w:sz w:val="18"/>
          <w:szCs w:val="18"/>
        </w:rPr>
        <w:t>Sunan</w:t>
      </w:r>
      <w:r>
        <w:rPr>
          <w:rFonts w:asciiTheme="majorBidi" w:hAnsiTheme="majorBidi" w:cstheme="majorBidi"/>
          <w:i/>
          <w:spacing w:val="24"/>
          <w:sz w:val="18"/>
          <w:szCs w:val="18"/>
        </w:rPr>
        <w:t xml:space="preserve"> </w:t>
      </w:r>
      <w:r>
        <w:rPr>
          <w:rFonts w:asciiTheme="majorBidi" w:hAnsiTheme="majorBidi" w:cstheme="majorBidi"/>
          <w:i/>
          <w:sz w:val="18"/>
          <w:szCs w:val="18"/>
        </w:rPr>
        <w:t>al-Daruqutni</w:t>
      </w:r>
      <w:r>
        <w:rPr>
          <w:rFonts w:asciiTheme="majorBidi" w:hAnsiTheme="majorBidi" w:cstheme="majorBidi"/>
          <w:i/>
          <w:spacing w:val="27"/>
          <w:sz w:val="18"/>
          <w:szCs w:val="18"/>
        </w:rPr>
        <w:t xml:space="preserve"> </w:t>
      </w:r>
      <w:r>
        <w:rPr>
          <w:rFonts w:asciiTheme="majorBidi" w:hAnsiTheme="majorBidi" w:cstheme="majorBidi"/>
          <w:i/>
          <w:sz w:val="18"/>
          <w:szCs w:val="18"/>
        </w:rPr>
        <w:t>‚fi</w:t>
      </w:r>
      <w:r>
        <w:rPr>
          <w:rFonts w:asciiTheme="majorBidi" w:hAnsiTheme="majorBidi" w:cstheme="majorBidi"/>
          <w:i/>
          <w:spacing w:val="31"/>
          <w:sz w:val="18"/>
          <w:szCs w:val="18"/>
        </w:rPr>
        <w:t xml:space="preserve"> </w:t>
      </w:r>
      <w:r>
        <w:rPr>
          <w:rFonts w:asciiTheme="majorBidi" w:hAnsiTheme="majorBidi" w:cstheme="majorBidi"/>
          <w:i/>
          <w:sz w:val="18"/>
          <w:szCs w:val="18"/>
        </w:rPr>
        <w:t>Kitab</w:t>
      </w:r>
      <w:r>
        <w:rPr>
          <w:rFonts w:asciiTheme="majorBidi" w:hAnsiTheme="majorBidi" w:cstheme="majorBidi"/>
          <w:i/>
          <w:spacing w:val="30"/>
          <w:sz w:val="18"/>
          <w:szCs w:val="18"/>
        </w:rPr>
        <w:t xml:space="preserve"> </w:t>
      </w:r>
      <w:r>
        <w:rPr>
          <w:rFonts w:asciiTheme="majorBidi" w:hAnsiTheme="majorBidi" w:cstheme="majorBidi"/>
          <w:i/>
          <w:sz w:val="18"/>
          <w:szCs w:val="18"/>
        </w:rPr>
        <w:t>al-Hudud</w:t>
      </w:r>
      <w:r>
        <w:rPr>
          <w:rFonts w:asciiTheme="majorBidi" w:hAnsiTheme="majorBidi" w:cstheme="majorBidi"/>
          <w:i/>
          <w:spacing w:val="30"/>
          <w:sz w:val="18"/>
          <w:szCs w:val="18"/>
        </w:rPr>
        <w:t xml:space="preserve"> </w:t>
      </w:r>
      <w:r>
        <w:rPr>
          <w:rFonts w:asciiTheme="majorBidi" w:hAnsiTheme="majorBidi" w:cstheme="majorBidi"/>
          <w:i/>
          <w:sz w:val="18"/>
          <w:szCs w:val="18"/>
        </w:rPr>
        <w:t>wa</w:t>
      </w:r>
      <w:r>
        <w:rPr>
          <w:rFonts w:asciiTheme="majorBidi" w:hAnsiTheme="majorBidi" w:cstheme="majorBidi"/>
          <w:i/>
          <w:spacing w:val="29"/>
          <w:sz w:val="18"/>
          <w:szCs w:val="18"/>
        </w:rPr>
        <w:t xml:space="preserve"> </w:t>
      </w:r>
      <w:r>
        <w:rPr>
          <w:rFonts w:asciiTheme="majorBidi" w:hAnsiTheme="majorBidi" w:cstheme="majorBidi"/>
          <w:i/>
          <w:sz w:val="18"/>
          <w:szCs w:val="18"/>
        </w:rPr>
        <w:t>al-Diyat</w:t>
      </w:r>
      <w:r>
        <w:rPr>
          <w:rFonts w:asciiTheme="majorBidi" w:hAnsiTheme="majorBidi" w:cstheme="majorBidi"/>
          <w:i/>
          <w:spacing w:val="31"/>
          <w:sz w:val="18"/>
          <w:szCs w:val="18"/>
        </w:rPr>
        <w:t xml:space="preserve"> </w:t>
      </w:r>
      <w:r>
        <w:rPr>
          <w:rFonts w:asciiTheme="majorBidi" w:hAnsiTheme="majorBidi" w:cstheme="majorBidi"/>
          <w:i/>
          <w:sz w:val="18"/>
          <w:szCs w:val="18"/>
        </w:rPr>
        <w:t>wa</w:t>
      </w:r>
      <w:r>
        <w:rPr>
          <w:rFonts w:asciiTheme="majorBidi" w:hAnsiTheme="majorBidi" w:cstheme="majorBidi"/>
          <w:i/>
          <w:spacing w:val="-47"/>
          <w:sz w:val="18"/>
          <w:szCs w:val="18"/>
        </w:rPr>
        <w:t xml:space="preserve"> </w:t>
      </w:r>
      <w:r>
        <w:rPr>
          <w:rFonts w:asciiTheme="majorBidi" w:hAnsiTheme="majorBidi" w:cstheme="majorBidi"/>
          <w:i/>
          <w:sz w:val="18"/>
          <w:szCs w:val="18"/>
        </w:rPr>
        <w:t>Ghayrihi</w:t>
      </w:r>
      <w:r>
        <w:rPr>
          <w:rFonts w:asciiTheme="majorBidi" w:hAnsiTheme="majorBidi" w:cstheme="majorBidi"/>
          <w:sz w:val="18"/>
          <w:szCs w:val="18"/>
        </w:rPr>
        <w:t>,</w:t>
      </w:r>
      <w:r>
        <w:rPr>
          <w:rFonts w:asciiTheme="majorBidi" w:hAnsiTheme="majorBidi" w:cstheme="majorBidi"/>
          <w:spacing w:val="-1"/>
          <w:sz w:val="18"/>
          <w:szCs w:val="18"/>
        </w:rPr>
        <w:t xml:space="preserve"> </w:t>
      </w:r>
      <w:r>
        <w:rPr>
          <w:rFonts w:asciiTheme="majorBidi" w:hAnsiTheme="majorBidi" w:cstheme="majorBidi"/>
          <w:sz w:val="18"/>
          <w:szCs w:val="18"/>
        </w:rPr>
        <w:t>(Beirut:</w:t>
      </w:r>
      <w:r>
        <w:rPr>
          <w:rFonts w:asciiTheme="majorBidi" w:hAnsiTheme="majorBidi" w:cstheme="majorBidi"/>
          <w:spacing w:val="-1"/>
          <w:sz w:val="18"/>
          <w:szCs w:val="18"/>
        </w:rPr>
        <w:t xml:space="preserve"> </w:t>
      </w:r>
      <w:r>
        <w:rPr>
          <w:rFonts w:asciiTheme="majorBidi" w:hAnsiTheme="majorBidi" w:cstheme="majorBidi"/>
          <w:sz w:val="18"/>
          <w:szCs w:val="18"/>
        </w:rPr>
        <w:t>Dar</w:t>
      </w:r>
      <w:r>
        <w:rPr>
          <w:rFonts w:asciiTheme="majorBidi" w:hAnsiTheme="majorBidi" w:cstheme="majorBidi"/>
          <w:spacing w:val="2"/>
          <w:sz w:val="18"/>
          <w:szCs w:val="18"/>
        </w:rPr>
        <w:t xml:space="preserve"> </w:t>
      </w:r>
      <w:r>
        <w:rPr>
          <w:rFonts w:asciiTheme="majorBidi" w:hAnsiTheme="majorBidi" w:cstheme="majorBidi"/>
          <w:sz w:val="18"/>
          <w:szCs w:val="18"/>
        </w:rPr>
        <w:t>Ibn</w:t>
      </w:r>
      <w:r>
        <w:rPr>
          <w:rFonts w:asciiTheme="majorBidi" w:hAnsiTheme="majorBidi" w:cstheme="majorBidi"/>
          <w:spacing w:val="2"/>
          <w:sz w:val="18"/>
          <w:szCs w:val="18"/>
        </w:rPr>
        <w:t xml:space="preserve"> </w:t>
      </w:r>
      <w:r>
        <w:rPr>
          <w:rFonts w:asciiTheme="majorBidi" w:hAnsiTheme="majorBidi" w:cstheme="majorBidi"/>
          <w:sz w:val="18"/>
          <w:szCs w:val="18"/>
        </w:rPr>
        <w:t>Hazm, 2011),</w:t>
      </w:r>
      <w:r>
        <w:rPr>
          <w:rFonts w:asciiTheme="majorBidi" w:hAnsiTheme="majorBidi" w:cstheme="majorBidi"/>
          <w:spacing w:val="-5"/>
          <w:sz w:val="18"/>
          <w:szCs w:val="18"/>
        </w:rPr>
        <w:t xml:space="preserve"> </w:t>
      </w:r>
      <w:r>
        <w:rPr>
          <w:rFonts w:asciiTheme="majorBidi" w:hAnsiTheme="majorBidi" w:cstheme="majorBidi"/>
          <w:sz w:val="18"/>
          <w:szCs w:val="18"/>
        </w:rPr>
        <w:t>665</w:t>
      </w:r>
    </w:p>
    <w:p>
      <w:pPr>
        <w:pStyle w:val="8"/>
        <w:ind w:firstLine="437" w:firstLineChars="243"/>
        <w:contextualSpacing/>
        <w:jc w:val="both"/>
        <w:rPr>
          <w:rFonts w:asciiTheme="majorBidi" w:hAnsiTheme="majorBidi" w:cstheme="majorBidi"/>
          <w:sz w:val="18"/>
          <w:szCs w:val="18"/>
        </w:rPr>
      </w:pPr>
    </w:p>
  </w:footnote>
  <w:footnote w:id="46">
    <w:p>
      <w:pPr>
        <w:spacing w:after="0" w:line="240" w:lineRule="auto"/>
        <w:ind w:right="-16"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Abdul Qadir Audah, Ensiklopedi Hukum Pidana Islam terjemah Tim Tsalisah </w:t>
      </w:r>
      <w:r>
        <w:rPr>
          <w:rFonts w:asciiTheme="majorBidi" w:hAnsiTheme="majorBidi" w:cstheme="majorBidi"/>
          <w:i/>
          <w:sz w:val="18"/>
          <w:szCs w:val="18"/>
        </w:rPr>
        <w:t>dari al-</w:t>
      </w:r>
      <w:r>
        <w:rPr>
          <w:rFonts w:asciiTheme="majorBidi" w:hAnsiTheme="majorBidi" w:cstheme="majorBidi"/>
          <w:i/>
          <w:spacing w:val="1"/>
          <w:sz w:val="18"/>
          <w:szCs w:val="18"/>
        </w:rPr>
        <w:t xml:space="preserve"> </w:t>
      </w:r>
      <w:r>
        <w:rPr>
          <w:rFonts w:asciiTheme="majorBidi" w:hAnsiTheme="majorBidi" w:cstheme="majorBidi"/>
          <w:i/>
          <w:sz w:val="18"/>
          <w:szCs w:val="18"/>
        </w:rPr>
        <w:t>Tasyri’ al-Jina’i al-Islamiy MU qaranan bil Qanunil Wad’iy</w:t>
      </w:r>
      <w:r>
        <w:rPr>
          <w:rFonts w:asciiTheme="majorBidi" w:hAnsiTheme="majorBidi" w:cstheme="majorBidi"/>
          <w:sz w:val="18"/>
          <w:szCs w:val="18"/>
        </w:rPr>
        <w:t>, (Bogor: P.T. Kharisma ilMU, tth),</w:t>
      </w:r>
      <w:r>
        <w:rPr>
          <w:rFonts w:asciiTheme="majorBidi" w:hAnsiTheme="majorBidi" w:cstheme="majorBidi"/>
          <w:spacing w:val="1"/>
          <w:sz w:val="18"/>
          <w:szCs w:val="18"/>
        </w:rPr>
        <w:t xml:space="preserve"> </w:t>
      </w:r>
      <w:r>
        <w:rPr>
          <w:rFonts w:asciiTheme="majorBidi" w:hAnsiTheme="majorBidi" w:cstheme="majorBidi"/>
          <w:sz w:val="18"/>
          <w:szCs w:val="18"/>
        </w:rPr>
        <w:t>Jilid</w:t>
      </w:r>
      <w:r>
        <w:rPr>
          <w:rFonts w:asciiTheme="majorBidi" w:hAnsiTheme="majorBidi" w:cstheme="majorBidi"/>
          <w:spacing w:val="-3"/>
          <w:sz w:val="18"/>
          <w:szCs w:val="18"/>
        </w:rPr>
        <w:t xml:space="preserve"> </w:t>
      </w:r>
      <w:r>
        <w:rPr>
          <w:rFonts w:asciiTheme="majorBidi" w:hAnsiTheme="majorBidi" w:cstheme="majorBidi"/>
          <w:sz w:val="18"/>
          <w:szCs w:val="18"/>
        </w:rPr>
        <w:t>III</w:t>
      </w:r>
      <w:r>
        <w:rPr>
          <w:rFonts w:asciiTheme="majorBidi" w:hAnsiTheme="majorBidi" w:cstheme="majorBidi"/>
          <w:spacing w:val="-6"/>
          <w:sz w:val="18"/>
          <w:szCs w:val="18"/>
        </w:rPr>
        <w:t xml:space="preserve"> </w:t>
      </w:r>
      <w:r>
        <w:rPr>
          <w:rFonts w:asciiTheme="majorBidi" w:hAnsiTheme="majorBidi" w:cstheme="majorBidi"/>
          <w:sz w:val="18"/>
          <w:szCs w:val="18"/>
        </w:rPr>
        <w:t>h.</w:t>
      </w:r>
      <w:r>
        <w:rPr>
          <w:rFonts w:asciiTheme="majorBidi" w:hAnsiTheme="majorBidi" w:cstheme="majorBidi"/>
          <w:spacing w:val="4"/>
          <w:sz w:val="18"/>
          <w:szCs w:val="18"/>
        </w:rPr>
        <w:t xml:space="preserve"> </w:t>
      </w:r>
      <w:r>
        <w:rPr>
          <w:rFonts w:asciiTheme="majorBidi" w:hAnsiTheme="majorBidi" w:cstheme="majorBidi"/>
          <w:sz w:val="18"/>
          <w:szCs w:val="18"/>
        </w:rPr>
        <w:t>171.</w:t>
      </w:r>
    </w:p>
  </w:footnote>
  <w:footnote w:id="47">
    <w:p>
      <w:pPr>
        <w:spacing w:after="0" w:line="240" w:lineRule="auto"/>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Zuhaily,</w:t>
      </w:r>
      <w:r>
        <w:rPr>
          <w:rFonts w:asciiTheme="majorBidi" w:hAnsiTheme="majorBidi" w:cstheme="majorBidi"/>
          <w:spacing w:val="4"/>
          <w:sz w:val="18"/>
          <w:szCs w:val="18"/>
        </w:rPr>
        <w:t xml:space="preserve"> </w:t>
      </w:r>
      <w:r>
        <w:rPr>
          <w:rFonts w:asciiTheme="majorBidi" w:hAnsiTheme="majorBidi" w:cstheme="majorBidi"/>
          <w:i/>
          <w:sz w:val="18"/>
          <w:szCs w:val="18"/>
        </w:rPr>
        <w:t xml:space="preserve">al-Fiqh..., </w:t>
      </w:r>
      <w:r>
        <w:rPr>
          <w:rFonts w:asciiTheme="majorBidi" w:hAnsiTheme="majorBidi" w:cstheme="majorBidi"/>
          <w:spacing w:val="-4"/>
          <w:sz w:val="18"/>
          <w:szCs w:val="18"/>
        </w:rPr>
        <w:t>287.</w:t>
      </w:r>
    </w:p>
  </w:footnote>
  <w:footnote w:id="48">
    <w:p>
      <w:pPr>
        <w:pStyle w:val="8"/>
        <w:ind w:firstLine="426"/>
        <w:rPr>
          <w:lang w:val="en-US"/>
        </w:rPr>
      </w:pPr>
      <w:r>
        <w:rPr>
          <w:rStyle w:val="17"/>
        </w:rPr>
        <w:footnoteRef/>
      </w:r>
      <w:r>
        <w:t xml:space="preserve"> </w:t>
      </w:r>
      <w:r>
        <w:rPr>
          <w:rFonts w:asciiTheme="majorBidi" w:hAnsiTheme="majorBidi" w:cstheme="majorBidi"/>
          <w:sz w:val="18"/>
          <w:szCs w:val="18"/>
        </w:rPr>
        <w:t>Maktabah al- Ma‟rif, 1417 H), h. 335.</w:t>
      </w:r>
    </w:p>
  </w:footnote>
  <w:footnote w:id="4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i/>
          <w:spacing w:val="-2"/>
          <w:sz w:val="18"/>
          <w:szCs w:val="18"/>
        </w:rPr>
        <w:t>Ibid</w:t>
      </w:r>
      <w:r>
        <w:rPr>
          <w:rFonts w:asciiTheme="majorBidi" w:hAnsiTheme="majorBidi" w:cstheme="majorBidi"/>
          <w:spacing w:val="-2"/>
          <w:sz w:val="18"/>
          <w:szCs w:val="18"/>
        </w:rPr>
        <w:t>.,</w:t>
      </w:r>
    </w:p>
  </w:footnote>
  <w:footnote w:id="50">
    <w:p>
      <w:pPr>
        <w:spacing w:after="0" w:line="240" w:lineRule="auto"/>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Simorangkir</w:t>
      </w:r>
      <w:r>
        <w:rPr>
          <w:rFonts w:asciiTheme="majorBidi" w:hAnsiTheme="majorBidi" w:cstheme="majorBidi"/>
          <w:spacing w:val="1"/>
          <w:sz w:val="18"/>
          <w:szCs w:val="18"/>
        </w:rPr>
        <w:t xml:space="preserve"> </w:t>
      </w:r>
      <w:r>
        <w:rPr>
          <w:rFonts w:asciiTheme="majorBidi" w:hAnsiTheme="majorBidi" w:cstheme="majorBidi"/>
          <w:sz w:val="18"/>
          <w:szCs w:val="18"/>
        </w:rPr>
        <w:t>JCT, dkk,</w:t>
      </w:r>
      <w:r>
        <w:rPr>
          <w:rFonts w:asciiTheme="majorBidi" w:hAnsiTheme="majorBidi" w:cstheme="majorBidi"/>
          <w:spacing w:val="-3"/>
          <w:sz w:val="18"/>
          <w:szCs w:val="18"/>
        </w:rPr>
        <w:t xml:space="preserve"> </w:t>
      </w:r>
      <w:r>
        <w:rPr>
          <w:rFonts w:asciiTheme="majorBidi" w:hAnsiTheme="majorBidi" w:cstheme="majorBidi"/>
          <w:sz w:val="18"/>
          <w:szCs w:val="18"/>
        </w:rPr>
        <w:t>2002</w:t>
      </w:r>
      <w:r>
        <w:rPr>
          <w:rFonts w:asciiTheme="majorBidi" w:hAnsiTheme="majorBidi" w:cstheme="majorBidi"/>
          <w:b/>
          <w:i/>
          <w:sz w:val="18"/>
          <w:szCs w:val="18"/>
        </w:rPr>
        <w:t>.</w:t>
      </w:r>
      <w:r>
        <w:rPr>
          <w:rFonts w:asciiTheme="majorBidi" w:hAnsiTheme="majorBidi" w:cstheme="majorBidi"/>
          <w:b/>
          <w:i/>
          <w:spacing w:val="-3"/>
          <w:sz w:val="18"/>
          <w:szCs w:val="18"/>
        </w:rPr>
        <w:t xml:space="preserve"> </w:t>
      </w:r>
      <w:r>
        <w:rPr>
          <w:rFonts w:asciiTheme="majorBidi" w:hAnsiTheme="majorBidi" w:cstheme="majorBidi"/>
          <w:i/>
          <w:iCs/>
          <w:sz w:val="18"/>
          <w:szCs w:val="18"/>
          <w:lang w:val="en-US"/>
        </w:rPr>
        <w:t xml:space="preserve">kamu </w:t>
      </w:r>
      <w:r>
        <w:rPr>
          <w:rFonts w:asciiTheme="majorBidi" w:hAnsiTheme="majorBidi" w:cstheme="majorBidi"/>
          <w:i/>
          <w:iCs/>
          <w:sz w:val="18"/>
          <w:szCs w:val="18"/>
        </w:rPr>
        <w:t>s</w:t>
      </w:r>
      <w:r>
        <w:rPr>
          <w:rFonts w:asciiTheme="majorBidi" w:hAnsiTheme="majorBidi" w:cstheme="majorBidi"/>
          <w:i/>
          <w:iCs/>
          <w:spacing w:val="1"/>
          <w:sz w:val="18"/>
          <w:szCs w:val="18"/>
        </w:rPr>
        <w:t xml:space="preserve"> </w:t>
      </w:r>
      <w:r>
        <w:rPr>
          <w:rFonts w:asciiTheme="majorBidi" w:hAnsiTheme="majorBidi" w:cstheme="majorBidi"/>
          <w:i/>
          <w:iCs/>
          <w:sz w:val="18"/>
          <w:szCs w:val="18"/>
        </w:rPr>
        <w:t>Hukum,</w:t>
      </w:r>
      <w:r>
        <w:rPr>
          <w:rFonts w:asciiTheme="majorBidi" w:hAnsiTheme="majorBidi" w:cstheme="majorBidi"/>
          <w:i/>
          <w:spacing w:val="1"/>
          <w:sz w:val="18"/>
          <w:szCs w:val="18"/>
        </w:rPr>
        <w:t xml:space="preserve"> (</w:t>
      </w:r>
      <w:r>
        <w:rPr>
          <w:rFonts w:asciiTheme="majorBidi" w:hAnsiTheme="majorBidi" w:cstheme="majorBidi"/>
          <w:sz w:val="18"/>
          <w:szCs w:val="18"/>
        </w:rPr>
        <w:t>Sinar</w:t>
      </w:r>
      <w:r>
        <w:rPr>
          <w:rFonts w:asciiTheme="majorBidi" w:hAnsiTheme="majorBidi" w:cstheme="majorBidi"/>
          <w:spacing w:val="1"/>
          <w:sz w:val="18"/>
          <w:szCs w:val="18"/>
        </w:rPr>
        <w:t xml:space="preserve"> </w:t>
      </w:r>
      <w:r>
        <w:rPr>
          <w:rFonts w:asciiTheme="majorBidi" w:hAnsiTheme="majorBidi" w:cstheme="majorBidi"/>
          <w:sz w:val="18"/>
          <w:szCs w:val="18"/>
        </w:rPr>
        <w:t>Grafika, Jakarta).</w:t>
      </w:r>
    </w:p>
  </w:footnote>
  <w:footnote w:id="51">
    <w:p>
      <w:pPr>
        <w:spacing w:after="0" w:line="240" w:lineRule="auto"/>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Undang-Undang</w:t>
      </w:r>
      <w:r>
        <w:rPr>
          <w:rFonts w:asciiTheme="majorBidi" w:hAnsiTheme="majorBidi" w:cstheme="majorBidi"/>
          <w:sz w:val="18"/>
          <w:szCs w:val="18"/>
        </w:rPr>
        <w:t xml:space="preserve"> Repbulik</w:t>
      </w:r>
      <w:r>
        <w:rPr>
          <w:rFonts w:asciiTheme="majorBidi" w:hAnsiTheme="majorBidi" w:cstheme="majorBidi"/>
          <w:spacing w:val="-2"/>
          <w:sz w:val="18"/>
          <w:szCs w:val="18"/>
        </w:rPr>
        <w:t xml:space="preserve"> </w:t>
      </w:r>
      <w:r>
        <w:rPr>
          <w:rFonts w:asciiTheme="majorBidi" w:hAnsiTheme="majorBidi" w:cstheme="majorBidi"/>
          <w:sz w:val="18"/>
          <w:szCs w:val="18"/>
        </w:rPr>
        <w:t>Indonesia Nomor</w:t>
      </w:r>
      <w:r>
        <w:rPr>
          <w:rFonts w:asciiTheme="majorBidi" w:hAnsiTheme="majorBidi" w:cstheme="majorBidi"/>
          <w:spacing w:val="-1"/>
          <w:sz w:val="18"/>
          <w:szCs w:val="18"/>
        </w:rPr>
        <w:t xml:space="preserve"> </w:t>
      </w:r>
      <w:r>
        <w:rPr>
          <w:rFonts w:asciiTheme="majorBidi" w:hAnsiTheme="majorBidi" w:cstheme="majorBidi"/>
          <w:sz w:val="18"/>
          <w:szCs w:val="18"/>
        </w:rPr>
        <w:t>22 Tahun</w:t>
      </w:r>
      <w:r>
        <w:rPr>
          <w:rFonts w:asciiTheme="majorBidi" w:hAnsiTheme="majorBidi" w:cstheme="majorBidi"/>
          <w:spacing w:val="-1"/>
          <w:sz w:val="18"/>
          <w:szCs w:val="18"/>
        </w:rPr>
        <w:t xml:space="preserve"> </w:t>
      </w:r>
      <w:r>
        <w:rPr>
          <w:rFonts w:asciiTheme="majorBidi" w:hAnsiTheme="majorBidi" w:cstheme="majorBidi"/>
          <w:sz w:val="18"/>
          <w:szCs w:val="18"/>
        </w:rPr>
        <w:t>2002</w:t>
      </w:r>
      <w:r>
        <w:rPr>
          <w:rFonts w:asciiTheme="majorBidi" w:hAnsiTheme="majorBidi" w:cstheme="majorBidi"/>
          <w:spacing w:val="-1"/>
          <w:sz w:val="18"/>
          <w:szCs w:val="18"/>
        </w:rPr>
        <w:t xml:space="preserve"> </w:t>
      </w:r>
      <w:r>
        <w:rPr>
          <w:rFonts w:asciiTheme="majorBidi" w:hAnsiTheme="majorBidi" w:cstheme="majorBidi"/>
          <w:sz w:val="18"/>
          <w:szCs w:val="18"/>
        </w:rPr>
        <w:t>tentang Grasi.</w:t>
      </w:r>
    </w:p>
  </w:footnote>
  <w:footnote w:id="5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Undang-Undang</w:t>
      </w:r>
      <w:r>
        <w:rPr>
          <w:rFonts w:asciiTheme="majorBidi" w:hAnsiTheme="majorBidi" w:cstheme="majorBidi"/>
          <w:sz w:val="18"/>
          <w:szCs w:val="18"/>
        </w:rPr>
        <w:t xml:space="preserve"> RI 1945 UU Grasi Pasal 6 Ayat 2 </w:t>
      </w:r>
    </w:p>
  </w:footnote>
  <w:footnote w:id="53">
    <w:p>
      <w:pPr>
        <w:spacing w:after="0" w:line="240" w:lineRule="auto"/>
        <w:ind w:firstLine="437" w:firstLineChars="243"/>
        <w:contextualSpacing/>
        <w:jc w:val="both"/>
        <w:rPr>
          <w:rFonts w:asciiTheme="majorBidi" w:hAnsiTheme="majorBidi" w:cstheme="majorBidi"/>
          <w:iCs/>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pacing w:val="-1"/>
          <w:sz w:val="18"/>
          <w:szCs w:val="18"/>
          <w:lang w:val="en-US"/>
        </w:rPr>
        <w:t>mulia</w:t>
      </w:r>
      <w:r>
        <w:rPr>
          <w:rFonts w:asciiTheme="majorBidi" w:hAnsiTheme="majorBidi" w:cstheme="majorBidi"/>
          <w:spacing w:val="-1"/>
          <w:sz w:val="18"/>
          <w:szCs w:val="18"/>
        </w:rPr>
        <w:t>di</w:t>
      </w:r>
      <w:r>
        <w:rPr>
          <w:rFonts w:asciiTheme="majorBidi" w:hAnsiTheme="majorBidi" w:cstheme="majorBidi"/>
          <w:spacing w:val="37"/>
          <w:sz w:val="18"/>
          <w:szCs w:val="18"/>
        </w:rPr>
        <w:t xml:space="preserve"> </w:t>
      </w:r>
      <w:r>
        <w:rPr>
          <w:rFonts w:asciiTheme="majorBidi" w:hAnsiTheme="majorBidi" w:cstheme="majorBidi"/>
          <w:spacing w:val="-1"/>
          <w:sz w:val="18"/>
          <w:szCs w:val="18"/>
        </w:rPr>
        <w:t>dan</w:t>
      </w:r>
      <w:r>
        <w:rPr>
          <w:rFonts w:asciiTheme="majorBidi" w:hAnsiTheme="majorBidi" w:cstheme="majorBidi"/>
          <w:spacing w:val="35"/>
          <w:sz w:val="18"/>
          <w:szCs w:val="18"/>
        </w:rPr>
        <w:t xml:space="preserve"> </w:t>
      </w:r>
      <w:r>
        <w:rPr>
          <w:rFonts w:asciiTheme="majorBidi" w:hAnsiTheme="majorBidi" w:cstheme="majorBidi"/>
          <w:spacing w:val="-1"/>
          <w:sz w:val="18"/>
          <w:szCs w:val="18"/>
        </w:rPr>
        <w:t>Arief</w:t>
      </w:r>
      <w:r>
        <w:rPr>
          <w:rFonts w:asciiTheme="majorBidi" w:hAnsiTheme="majorBidi" w:cstheme="majorBidi"/>
          <w:spacing w:val="31"/>
          <w:sz w:val="18"/>
          <w:szCs w:val="18"/>
        </w:rPr>
        <w:t xml:space="preserve"> </w:t>
      </w:r>
      <w:r>
        <w:rPr>
          <w:rFonts w:asciiTheme="majorBidi" w:hAnsiTheme="majorBidi" w:cstheme="majorBidi"/>
          <w:spacing w:val="-1"/>
          <w:sz w:val="18"/>
          <w:szCs w:val="18"/>
        </w:rPr>
        <w:t>Barda</w:t>
      </w:r>
      <w:r>
        <w:rPr>
          <w:rFonts w:asciiTheme="majorBidi" w:hAnsiTheme="majorBidi" w:cstheme="majorBidi"/>
          <w:spacing w:val="31"/>
          <w:sz w:val="18"/>
          <w:szCs w:val="18"/>
        </w:rPr>
        <w:t xml:space="preserve"> </w:t>
      </w:r>
      <w:r>
        <w:rPr>
          <w:rFonts w:asciiTheme="majorBidi" w:hAnsiTheme="majorBidi" w:cstheme="majorBidi"/>
          <w:spacing w:val="-1"/>
          <w:sz w:val="18"/>
          <w:szCs w:val="18"/>
        </w:rPr>
        <w:t>Nawawi,</w:t>
      </w:r>
      <w:r>
        <w:rPr>
          <w:rFonts w:asciiTheme="majorBidi" w:hAnsiTheme="majorBidi" w:cstheme="majorBidi"/>
          <w:spacing w:val="34"/>
          <w:sz w:val="18"/>
          <w:szCs w:val="18"/>
        </w:rPr>
        <w:t xml:space="preserve"> </w:t>
      </w:r>
      <w:r>
        <w:rPr>
          <w:rFonts w:asciiTheme="majorBidi" w:hAnsiTheme="majorBidi" w:cstheme="majorBidi"/>
          <w:spacing w:val="-1"/>
          <w:sz w:val="18"/>
          <w:szCs w:val="18"/>
        </w:rPr>
        <w:t>1992.</w:t>
      </w:r>
      <w:r>
        <w:rPr>
          <w:rFonts w:asciiTheme="majorBidi" w:hAnsiTheme="majorBidi" w:cstheme="majorBidi"/>
          <w:spacing w:val="37"/>
          <w:sz w:val="18"/>
          <w:szCs w:val="18"/>
        </w:rPr>
        <w:t xml:space="preserve"> </w:t>
      </w:r>
      <w:r>
        <w:rPr>
          <w:rFonts w:asciiTheme="majorBidi" w:hAnsiTheme="majorBidi" w:cstheme="majorBidi"/>
          <w:i/>
          <w:spacing w:val="-1"/>
          <w:sz w:val="18"/>
          <w:szCs w:val="18"/>
        </w:rPr>
        <w:t>Teori-teori</w:t>
      </w:r>
      <w:r>
        <w:rPr>
          <w:rFonts w:asciiTheme="majorBidi" w:hAnsiTheme="majorBidi" w:cstheme="majorBidi"/>
          <w:i/>
          <w:spacing w:val="27"/>
          <w:sz w:val="18"/>
          <w:szCs w:val="18"/>
        </w:rPr>
        <w:t xml:space="preserve"> </w:t>
      </w:r>
      <w:r>
        <w:rPr>
          <w:rFonts w:asciiTheme="majorBidi" w:hAnsiTheme="majorBidi" w:cstheme="majorBidi"/>
          <w:i/>
          <w:sz w:val="18"/>
          <w:szCs w:val="18"/>
        </w:rPr>
        <w:t>dab</w:t>
      </w:r>
      <w:r>
        <w:rPr>
          <w:rFonts w:asciiTheme="majorBidi" w:hAnsiTheme="majorBidi" w:cstheme="majorBidi"/>
          <w:i/>
          <w:spacing w:val="33"/>
          <w:sz w:val="18"/>
          <w:szCs w:val="18"/>
        </w:rPr>
        <w:t xml:space="preserve"> </w:t>
      </w:r>
      <w:r>
        <w:rPr>
          <w:rFonts w:asciiTheme="majorBidi" w:hAnsiTheme="majorBidi" w:cstheme="majorBidi"/>
          <w:i/>
          <w:sz w:val="18"/>
          <w:szCs w:val="18"/>
        </w:rPr>
        <w:t>Kebijakan</w:t>
      </w:r>
      <w:r>
        <w:rPr>
          <w:rFonts w:asciiTheme="majorBidi" w:hAnsiTheme="majorBidi" w:cstheme="majorBidi"/>
          <w:i/>
          <w:spacing w:val="33"/>
          <w:sz w:val="18"/>
          <w:szCs w:val="18"/>
        </w:rPr>
        <w:t xml:space="preserve"> </w:t>
      </w:r>
      <w:r>
        <w:rPr>
          <w:rFonts w:asciiTheme="majorBidi" w:hAnsiTheme="majorBidi" w:cstheme="majorBidi"/>
          <w:i/>
          <w:sz w:val="18"/>
          <w:szCs w:val="18"/>
        </w:rPr>
        <w:t>Pidana,</w:t>
      </w:r>
      <w:r>
        <w:rPr>
          <w:rFonts w:asciiTheme="majorBidi" w:hAnsiTheme="majorBidi" w:cstheme="majorBidi"/>
          <w:i/>
          <w:spacing w:val="33"/>
          <w:sz w:val="18"/>
          <w:szCs w:val="18"/>
        </w:rPr>
        <w:t xml:space="preserve"> (</w:t>
      </w:r>
      <w:r>
        <w:rPr>
          <w:rFonts w:asciiTheme="majorBidi" w:hAnsiTheme="majorBidi" w:cstheme="majorBidi"/>
          <w:iCs/>
          <w:sz w:val="18"/>
          <w:szCs w:val="18"/>
        </w:rPr>
        <w:t>PT.Alumni Bandung)</w:t>
      </w:r>
    </w:p>
  </w:footnote>
  <w:footnote w:id="54">
    <w:p>
      <w:pPr>
        <w:spacing w:after="0" w:line="240" w:lineRule="auto"/>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Wirjono Prodjodikoro, </w:t>
      </w:r>
      <w:r>
        <w:rPr>
          <w:rFonts w:asciiTheme="majorBidi" w:hAnsiTheme="majorBidi" w:cstheme="majorBidi"/>
          <w:i/>
          <w:iCs/>
          <w:sz w:val="18"/>
          <w:szCs w:val="18"/>
        </w:rPr>
        <w:t>Hukum Acara Pidana di Indonesia</w:t>
      </w:r>
      <w:r>
        <w:rPr>
          <w:rFonts w:asciiTheme="majorBidi" w:hAnsiTheme="majorBidi" w:cstheme="majorBidi"/>
          <w:sz w:val="18"/>
          <w:szCs w:val="18"/>
        </w:rPr>
        <w:t>, (Bandung: S</w:t>
      </w:r>
      <w:r>
        <w:rPr>
          <w:rFonts w:asciiTheme="majorBidi" w:hAnsiTheme="majorBidi" w:cstheme="majorBidi"/>
          <w:sz w:val="18"/>
          <w:szCs w:val="18"/>
          <w:lang w:val="en-US"/>
        </w:rPr>
        <w:t>umur</w:t>
      </w:r>
      <w:r>
        <w:rPr>
          <w:rFonts w:asciiTheme="majorBidi" w:hAnsiTheme="majorBidi" w:cstheme="majorBidi"/>
          <w:sz w:val="18"/>
          <w:szCs w:val="18"/>
        </w:rPr>
        <w:t xml:space="preserve"> Bandung,</w:t>
      </w:r>
      <w:r>
        <w:rPr>
          <w:rFonts w:asciiTheme="majorBidi" w:hAnsiTheme="majorBidi" w:cstheme="majorBidi"/>
          <w:spacing w:val="-47"/>
          <w:sz w:val="18"/>
          <w:szCs w:val="18"/>
        </w:rPr>
        <w:t xml:space="preserve"> </w:t>
      </w:r>
      <w:r>
        <w:rPr>
          <w:rFonts w:asciiTheme="majorBidi" w:hAnsiTheme="majorBidi" w:cstheme="majorBidi"/>
          <w:sz w:val="18"/>
          <w:szCs w:val="18"/>
        </w:rPr>
        <w:t>1983),</w:t>
      </w:r>
      <w:r>
        <w:rPr>
          <w:rFonts w:asciiTheme="majorBidi" w:hAnsiTheme="majorBidi" w:cstheme="majorBidi"/>
          <w:spacing w:val="-5"/>
          <w:sz w:val="18"/>
          <w:szCs w:val="18"/>
        </w:rPr>
        <w:t xml:space="preserve"> </w:t>
      </w:r>
      <w:r>
        <w:rPr>
          <w:rFonts w:asciiTheme="majorBidi" w:hAnsiTheme="majorBidi" w:cstheme="majorBidi"/>
          <w:sz w:val="18"/>
          <w:szCs w:val="18"/>
        </w:rPr>
        <w:t>h.</w:t>
      </w:r>
      <w:r>
        <w:rPr>
          <w:rFonts w:asciiTheme="majorBidi" w:hAnsiTheme="majorBidi" w:cstheme="majorBidi"/>
          <w:spacing w:val="4"/>
          <w:sz w:val="18"/>
          <w:szCs w:val="18"/>
        </w:rPr>
        <w:t xml:space="preserve"> </w:t>
      </w:r>
      <w:r>
        <w:rPr>
          <w:rFonts w:asciiTheme="majorBidi" w:hAnsiTheme="majorBidi" w:cstheme="majorBidi"/>
          <w:sz w:val="18"/>
          <w:szCs w:val="18"/>
        </w:rPr>
        <w:t>153</w:t>
      </w:r>
    </w:p>
  </w:footnote>
  <w:footnote w:id="55">
    <w:p>
      <w:pPr>
        <w:pStyle w:val="8"/>
        <w:snapToGrid w:val="0"/>
        <w:ind w:firstLine="440" w:firstLineChars="220"/>
        <w:rPr>
          <w:lang w:val="en-US"/>
        </w:rPr>
      </w:pPr>
      <w:r>
        <w:rPr>
          <w:rStyle w:val="17"/>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UU Nomor 22 Tahun 2010</w:t>
      </w:r>
    </w:p>
  </w:footnote>
  <w:footnote w:id="5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Migran Care, </w:t>
      </w:r>
      <w:r>
        <w:rPr>
          <w:rFonts w:asciiTheme="majorBidi" w:hAnsiTheme="majorBidi" w:cstheme="majorBidi"/>
          <w:i/>
          <w:iCs/>
          <w:sz w:val="18"/>
          <w:szCs w:val="18"/>
          <w:lang w:val="en-US"/>
        </w:rPr>
        <w:t>MU</w:t>
      </w:r>
      <w:r>
        <w:rPr>
          <w:rFonts w:asciiTheme="majorBidi" w:hAnsiTheme="majorBidi" w:cstheme="majorBidi"/>
          <w:i/>
          <w:iCs/>
          <w:sz w:val="18"/>
          <w:szCs w:val="18"/>
        </w:rPr>
        <w:t>: Potret Buruh Migran Indonesia,</w:t>
      </w:r>
      <w:r>
        <w:rPr>
          <w:rFonts w:asciiTheme="majorBidi" w:hAnsiTheme="majorBidi" w:cstheme="majorBidi"/>
          <w:sz w:val="18"/>
          <w:szCs w:val="18"/>
        </w:rPr>
        <w:t xml:space="preserve"> </w:t>
      </w:r>
      <w:r>
        <w:fldChar w:fldCharType="begin"/>
      </w:r>
      <w:r>
        <w:instrText xml:space="preserve"> HYPERLINK "https://migrantcare.net/2017/01/profil-merri-utami/" </w:instrText>
      </w:r>
      <w:r>
        <w:fldChar w:fldCharType="separate"/>
      </w:r>
      <w:r>
        <w:rPr>
          <w:rStyle w:val="18"/>
          <w:rFonts w:asciiTheme="majorBidi" w:hAnsiTheme="majorBidi" w:cstheme="majorBidi"/>
          <w:sz w:val="18"/>
          <w:szCs w:val="18"/>
          <w:u w:val="none"/>
        </w:rPr>
        <w:t>https://migrantcare.net/2017/01/profil-merri-utami/</w:t>
      </w:r>
      <w:r>
        <w:rPr>
          <w:rStyle w:val="18"/>
          <w:rFonts w:asciiTheme="majorBidi" w:hAnsiTheme="majorBidi" w:cstheme="majorBidi"/>
          <w:sz w:val="18"/>
          <w:szCs w:val="18"/>
          <w:u w:val="none"/>
        </w:rPr>
        <w:fldChar w:fldCharType="end"/>
      </w:r>
      <w:r>
        <w:rPr>
          <w:rFonts w:asciiTheme="majorBidi" w:hAnsiTheme="majorBidi" w:cstheme="majorBidi"/>
          <w:sz w:val="18"/>
          <w:szCs w:val="18"/>
        </w:rPr>
        <w:t xml:space="preserve"> (di akses pada 3 maret 2025).</w:t>
      </w:r>
    </w:p>
    <w:p>
      <w:pPr>
        <w:pStyle w:val="8"/>
        <w:ind w:firstLine="437" w:firstLineChars="243"/>
        <w:contextualSpacing/>
        <w:jc w:val="both"/>
        <w:rPr>
          <w:rFonts w:asciiTheme="majorBidi" w:hAnsiTheme="majorBidi" w:cstheme="majorBidi"/>
          <w:sz w:val="18"/>
          <w:szCs w:val="18"/>
        </w:rPr>
      </w:pPr>
    </w:p>
  </w:footnote>
  <w:footnote w:id="57">
    <w:p>
      <w:pPr>
        <w:pStyle w:val="8"/>
        <w:ind w:firstLine="437" w:firstLineChars="243"/>
        <w:contextualSpacing/>
        <w:jc w:val="both"/>
        <w:rPr>
          <w:rFonts w:asciiTheme="majorBidi" w:hAnsiTheme="majorBidi" w:cstheme="majorBidi"/>
          <w:sz w:val="18"/>
          <w:szCs w:val="18"/>
          <w:lang w:val="en-US"/>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Putusan Pengadilan Negeri Tangerang Nomor 140/ Pid.B/2002/PN</w:t>
      </w:r>
      <w:r>
        <w:rPr>
          <w:rFonts w:eastAsia="SimSun" w:asciiTheme="majorBidi" w:hAnsiTheme="majorBidi" w:cstheme="majorBidi"/>
          <w:sz w:val="18"/>
          <w:szCs w:val="18"/>
          <w:lang w:val="en-US"/>
        </w:rPr>
        <w:t>.</w:t>
      </w:r>
    </w:p>
  </w:footnote>
  <w:footnote w:id="5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Sufmi Dasco Ahmad. </w:t>
      </w:r>
      <w:r>
        <w:rPr>
          <w:rFonts w:asciiTheme="majorBidi" w:hAnsiTheme="majorBidi" w:cstheme="majorBidi"/>
          <w:i/>
          <w:iCs/>
          <w:sz w:val="18"/>
          <w:szCs w:val="18"/>
        </w:rPr>
        <w:t xml:space="preserve">Mary dan </w:t>
      </w:r>
      <w:r>
        <w:rPr>
          <w:rFonts w:asciiTheme="majorBidi" w:hAnsiTheme="majorBidi" w:cstheme="majorBidi"/>
          <w:i/>
          <w:iCs/>
          <w:sz w:val="18"/>
          <w:szCs w:val="18"/>
          <w:lang w:val="en-US"/>
        </w:rPr>
        <w:t xml:space="preserve">MU </w:t>
      </w:r>
      <w:r>
        <w:rPr>
          <w:rFonts w:asciiTheme="majorBidi" w:hAnsiTheme="majorBidi" w:cstheme="majorBidi"/>
          <w:i/>
          <w:iCs/>
          <w:sz w:val="18"/>
          <w:szCs w:val="18"/>
        </w:rPr>
        <w:t>Duka Jerat Narkoba.</w:t>
      </w:r>
      <w:r>
        <w:rPr>
          <w:rFonts w:asciiTheme="majorBidi" w:hAnsiTheme="majorBidi" w:cstheme="majorBidi"/>
          <w:sz w:val="18"/>
          <w:szCs w:val="18"/>
        </w:rPr>
        <w:t xml:space="preserve"> (CV. INDOTAMA SOLO 2018).</w:t>
      </w:r>
    </w:p>
  </w:footnote>
  <w:footnote w:id="59">
    <w:p>
      <w:pPr>
        <w:spacing w:after="0" w:line="240" w:lineRule="auto"/>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Dr. Flora Dianti, S.H., M.H. </w:t>
      </w:r>
      <w:r>
        <w:rPr>
          <w:rFonts w:asciiTheme="majorBidi" w:hAnsiTheme="majorBidi" w:cstheme="majorBidi"/>
          <w:i/>
          <w:iCs/>
          <w:sz w:val="18"/>
          <w:szCs w:val="18"/>
        </w:rPr>
        <w:t>Apa Perbedaan Alat Bukti Dan Barang Bukti</w:t>
      </w:r>
      <w:r>
        <w:rPr>
          <w:rFonts w:asciiTheme="majorBidi" w:hAnsiTheme="majorBidi" w:cstheme="majorBidi"/>
          <w:i/>
          <w:iCs/>
          <w:sz w:val="18"/>
          <w:szCs w:val="18"/>
          <w:lang w:val="en-US"/>
        </w:rPr>
        <w:t xml:space="preserve">, </w:t>
      </w:r>
      <w:r>
        <w:fldChar w:fldCharType="begin"/>
      </w:r>
      <w:r>
        <w:instrText xml:space="preserve"> HYPERLINK "https://www.hukumonline.com/klinik/a/apa-perbedaan-alat-bukti-dengan-barang-bukti--lt4e8ec99e4d2ae/" </w:instrText>
      </w:r>
      <w:r>
        <w:fldChar w:fldCharType="separate"/>
      </w:r>
      <w:r>
        <w:rPr>
          <w:rStyle w:val="18"/>
          <w:rFonts w:asciiTheme="majorBidi" w:hAnsiTheme="majorBidi" w:cstheme="majorBidi"/>
          <w:sz w:val="18"/>
          <w:szCs w:val="18"/>
          <w:u w:val="none"/>
        </w:rPr>
        <w:t>https://www.hukumonline.com/klinik/a/apa-perbedaan-alat-bukti-dengan-barang-bukti--lt4e8ec99e4d2ae/</w:t>
      </w:r>
      <w:r>
        <w:rPr>
          <w:rStyle w:val="18"/>
          <w:rFonts w:asciiTheme="majorBidi" w:hAnsiTheme="majorBidi" w:cstheme="majorBidi"/>
          <w:sz w:val="18"/>
          <w:szCs w:val="18"/>
          <w:u w:val="none"/>
        </w:rPr>
        <w:fldChar w:fldCharType="end"/>
      </w:r>
      <w:r>
        <w:rPr>
          <w:rFonts w:asciiTheme="majorBidi" w:hAnsiTheme="majorBidi" w:cstheme="majorBidi"/>
          <w:sz w:val="18"/>
          <w:szCs w:val="18"/>
        </w:rPr>
        <w:t xml:space="preserve"> (di akses pada 10 maret 2025)</w:t>
      </w:r>
    </w:p>
    <w:p>
      <w:pPr>
        <w:pStyle w:val="8"/>
        <w:contextualSpacing/>
        <w:jc w:val="both"/>
        <w:rPr>
          <w:rFonts w:asciiTheme="majorBidi" w:hAnsiTheme="majorBidi" w:cstheme="majorBidi"/>
          <w:sz w:val="18"/>
          <w:szCs w:val="18"/>
        </w:rPr>
      </w:pPr>
    </w:p>
  </w:footnote>
  <w:footnote w:id="6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Aris Setiawan. </w:t>
      </w:r>
      <w:r>
        <w:rPr>
          <w:rFonts w:asciiTheme="majorBidi" w:hAnsiTheme="majorBidi" w:cstheme="majorBidi"/>
          <w:i/>
          <w:iCs/>
          <w:sz w:val="18"/>
          <w:szCs w:val="18"/>
        </w:rPr>
        <w:t xml:space="preserve">Mengenal Putusan Perdata Dalam Peradilan, </w:t>
      </w:r>
      <w:r>
        <w:fldChar w:fldCharType="begin"/>
      </w:r>
      <w:r>
        <w:instrText xml:space="preserve"> HYPERLINK "https://www.pa-slawi.go.id/artikel-pa/822-mengenal-putusan-perdata-dalam-peradilan" \l ":~:text=Menurut%20Prof.%20DR.%20Sudikno%20Mertokusumo,atau%20masalah%20antar%20pihak.3" </w:instrText>
      </w:r>
      <w:r>
        <w:fldChar w:fldCharType="separate"/>
      </w:r>
      <w:r>
        <w:rPr>
          <w:rStyle w:val="18"/>
          <w:rFonts w:asciiTheme="majorBidi" w:hAnsiTheme="majorBidi" w:cstheme="majorBidi"/>
          <w:sz w:val="18"/>
          <w:szCs w:val="18"/>
          <w:u w:val="none"/>
        </w:rPr>
        <w:t>https://www.pa-slawi.go.id/artikel-pa/822-mengenal-putusan-perdata-dalam-peradilan#:~:text=Menurut%20Prof.%20DR.%20Sudikno%20Mertokusumo,atau%20masalah%20antar%20pihak.3</w:t>
      </w:r>
      <w:r>
        <w:rPr>
          <w:rStyle w:val="18"/>
          <w:rFonts w:asciiTheme="majorBidi" w:hAnsiTheme="majorBidi" w:cstheme="majorBidi"/>
          <w:sz w:val="18"/>
          <w:szCs w:val="18"/>
          <w:u w:val="none"/>
        </w:rPr>
        <w:fldChar w:fldCharType="end"/>
      </w:r>
      <w:r>
        <w:rPr>
          <w:rFonts w:asciiTheme="majorBidi" w:hAnsiTheme="majorBidi" w:cstheme="majorBidi"/>
          <w:sz w:val="18"/>
          <w:szCs w:val="18"/>
        </w:rPr>
        <w:t xml:space="preserve"> (di akses pada 10 maret 2025 11:23</w:t>
      </w:r>
      <w:r>
        <w:rPr>
          <w:rFonts w:asciiTheme="majorBidi" w:hAnsiTheme="majorBidi" w:cstheme="majorBidi"/>
          <w:sz w:val="18"/>
          <w:szCs w:val="18"/>
          <w:lang w:val="en-US"/>
        </w:rPr>
        <w:t>WIB</w:t>
      </w:r>
      <w:r>
        <w:rPr>
          <w:rFonts w:asciiTheme="majorBidi" w:hAnsiTheme="majorBidi" w:cstheme="majorBidi"/>
          <w:sz w:val="18"/>
          <w:szCs w:val="18"/>
        </w:rPr>
        <w:t>)</w:t>
      </w:r>
    </w:p>
  </w:footnote>
  <w:footnote w:id="6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Raymon Dart Pakpahan, Herlina Manullang, Roida Nababan, </w:t>
      </w:r>
      <w:r>
        <w:rPr>
          <w:rFonts w:eastAsia="SimSun" w:asciiTheme="majorBidi" w:hAnsiTheme="majorBidi" w:cstheme="majorBidi"/>
          <w:i/>
          <w:iCs/>
          <w:sz w:val="18"/>
          <w:szCs w:val="18"/>
        </w:rPr>
        <w:t>Analisis Dasar Pertimbangan Hakim Dalam Menjatuhkan Pidana Kepada Yang Membuka Lahan Dengan Cara Membakar (Studi Putusan Nomor 623/Pid.B/2019/Pn.BTA)</w:t>
      </w:r>
      <w:r>
        <w:rPr>
          <w:rFonts w:eastAsia="SimSun" w:asciiTheme="majorBidi" w:hAnsiTheme="majorBidi" w:cstheme="majorBidi"/>
          <w:sz w:val="18"/>
          <w:szCs w:val="18"/>
        </w:rPr>
        <w:t xml:space="preserve">, PATIK: Jurnal Hukum, (Volume 07 Nomor 02, Agustus 2018) 123 - 136. </w:t>
      </w:r>
    </w:p>
  </w:footnote>
  <w:footnote w:id="6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Putra Halomoan Hsb, </w:t>
      </w:r>
      <w:r>
        <w:rPr>
          <w:rFonts w:eastAsia="SimSun" w:asciiTheme="majorBidi" w:hAnsiTheme="majorBidi" w:cstheme="majorBidi"/>
          <w:i/>
          <w:iCs/>
          <w:sz w:val="18"/>
          <w:szCs w:val="18"/>
        </w:rPr>
        <w:t>Tinjauan Yuridis Tentang Upaya-Upaya Hukum,</w:t>
      </w:r>
      <w:r>
        <w:rPr>
          <w:rFonts w:eastAsia="SimSun" w:asciiTheme="majorBidi" w:hAnsiTheme="majorBidi" w:cstheme="majorBidi"/>
          <w:sz w:val="18"/>
          <w:szCs w:val="18"/>
        </w:rPr>
        <w:t xml:space="preserve">Yurisprudentia (Volume 1 Nomor 1 Juni 2015).  </w:t>
      </w:r>
    </w:p>
  </w:footnote>
  <w:footnote w:id="63">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Yennni ratna pratiwi, artikel djkn, </w:t>
      </w:r>
      <w:r>
        <w:rPr>
          <w:rFonts w:asciiTheme="majorBidi" w:hAnsiTheme="majorBidi" w:cstheme="majorBidi"/>
          <w:i/>
          <w:iCs/>
          <w:sz w:val="18"/>
          <w:szCs w:val="18"/>
        </w:rPr>
        <w:t>Menanggapi Adanaya Permohonan Peninjauan Kembali (P</w:t>
      </w:r>
      <w:r>
        <w:rPr>
          <w:rFonts w:asciiTheme="majorBidi" w:hAnsiTheme="majorBidi" w:cstheme="majorBidi"/>
          <w:i/>
          <w:iCs/>
          <w:sz w:val="18"/>
          <w:szCs w:val="18"/>
          <w:lang w:val="en-US"/>
        </w:rPr>
        <w:t>K</w:t>
      </w:r>
      <w:r>
        <w:rPr>
          <w:rFonts w:asciiTheme="majorBidi" w:hAnsiTheme="majorBidi" w:cstheme="majorBidi"/>
          <w:i/>
          <w:iCs/>
          <w:sz w:val="18"/>
          <w:szCs w:val="18"/>
        </w:rPr>
        <w:t xml:space="preserve">) Dari Lawan”, </w:t>
      </w:r>
      <w:r>
        <w:fldChar w:fldCharType="begin"/>
      </w:r>
      <w:r>
        <w:instrText xml:space="preserve"> HYPERLINK "https://www.djkn.kemenkeu.go.id/artikel/baca/12955/Menanggapi-Adanya-Permohonan%20Peninjauan-Kembali-PK-Dari-Lawan.html" </w:instrText>
      </w:r>
      <w:r>
        <w:fldChar w:fldCharType="separate"/>
      </w:r>
      <w:r>
        <w:rPr>
          <w:rStyle w:val="18"/>
          <w:rFonts w:asciiTheme="majorBidi" w:hAnsiTheme="majorBidi" w:cstheme="majorBidi"/>
          <w:sz w:val="18"/>
          <w:szCs w:val="18"/>
          <w:u w:val="none"/>
        </w:rPr>
        <w:t>https://www.djkn.kemenkeu.go.id/artikel/baca/12955/Menanggapi-Adanya-Permohonan%20Peninjauan-Kembali-PK-Dari-Lawan.html</w:t>
      </w:r>
      <w:r>
        <w:rPr>
          <w:rStyle w:val="18"/>
          <w:rFonts w:asciiTheme="majorBidi" w:hAnsiTheme="majorBidi" w:cstheme="majorBidi"/>
          <w:sz w:val="18"/>
          <w:szCs w:val="18"/>
          <w:u w:val="none"/>
        </w:rPr>
        <w:fldChar w:fldCharType="end"/>
      </w:r>
      <w:r>
        <w:rPr>
          <w:rFonts w:asciiTheme="majorBidi" w:hAnsiTheme="majorBidi" w:cstheme="majorBidi"/>
          <w:sz w:val="18"/>
          <w:szCs w:val="18"/>
        </w:rPr>
        <w:t xml:space="preserve"> (di akses pada 10 </w:t>
      </w:r>
      <w:r>
        <w:rPr>
          <w:rFonts w:asciiTheme="majorBidi" w:hAnsiTheme="majorBidi" w:cstheme="majorBidi"/>
          <w:sz w:val="18"/>
          <w:szCs w:val="18"/>
          <w:lang w:val="en-US"/>
        </w:rPr>
        <w:t>M</w:t>
      </w:r>
      <w:r>
        <w:rPr>
          <w:rFonts w:asciiTheme="majorBidi" w:hAnsiTheme="majorBidi" w:cstheme="majorBidi"/>
          <w:sz w:val="18"/>
          <w:szCs w:val="18"/>
        </w:rPr>
        <w:t>aret 2025)</w:t>
      </w:r>
    </w:p>
    <w:p>
      <w:pPr>
        <w:pStyle w:val="8"/>
        <w:ind w:firstLine="437" w:firstLineChars="243"/>
        <w:contextualSpacing/>
        <w:jc w:val="both"/>
        <w:rPr>
          <w:rFonts w:asciiTheme="majorBidi" w:hAnsiTheme="majorBidi" w:cstheme="majorBidi"/>
          <w:sz w:val="18"/>
          <w:szCs w:val="18"/>
        </w:rPr>
      </w:pPr>
    </w:p>
  </w:footnote>
  <w:footnote w:id="64">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Hafidz MU ftisany, </w:t>
      </w:r>
      <w:r>
        <w:rPr>
          <w:rFonts w:asciiTheme="majorBidi" w:hAnsiTheme="majorBidi" w:cstheme="majorBidi"/>
          <w:i/>
          <w:iCs/>
          <w:sz w:val="18"/>
          <w:szCs w:val="18"/>
          <w:lang w:val="en-US"/>
        </w:rPr>
        <w:t xml:space="preserve">Narkotika Dalam fikih Islam, </w:t>
      </w:r>
      <w:r>
        <w:fldChar w:fldCharType="begin"/>
      </w:r>
      <w:r>
        <w:instrText xml:space="preserve"> HYPERLINK "https://republika.co.id/berita/koran/dialog-jumat/15/05/08/no0x0828-narkotika-dalam-fikih-islam" </w:instrText>
      </w:r>
      <w:r>
        <w:fldChar w:fldCharType="separate"/>
      </w:r>
      <w:r>
        <w:rPr>
          <w:rStyle w:val="18"/>
          <w:rFonts w:asciiTheme="majorBidi" w:hAnsiTheme="majorBidi" w:cstheme="majorBidi"/>
          <w:sz w:val="18"/>
          <w:szCs w:val="18"/>
          <w:u w:val="none"/>
          <w:lang w:val="en-US"/>
        </w:rPr>
        <w:t>https://republika.co.id/berita/koran/dialog-jumat/15/05/08/no0x0828-narkotika-dalam-fikih-Islam</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6 Mei 2025 pukul 11:29 WIB.</w:t>
      </w:r>
    </w:p>
  </w:footnote>
  <w:footnote w:id="65">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Kristina, Pengertian </w:t>
      </w:r>
      <w:r>
        <w:rPr>
          <w:rFonts w:asciiTheme="majorBidi" w:hAnsiTheme="majorBidi" w:cstheme="majorBidi"/>
          <w:i/>
          <w:iCs/>
          <w:sz w:val="18"/>
          <w:szCs w:val="18"/>
          <w:lang w:val="en-US"/>
        </w:rPr>
        <w:t xml:space="preserve">Qiyas Sebagai Sumber Hukum Keempat, </w:t>
      </w:r>
      <w:r>
        <w:fldChar w:fldCharType="begin"/>
      </w:r>
      <w:r>
        <w:instrText xml:space="preserve"> HYPERLINK "https://www.detik.com/edu/detikpedia/d-5787900/pengertian-qiyas-sebagai-sumber-hukum-islam-yang-keempat" </w:instrText>
      </w:r>
      <w:r>
        <w:fldChar w:fldCharType="separate"/>
      </w:r>
      <w:r>
        <w:rPr>
          <w:rStyle w:val="18"/>
          <w:rFonts w:asciiTheme="majorBidi" w:hAnsiTheme="majorBidi" w:cstheme="majorBidi"/>
          <w:sz w:val="18"/>
          <w:szCs w:val="18"/>
          <w:u w:val="none"/>
          <w:lang w:val="en-US"/>
        </w:rPr>
        <w:t>https://www.detik.com/edu/detikpedia/d-5787900/pengertian-qiyas-sebagai-sumber-hukum-Islam-yang-keempat</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6 Mei 2025 pukul 12:10 WIB</w:t>
      </w:r>
    </w:p>
    <w:p>
      <w:pPr>
        <w:pStyle w:val="8"/>
        <w:ind w:firstLine="437" w:firstLineChars="243"/>
        <w:contextualSpacing/>
        <w:jc w:val="both"/>
        <w:rPr>
          <w:rFonts w:asciiTheme="majorBidi" w:hAnsiTheme="majorBidi" w:cstheme="majorBidi"/>
          <w:sz w:val="18"/>
          <w:szCs w:val="18"/>
        </w:rPr>
      </w:pPr>
    </w:p>
  </w:footnote>
  <w:footnote w:id="6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Hadis Sunan Ibnu Majah No 3377, </w:t>
      </w:r>
      <w:r>
        <w:rPr>
          <w:rFonts w:asciiTheme="majorBidi" w:hAnsiTheme="majorBidi" w:cstheme="majorBidi"/>
          <w:i/>
          <w:iCs/>
          <w:sz w:val="18"/>
          <w:szCs w:val="18"/>
          <w:lang w:val="en-US"/>
        </w:rPr>
        <w:t xml:space="preserve">Setiap yang Memabukkan Adalah Haram. </w:t>
      </w:r>
      <w:r>
        <w:fldChar w:fldCharType="begin"/>
      </w:r>
      <w:r>
        <w:instrText xml:space="preserve"> HYPERLINK "https://www.hadits.id/hadits/majah/3377" </w:instrText>
      </w:r>
      <w:r>
        <w:fldChar w:fldCharType="separate"/>
      </w:r>
      <w:r>
        <w:rPr>
          <w:rStyle w:val="18"/>
          <w:rFonts w:asciiTheme="majorBidi" w:hAnsiTheme="majorBidi" w:cstheme="majorBidi"/>
          <w:sz w:val="18"/>
          <w:szCs w:val="18"/>
          <w:u w:val="none"/>
          <w:lang w:val="en-US"/>
        </w:rPr>
        <w:t>https://www.hadits.id/hadits/majah/3377</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07 Mei 2025 pukul 08:08 WIB.</w:t>
      </w:r>
    </w:p>
  </w:footnote>
  <w:footnote w:id="67">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Riyo Saputra, </w:t>
      </w:r>
      <w:r>
        <w:rPr>
          <w:rFonts w:asciiTheme="majorBidi" w:hAnsiTheme="majorBidi" w:cstheme="majorBidi"/>
          <w:i/>
          <w:iCs/>
          <w:sz w:val="18"/>
          <w:szCs w:val="18"/>
          <w:lang w:val="en-US"/>
        </w:rPr>
        <w:t>Studi Kritis Terhadap Putusan Pengadilan Negeri Bangkinang Perkara No 01/Pid.B/2013/PN.BKN Tentang Narkotika Perspektif HukumPida Islam,</w:t>
      </w:r>
      <w:r>
        <w:rPr>
          <w:rFonts w:asciiTheme="majorBidi" w:hAnsiTheme="majorBidi" w:cstheme="majorBidi"/>
          <w:sz w:val="18"/>
          <w:szCs w:val="18"/>
          <w:lang w:val="en-US"/>
        </w:rPr>
        <w:t xml:space="preserve"> Skripsi: 2015 32.</w:t>
      </w:r>
    </w:p>
  </w:footnote>
  <w:footnote w:id="6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Maidah Ayat:5:90).</w:t>
      </w:r>
    </w:p>
  </w:footnote>
  <w:footnote w:id="6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Baqarah:2:219).</w:t>
      </w:r>
    </w:p>
  </w:footnote>
  <w:footnote w:id="70">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Nurul Irfan dan Masyrofah, </w:t>
      </w:r>
      <w:r>
        <w:rPr>
          <w:rFonts w:eastAsia="SimSun" w:asciiTheme="majorBidi" w:hAnsiTheme="majorBidi" w:cstheme="majorBidi"/>
          <w:i/>
          <w:iCs/>
          <w:sz w:val="18"/>
          <w:szCs w:val="18"/>
        </w:rPr>
        <w:t>Fiqh Jinayah,..</w:t>
      </w:r>
      <w:r>
        <w:rPr>
          <w:rFonts w:eastAsia="SimSun" w:asciiTheme="majorBidi" w:hAnsiTheme="majorBidi" w:cstheme="majorBidi"/>
          <w:sz w:val="18"/>
          <w:szCs w:val="18"/>
        </w:rPr>
        <w:t xml:space="preserve"> </w:t>
      </w:r>
      <w:r>
        <w:rPr>
          <w:rFonts w:eastAsia="SimSun" w:asciiTheme="majorBidi" w:hAnsiTheme="majorBidi" w:cstheme="majorBidi"/>
          <w:sz w:val="18"/>
          <w:szCs w:val="18"/>
          <w:lang w:val="en-US"/>
        </w:rPr>
        <w:t>h.</w:t>
      </w:r>
      <w:r>
        <w:rPr>
          <w:rFonts w:eastAsia="SimSun" w:asciiTheme="majorBidi" w:hAnsiTheme="majorBidi" w:cstheme="majorBidi"/>
          <w:sz w:val="18"/>
          <w:szCs w:val="18"/>
        </w:rPr>
        <w:t xml:space="preserve"> 172</w:t>
      </w:r>
    </w:p>
  </w:footnote>
  <w:footnote w:id="7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Maidah Ayat:5:90).</w:t>
      </w:r>
    </w:p>
  </w:footnote>
  <w:footnote w:id="72">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Ibnu Taimiyah,</w:t>
      </w:r>
      <w:r>
        <w:rPr>
          <w:rFonts w:eastAsia="SimSun" w:asciiTheme="majorBidi" w:hAnsiTheme="majorBidi" w:cstheme="majorBidi"/>
          <w:i/>
          <w:iCs/>
          <w:sz w:val="18"/>
          <w:szCs w:val="18"/>
        </w:rPr>
        <w:t xml:space="preserve"> Majmu</w:t>
      </w:r>
      <w:r>
        <w:rPr>
          <w:rFonts w:eastAsia="SimSun" w:asciiTheme="majorBidi" w:hAnsiTheme="majorBidi" w:cstheme="majorBidi"/>
          <w:i/>
          <w:iCs/>
          <w:sz w:val="18"/>
          <w:szCs w:val="18"/>
          <w:lang w:val="en-US"/>
        </w:rPr>
        <w:t xml:space="preserve"> </w:t>
      </w:r>
      <w:r>
        <w:rPr>
          <w:rFonts w:eastAsia="SimSun" w:asciiTheme="majorBidi" w:hAnsiTheme="majorBidi" w:cstheme="majorBidi"/>
          <w:i/>
          <w:iCs/>
          <w:sz w:val="18"/>
          <w:szCs w:val="18"/>
        </w:rPr>
        <w:t>’ fatawa, juz 34</w:t>
      </w:r>
      <w:r>
        <w:rPr>
          <w:rFonts w:eastAsia="SimSun" w:asciiTheme="majorBidi" w:hAnsiTheme="majorBidi" w:cstheme="majorBidi"/>
          <w:sz w:val="18"/>
          <w:szCs w:val="18"/>
        </w:rPr>
        <w:t xml:space="preserve">, (Madinah: </w:t>
      </w:r>
      <w:r>
        <w:rPr>
          <w:rFonts w:eastAsia="SimSun" w:asciiTheme="majorBidi" w:hAnsiTheme="majorBidi" w:cstheme="majorBidi"/>
          <w:sz w:val="18"/>
          <w:szCs w:val="18"/>
          <w:lang w:val="en-US"/>
        </w:rPr>
        <w:t xml:space="preserve">MU </w:t>
      </w:r>
      <w:r>
        <w:rPr>
          <w:rFonts w:eastAsia="SimSun" w:asciiTheme="majorBidi" w:hAnsiTheme="majorBidi" w:cstheme="majorBidi"/>
          <w:sz w:val="18"/>
          <w:szCs w:val="18"/>
        </w:rPr>
        <w:t>jamma’ al-Malik Fadh li al-Taba’ah al</w:t>
      </w:r>
      <w:r>
        <w:rPr>
          <w:rFonts w:eastAsia="SimSun" w:asciiTheme="majorBidi" w:hAnsiTheme="majorBidi" w:cstheme="majorBidi"/>
          <w:sz w:val="18"/>
          <w:szCs w:val="18"/>
          <w:lang w:val="en-US"/>
        </w:rPr>
        <w:t xml:space="preserve">MU </w:t>
      </w:r>
      <w:r>
        <w:rPr>
          <w:rFonts w:eastAsia="SimSun" w:asciiTheme="majorBidi" w:hAnsiTheme="majorBidi" w:cstheme="majorBidi"/>
          <w:sz w:val="18"/>
          <w:szCs w:val="18"/>
        </w:rPr>
        <w:t>shaf al-Sharif, 2004)186</w:t>
      </w:r>
    </w:p>
  </w:footnote>
  <w:footnote w:id="73">
    <w:p>
      <w:pPr>
        <w:pStyle w:val="8"/>
        <w:snapToGrid w:val="0"/>
        <w:ind w:firstLine="440" w:firstLineChars="220"/>
      </w:pPr>
      <w:r>
        <w:rPr>
          <w:rStyle w:val="17"/>
        </w:rPr>
        <w:footnoteRef/>
      </w:r>
      <w:r>
        <w:t xml:space="preserve"> </w:t>
      </w:r>
      <w:r>
        <w:rPr>
          <w:rFonts w:ascii="Times New Roman" w:hAnsi="Times New Roman" w:eastAsia="SimSun" w:cs="Times New Roman"/>
          <w:sz w:val="18"/>
          <w:szCs w:val="18"/>
        </w:rPr>
        <w:t xml:space="preserve">Ahmad Bahar, </w:t>
      </w:r>
      <w:r>
        <w:rPr>
          <w:rFonts w:ascii="Times New Roman" w:hAnsi="Times New Roman" w:eastAsia="SimSun" w:cs="Times New Roman"/>
          <w:i/>
          <w:iCs/>
          <w:sz w:val="18"/>
          <w:szCs w:val="18"/>
        </w:rPr>
        <w:t>Lihan Ustadz Pengusaha</w:t>
      </w:r>
      <w:r>
        <w:rPr>
          <w:rFonts w:ascii="Times New Roman" w:hAnsi="Times New Roman" w:eastAsia="SimSun" w:cs="Times New Roman"/>
          <w:i/>
          <w:iCs/>
          <w:sz w:val="18"/>
          <w:szCs w:val="18"/>
          <w:lang w:val="en-US"/>
        </w:rPr>
        <w:t>,</w:t>
      </w:r>
      <w:r>
        <w:rPr>
          <w:rFonts w:ascii="Times New Roman" w:hAnsi="Times New Roman" w:eastAsia="SimSun" w:cs="Times New Roman"/>
          <w:sz w:val="18"/>
          <w:szCs w:val="18"/>
        </w:rPr>
        <w:t xml:space="preserve"> (Cet. 2; Jakarta: Pena Multi Media, 2008), h. 141</w:t>
      </w:r>
      <w:r>
        <w:rPr>
          <w:rFonts w:ascii="Times New Roman" w:hAnsi="Times New Roman" w:eastAsia="SimSun" w:cs="Times New Roman"/>
          <w:sz w:val="18"/>
          <w:szCs w:val="18"/>
          <w:lang w:val="en-US"/>
        </w:rPr>
        <w:t>-</w:t>
      </w:r>
      <w:r>
        <w:rPr>
          <w:rFonts w:ascii="Times New Roman" w:hAnsi="Times New Roman" w:eastAsia="SimSun" w:cs="Times New Roman"/>
          <w:sz w:val="18"/>
          <w:szCs w:val="18"/>
        </w:rPr>
        <w:t>142</w:t>
      </w:r>
    </w:p>
  </w:footnote>
  <w:footnote w:id="74">
    <w:p>
      <w:pPr>
        <w:pStyle w:val="8"/>
        <w:snapToGrid w:val="0"/>
        <w:ind w:firstLine="439" w:firstLineChars="244"/>
        <w:rPr>
          <w:rFonts w:ascii="Times New Roman" w:hAnsi="Times New Roman" w:cs="Times New Roman"/>
          <w:sz w:val="18"/>
          <w:szCs w:val="18"/>
          <w:lang w:val="en-US"/>
        </w:rPr>
      </w:pPr>
      <w:r>
        <w:rPr>
          <w:rStyle w:val="17"/>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 xml:space="preserve">Ibn Taimiyah, </w:t>
      </w:r>
      <w:r>
        <w:rPr>
          <w:rFonts w:ascii="Times New Roman" w:hAnsi="Times New Roman" w:cs="Times New Roman"/>
          <w:i/>
          <w:iCs/>
          <w:sz w:val="18"/>
          <w:szCs w:val="18"/>
          <w:lang w:val="en-US"/>
        </w:rPr>
        <w:t>Majmu’ Al Fatawa</w:t>
      </w:r>
      <w:r>
        <w:rPr>
          <w:rFonts w:ascii="Times New Roman" w:hAnsi="Times New Roman" w:cs="Times New Roman"/>
          <w:sz w:val="18"/>
          <w:szCs w:val="18"/>
          <w:lang w:val="en-US"/>
        </w:rPr>
        <w:t>, Jilid 34, h.204</w:t>
      </w:r>
    </w:p>
  </w:footnote>
  <w:footnote w:id="75">
    <w:p>
      <w:pPr>
        <w:pStyle w:val="8"/>
        <w:snapToGrid w:val="0"/>
        <w:ind w:firstLine="439" w:firstLineChars="244"/>
        <w:jc w:val="both"/>
        <w:rPr>
          <w:rFonts w:ascii="Times New Roman" w:hAnsi="Times New Roman" w:cs="Times New Roman"/>
          <w:sz w:val="18"/>
          <w:szCs w:val="18"/>
          <w:lang w:val="en-US"/>
        </w:rPr>
      </w:pPr>
      <w:r>
        <w:rPr>
          <w:rStyle w:val="17"/>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 xml:space="preserve">Ibn Taimiyah, </w:t>
      </w:r>
      <w:r>
        <w:rPr>
          <w:rFonts w:ascii="Times New Roman" w:hAnsi="Times New Roman" w:cs="Times New Roman"/>
          <w:i/>
          <w:iCs/>
          <w:sz w:val="18"/>
          <w:szCs w:val="18"/>
          <w:lang w:val="en-US"/>
        </w:rPr>
        <w:t>Majmu’ Al Fatawa</w:t>
      </w:r>
      <w:r>
        <w:rPr>
          <w:rFonts w:ascii="Times New Roman" w:hAnsi="Times New Roman" w:cs="Times New Roman"/>
          <w:sz w:val="18"/>
          <w:szCs w:val="18"/>
          <w:lang w:val="en-US"/>
        </w:rPr>
        <w:t>, Maktabah Riyad Hadithah:jilid 34, h.204</w:t>
      </w:r>
    </w:p>
  </w:footnote>
  <w:footnote w:id="76">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Mardani, </w:t>
      </w:r>
      <w:r>
        <w:rPr>
          <w:rFonts w:eastAsia="SimSun" w:asciiTheme="majorBidi" w:hAnsiTheme="majorBidi" w:cstheme="majorBidi"/>
          <w:i/>
          <w:iCs/>
          <w:sz w:val="18"/>
          <w:szCs w:val="18"/>
        </w:rPr>
        <w:t>Penyalahgunaan Narkotika dalam Perspektif Hukum Islam dan Hukum Pidana Nasional</w:t>
      </w:r>
      <w:r>
        <w:rPr>
          <w:rFonts w:eastAsia="SimSun" w:asciiTheme="majorBidi" w:hAnsiTheme="majorBidi" w:cstheme="majorBidi"/>
          <w:sz w:val="18"/>
          <w:szCs w:val="18"/>
        </w:rPr>
        <w:t xml:space="preserve">, (Jakarta: Raja Grafindo Persada, 2008), cet. ke-1, h. </w:t>
      </w:r>
      <w:r>
        <w:rPr>
          <w:rFonts w:eastAsia="SimSun" w:asciiTheme="majorBidi" w:hAnsiTheme="majorBidi" w:cstheme="majorBidi"/>
          <w:sz w:val="18"/>
          <w:szCs w:val="18"/>
          <w:lang w:val="en-US"/>
        </w:rPr>
        <w:t>126-127</w:t>
      </w:r>
    </w:p>
  </w:footnote>
  <w:footnote w:id="77">
    <w:p>
      <w:pPr>
        <w:pStyle w:val="8"/>
        <w:snapToGrid w:val="0"/>
        <w:ind w:firstLine="440" w:firstLineChars="220"/>
      </w:pPr>
      <w:r>
        <w:rPr>
          <w:rStyle w:val="17"/>
        </w:rPr>
        <w:footnoteRef/>
      </w:r>
      <w:r>
        <w:t xml:space="preserve"> </w:t>
      </w:r>
      <w:r>
        <w:rPr>
          <w:rFonts w:ascii="Times New Roman" w:hAnsi="Times New Roman" w:eastAsia="SimSun" w:cs="Times New Roman"/>
          <w:sz w:val="18"/>
          <w:szCs w:val="18"/>
        </w:rPr>
        <w:t>Amir Syarifuddin, Garis-garis Besar Fiqih (Cet. 1; Jakarta: Kencana, 2003), h. 293</w:t>
      </w:r>
    </w:p>
  </w:footnote>
  <w:footnote w:id="7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Hadis Shahih Bukhari No 6275, </w:t>
      </w:r>
      <w:r>
        <w:rPr>
          <w:rFonts w:asciiTheme="majorBidi" w:hAnsiTheme="majorBidi" w:cstheme="majorBidi"/>
          <w:i/>
          <w:iCs/>
          <w:sz w:val="18"/>
          <w:szCs w:val="18"/>
          <w:lang w:val="en-US"/>
        </w:rPr>
        <w:t>Mendera Peminum Khamar</w:t>
      </w:r>
      <w:r>
        <w:rPr>
          <w:rFonts w:asciiTheme="majorBidi" w:hAnsiTheme="majorBidi" w:cstheme="majorBidi"/>
          <w:sz w:val="18"/>
          <w:szCs w:val="18"/>
          <w:lang w:val="en-US"/>
        </w:rPr>
        <w:t xml:space="preserve">, </w:t>
      </w:r>
      <w:r>
        <w:fldChar w:fldCharType="begin"/>
      </w:r>
      <w:r>
        <w:instrText xml:space="preserve"> HYPERLINK "https://www.hadits.id/hadits/bukhari/6275" </w:instrText>
      </w:r>
      <w:r>
        <w:fldChar w:fldCharType="separate"/>
      </w:r>
      <w:r>
        <w:rPr>
          <w:rStyle w:val="18"/>
          <w:rFonts w:asciiTheme="majorBidi" w:hAnsiTheme="majorBidi" w:cstheme="majorBidi"/>
          <w:sz w:val="18"/>
          <w:szCs w:val="18"/>
          <w:u w:val="none"/>
          <w:lang w:val="en-US"/>
        </w:rPr>
        <w:t>https://www.hadits.id/hadits/bukhari/6275</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3 Mei 2025 21:39 WIB.</w:t>
      </w:r>
    </w:p>
  </w:footnote>
  <w:footnote w:id="79">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Mas Nur Aini Savitri, </w:t>
      </w:r>
      <w:r>
        <w:rPr>
          <w:rFonts w:asciiTheme="majorBidi" w:hAnsiTheme="majorBidi" w:cstheme="majorBidi"/>
          <w:i/>
          <w:iCs/>
          <w:sz w:val="18"/>
          <w:szCs w:val="18"/>
        </w:rPr>
        <w:t>Hukuman Bagi Pelaku Tindak Pidana Narkotika Menurut Ibnu Taimiyah dan Wahab Zuhaili,</w:t>
      </w:r>
      <w:r>
        <w:rPr>
          <w:rFonts w:asciiTheme="majorBidi" w:hAnsiTheme="majorBidi" w:cstheme="majorBidi"/>
          <w:sz w:val="18"/>
          <w:szCs w:val="18"/>
        </w:rPr>
        <w:t xml:space="preserve"> (Skripsi Tahun 2018), 35</w:t>
      </w:r>
    </w:p>
  </w:footnote>
  <w:footnote w:id="8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M.Nashiruddin Al-albani, </w:t>
      </w:r>
      <w:r>
        <w:rPr>
          <w:rFonts w:eastAsia="SimSun" w:asciiTheme="majorBidi" w:hAnsiTheme="majorBidi" w:cstheme="majorBidi"/>
          <w:i/>
          <w:iCs/>
          <w:sz w:val="18"/>
          <w:szCs w:val="18"/>
        </w:rPr>
        <w:t xml:space="preserve">Ringkasan Shahih </w:t>
      </w:r>
      <w:r>
        <w:rPr>
          <w:rFonts w:eastAsia="SimSun" w:asciiTheme="majorBidi" w:hAnsiTheme="majorBidi" w:cstheme="majorBidi"/>
          <w:i/>
          <w:iCs/>
          <w:sz w:val="18"/>
          <w:szCs w:val="18"/>
          <w:lang w:val="en-US"/>
        </w:rPr>
        <w:t>Muslim</w:t>
      </w:r>
      <w:r>
        <w:rPr>
          <w:rFonts w:eastAsia="SimSun" w:asciiTheme="majorBidi" w:hAnsiTheme="majorBidi" w:cstheme="majorBidi"/>
          <w:sz w:val="18"/>
          <w:szCs w:val="18"/>
        </w:rPr>
        <w:t xml:space="preserve"> (Jakarta:Gema Insani, 2005), Cet. ke 1, h. 503.</w:t>
      </w:r>
    </w:p>
  </w:footnote>
  <w:footnote w:id="8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Hadis Shahih Al Bukhari No. 6275, </w:t>
      </w:r>
      <w:r>
        <w:rPr>
          <w:rFonts w:asciiTheme="majorBidi" w:hAnsiTheme="majorBidi" w:cstheme="majorBidi"/>
          <w:i/>
          <w:iCs/>
          <w:sz w:val="18"/>
          <w:szCs w:val="18"/>
          <w:lang w:val="en-US"/>
        </w:rPr>
        <w:t>Mendera Peminum Khamar,</w:t>
      </w:r>
      <w:r>
        <w:rPr>
          <w:rFonts w:asciiTheme="majorBidi" w:hAnsiTheme="majorBidi" w:cstheme="majorBidi"/>
          <w:sz w:val="18"/>
          <w:szCs w:val="18"/>
          <w:lang w:val="en-US"/>
        </w:rPr>
        <w:t xml:space="preserve"> </w:t>
      </w:r>
      <w:r>
        <w:fldChar w:fldCharType="begin"/>
      </w:r>
      <w:r>
        <w:instrText xml:space="preserve"> HYPERLINK "https://www.hadits.id/hadits/bukhari/6275" </w:instrText>
      </w:r>
      <w:r>
        <w:fldChar w:fldCharType="separate"/>
      </w:r>
      <w:r>
        <w:rPr>
          <w:rStyle w:val="18"/>
          <w:rFonts w:asciiTheme="majorBidi" w:hAnsiTheme="majorBidi" w:cstheme="majorBidi"/>
          <w:sz w:val="18"/>
          <w:szCs w:val="18"/>
          <w:u w:val="none"/>
          <w:lang w:val="en-US"/>
        </w:rPr>
        <w:t>https://www.hadits.id/hadits/bukhari/6275</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09 Mei 2025 pukul 8:27 WIB.</w:t>
      </w:r>
    </w:p>
  </w:footnote>
  <w:footnote w:id="82">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Ibid.., h-128</w:t>
      </w:r>
    </w:p>
  </w:footnote>
  <w:footnote w:id="83">
    <w:p>
      <w:pPr>
        <w:pStyle w:val="8"/>
        <w:snapToGrid w:val="0"/>
        <w:ind w:firstLine="399" w:firstLineChars="222"/>
        <w:jc w:val="both"/>
        <w:rPr>
          <w:rFonts w:ascii="Times New Roman" w:hAnsi="Times New Roman" w:cs="Times New Roman"/>
          <w:sz w:val="18"/>
          <w:szCs w:val="18"/>
        </w:rPr>
      </w:pPr>
      <w:r>
        <w:rPr>
          <w:rStyle w:val="17"/>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eastAsia="SimSun" w:cs="Times New Roman"/>
          <w:sz w:val="18"/>
          <w:szCs w:val="18"/>
        </w:rPr>
        <w:t>Abi ‘Abdillah Muhammad bin Isma‘il bin Ibrahim ibn Bardizbah al-Bukhari al-Ja‘fi, al Jami‘ al-Musnad al-Sahih al-Mukhtasar, Juz. III (Cet. I; t.t.: Dar Tuq al-Nujah, 1422), h. 82.</w:t>
      </w:r>
    </w:p>
  </w:footnote>
  <w:footnote w:id="84">
    <w:p>
      <w:pPr>
        <w:pStyle w:val="11"/>
        <w:spacing w:line="240" w:lineRule="auto"/>
        <w:ind w:firstLine="439" w:firstLineChars="244"/>
        <w:rPr>
          <w:sz w:val="18"/>
          <w:szCs w:val="18"/>
        </w:rPr>
      </w:pPr>
      <w:r>
        <w:rPr>
          <w:rStyle w:val="17"/>
          <w:sz w:val="18"/>
          <w:szCs w:val="18"/>
        </w:rPr>
        <w:footnoteRef/>
      </w:r>
      <w:r>
        <w:rPr>
          <w:sz w:val="18"/>
          <w:szCs w:val="18"/>
        </w:rPr>
        <w:t xml:space="preserve"> Wahbah Zuhaili,</w:t>
      </w:r>
      <w:r>
        <w:rPr>
          <w:rFonts w:hint="eastAsia" w:ascii="SimSun" w:hAnsi="SimSun" w:cs="SimSun"/>
          <w:sz w:val="18"/>
          <w:szCs w:val="18"/>
        </w:rPr>
        <w:t xml:space="preserve"> </w:t>
      </w:r>
      <w:r>
        <w:rPr>
          <w:rStyle w:val="16"/>
          <w:sz w:val="18"/>
          <w:szCs w:val="18"/>
        </w:rPr>
        <w:t>al-Fiqh al-Islami wa Adillatuhu, Gema Insani:2011, h.460.</w:t>
      </w:r>
    </w:p>
  </w:footnote>
  <w:footnote w:id="85">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Fatwa MUI, “Penyalahgunaan Narkotika”, </w:t>
      </w:r>
      <w:r>
        <w:rPr>
          <w:rFonts w:asciiTheme="majorBidi" w:hAnsiTheme="majorBidi" w:cstheme="majorBidi"/>
          <w:sz w:val="18"/>
          <w:szCs w:val="18"/>
          <w:lang w:val="en-US"/>
        </w:rPr>
        <w:t>h.</w:t>
      </w:r>
      <w:r>
        <w:rPr>
          <w:rFonts w:asciiTheme="majorBidi" w:hAnsiTheme="majorBidi" w:cstheme="majorBidi"/>
          <w:sz w:val="18"/>
          <w:szCs w:val="18"/>
        </w:rPr>
        <w:t>551</w:t>
      </w:r>
    </w:p>
  </w:footnote>
  <w:footnote w:id="8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Baqarah:2:335).</w:t>
      </w:r>
    </w:p>
  </w:footnote>
  <w:footnote w:id="87">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Baqarah:2:363).</w:t>
      </w:r>
    </w:p>
  </w:footnote>
  <w:footnote w:id="8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An Nisa:4:63).</w:t>
      </w:r>
    </w:p>
  </w:footnote>
  <w:footnote w:id="8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As Syura:42:40).</w:t>
      </w:r>
    </w:p>
  </w:footnote>
  <w:footnote w:id="90">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Furqon:25:70).</w:t>
      </w:r>
    </w:p>
  </w:footnote>
  <w:footnote w:id="9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Az Zumar:39:53).</w:t>
      </w:r>
    </w:p>
  </w:footnote>
  <w:footnote w:id="9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Baqarah:2:178).</w:t>
      </w:r>
    </w:p>
  </w:footnote>
  <w:footnote w:id="93">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Al Maidah:5:45).</w:t>
      </w:r>
    </w:p>
  </w:footnote>
  <w:footnote w:id="94">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Aplikasi (Tafsir &amp; Kata per Kata) v 1.31.4, (Surat An Nisa:4:92).</w:t>
      </w:r>
    </w:p>
  </w:footnote>
  <w:footnote w:id="95">
    <w:p>
      <w:pPr>
        <w:pStyle w:val="8"/>
        <w:snapToGrid w:val="0"/>
        <w:ind w:firstLine="396" w:firstLineChars="220"/>
        <w:jc w:val="both"/>
        <w:rPr>
          <w:rFonts w:ascii="Times New Roman" w:hAnsi="Times New Roman" w:eastAsia="Microsoft YaHei Light" w:cs="Times New Roman"/>
          <w:sz w:val="18"/>
          <w:szCs w:val="18"/>
          <w:lang w:val="en-US"/>
        </w:rPr>
      </w:pPr>
      <w:r>
        <w:rPr>
          <w:rStyle w:val="17"/>
          <w:rFonts w:ascii="Times New Roman" w:hAnsi="Times New Roman" w:eastAsia="Microsoft YaHei Light" w:cs="Times New Roman"/>
          <w:sz w:val="18"/>
          <w:szCs w:val="18"/>
        </w:rPr>
        <w:footnoteRef/>
      </w:r>
      <w:r>
        <w:rPr>
          <w:rFonts w:ascii="Times New Roman" w:hAnsi="Times New Roman" w:eastAsia="Microsoft YaHei Light" w:cs="Times New Roman"/>
          <w:sz w:val="18"/>
          <w:szCs w:val="18"/>
        </w:rPr>
        <w:t xml:space="preserve"> </w:t>
      </w:r>
      <w:r>
        <w:rPr>
          <w:rFonts w:ascii="Times New Roman" w:hAnsi="Times New Roman" w:eastAsia="Microsoft YaHei Light" w:cs="Times New Roman"/>
          <w:sz w:val="18"/>
          <w:szCs w:val="18"/>
          <w:lang w:val="en-US"/>
        </w:rPr>
        <w:t xml:space="preserve">Rokhmadi, </w:t>
      </w:r>
      <w:r>
        <w:rPr>
          <w:rFonts w:ascii="Times New Roman" w:hAnsi="Times New Roman" w:eastAsia="Microsoft YaHei Light" w:cs="Times New Roman"/>
          <w:i/>
          <w:iCs/>
          <w:sz w:val="18"/>
          <w:szCs w:val="18"/>
          <w:lang w:val="en-US"/>
        </w:rPr>
        <w:t>Studi Tentang Formulasi Sanksi Hukum Pidana Islam, Reformasi Hukum Pidana Islam Rokhmadi,</w:t>
      </w:r>
      <w:r>
        <w:rPr>
          <w:rFonts w:ascii="Times New Roman" w:hAnsi="Times New Roman" w:eastAsia="Microsoft YaHei Light" w:cs="Times New Roman"/>
          <w:sz w:val="18"/>
          <w:szCs w:val="18"/>
          <w:lang w:val="en-US"/>
        </w:rPr>
        <w:t xml:space="preserve"> (Jurnal Taqaddam Vol-8 Nomor 2 Tahun 2016).</w:t>
      </w:r>
    </w:p>
  </w:footnote>
  <w:footnote w:id="96">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Rahma Harbani, </w:t>
      </w:r>
      <w:r>
        <w:rPr>
          <w:rFonts w:asciiTheme="majorBidi" w:hAnsiTheme="majorBidi" w:cstheme="majorBidi"/>
          <w:i/>
          <w:iCs/>
          <w:sz w:val="18"/>
          <w:szCs w:val="18"/>
          <w:lang w:val="en-US"/>
        </w:rPr>
        <w:t xml:space="preserve">4 Hadits Memaafan Sesama, Bentuk Iman yang Paling Utama”, </w:t>
      </w:r>
      <w:r>
        <w:fldChar w:fldCharType="begin"/>
      </w:r>
      <w:r>
        <w:instrText xml:space="preserve"> HYPERLINK "https://www.detik.com/hikmah/doa-dan-hadits/d-6614448/4-hadits-" </w:instrText>
      </w:r>
      <w:r>
        <w:fldChar w:fldCharType="separate"/>
      </w:r>
      <w:r>
        <w:rPr>
          <w:rStyle w:val="18"/>
          <w:rFonts w:asciiTheme="majorBidi" w:hAnsiTheme="majorBidi" w:cstheme="majorBidi"/>
          <w:sz w:val="18"/>
          <w:szCs w:val="18"/>
          <w:u w:val="none"/>
          <w:lang w:val="en-US"/>
        </w:rPr>
        <w:t>https://www.detik.com/hikmah/doa-dan-hadits/d-6614448/4-hadits-</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xml:space="preserve">, </w:t>
      </w:r>
      <w:r>
        <w:rPr>
          <w:rFonts w:asciiTheme="majorBidi" w:hAnsiTheme="majorBidi" w:cstheme="majorBidi"/>
          <w:i/>
          <w:iCs/>
          <w:sz w:val="18"/>
          <w:szCs w:val="18"/>
          <w:lang w:val="en-US"/>
        </w:rPr>
        <w:t>di akses pada 2 Mei 2025 pukul 10:40 WIB.</w:t>
      </w:r>
    </w:p>
  </w:footnote>
  <w:footnote w:id="97">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 xml:space="preserve">Hadits Jami’ At-Tirmidzi No, 1344, </w:t>
      </w:r>
      <w:r>
        <w:rPr>
          <w:rFonts w:asciiTheme="majorBidi" w:hAnsiTheme="majorBidi" w:cstheme="majorBidi"/>
          <w:i/>
          <w:iCs/>
          <w:sz w:val="18"/>
          <w:szCs w:val="18"/>
          <w:lang w:val="en-US"/>
        </w:rPr>
        <w:t xml:space="preserve">Hindarkanlah Hukuman, </w:t>
      </w:r>
      <w:r>
        <w:fldChar w:fldCharType="begin"/>
      </w:r>
      <w:r>
        <w:instrText xml:space="preserve"> HYPERLINK "https://www.hadits.id/hadits/tirmidzi/1344" </w:instrText>
      </w:r>
      <w:r>
        <w:fldChar w:fldCharType="separate"/>
      </w:r>
      <w:r>
        <w:rPr>
          <w:rStyle w:val="18"/>
          <w:rFonts w:asciiTheme="majorBidi" w:hAnsiTheme="majorBidi" w:cstheme="majorBidi"/>
          <w:sz w:val="18"/>
          <w:szCs w:val="18"/>
          <w:u w:val="none"/>
          <w:lang w:val="en-US"/>
        </w:rPr>
        <w:t>https://www.hadits.id/hadits/tirmidzi/1344</w:t>
      </w:r>
      <w:r>
        <w:rPr>
          <w:rStyle w:val="18"/>
          <w:rFonts w:asciiTheme="majorBidi" w:hAnsiTheme="majorBidi" w:cstheme="majorBidi"/>
          <w:sz w:val="18"/>
          <w:szCs w:val="18"/>
          <w:u w:val="none"/>
          <w:lang w:val="en-US"/>
        </w:rPr>
        <w:fldChar w:fldCharType="end"/>
      </w:r>
      <w:r>
        <w:rPr>
          <w:rFonts w:asciiTheme="majorBidi" w:hAnsiTheme="majorBidi" w:cstheme="majorBidi"/>
          <w:sz w:val="18"/>
          <w:szCs w:val="18"/>
          <w:lang w:val="en-US"/>
        </w:rPr>
        <w:t>, di akses pada 13 Mei 2025 pukul 20:00 WIB.</w:t>
      </w:r>
    </w:p>
  </w:footnote>
  <w:footnote w:id="98">
    <w:p>
      <w:pPr>
        <w:pStyle w:val="8"/>
        <w:snapToGrid w:val="0"/>
        <w:ind w:right="-171" w:firstLine="440" w:firstLineChars="220"/>
        <w:rPr>
          <w:rFonts w:ascii="Times New Roman" w:hAnsi="Times New Roman" w:cs="Times New Roman"/>
          <w:lang w:val="en-US"/>
        </w:rPr>
      </w:pPr>
      <w:r>
        <w:rPr>
          <w:rStyle w:val="17"/>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Moh Khasan, </w:t>
      </w:r>
      <w:r>
        <w:rPr>
          <w:rFonts w:ascii="Times New Roman" w:hAnsi="Times New Roman" w:cs="Times New Roman"/>
          <w:i/>
          <w:iCs/>
          <w:lang w:val="en-US"/>
        </w:rPr>
        <w:t>Perspektif Islam dan Psikologi Tentang Pemaafan</w:t>
      </w:r>
      <w:r>
        <w:rPr>
          <w:rFonts w:ascii="Times New Roman" w:hAnsi="Times New Roman" w:cs="Times New Roman"/>
          <w:lang w:val="en-US"/>
        </w:rPr>
        <w:t>, (Jurnal At Taqoddam Vol-9 Nomor 1, Juli 2017).</w:t>
      </w:r>
    </w:p>
  </w:footnote>
  <w:footnote w:id="9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Pasal 1 Ayat 1 UU Ri Nomor 35 Tahun 2009</w:t>
      </w:r>
    </w:p>
  </w:footnote>
  <w:footnote w:id="100">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Ahmad Reki, </w:t>
      </w:r>
      <w:r>
        <w:rPr>
          <w:rFonts w:eastAsia="SimSun" w:asciiTheme="majorBidi" w:hAnsiTheme="majorBidi" w:cstheme="majorBidi"/>
          <w:i/>
          <w:iCs/>
          <w:sz w:val="18"/>
          <w:szCs w:val="18"/>
        </w:rPr>
        <w:t xml:space="preserve">Strategi Kepala Desa Seri Kembang I Kecamatatan Payaraman Kabupaten Ogan Ilir Dan Polres Ogan Ilir Dalam Menaggulangi Penyalahgunaan Narkoba Pada Orgen Tunggal House </w:t>
      </w:r>
      <w:r>
        <w:rPr>
          <w:rFonts w:eastAsia="SimSun" w:asciiTheme="majorBidi" w:hAnsiTheme="majorBidi" w:cstheme="majorBidi"/>
          <w:i/>
          <w:iCs/>
          <w:sz w:val="18"/>
          <w:szCs w:val="18"/>
          <w:lang w:val="en-US"/>
        </w:rPr>
        <w:t xml:space="preserve">MU </w:t>
      </w:r>
      <w:r>
        <w:rPr>
          <w:rFonts w:eastAsia="SimSun" w:asciiTheme="majorBidi" w:hAnsiTheme="majorBidi" w:cstheme="majorBidi"/>
          <w:i/>
          <w:iCs/>
          <w:sz w:val="18"/>
          <w:szCs w:val="18"/>
        </w:rPr>
        <w:t>sic</w:t>
      </w:r>
      <w:r>
        <w:rPr>
          <w:rFonts w:eastAsia="SimSun" w:asciiTheme="majorBidi" w:hAnsiTheme="majorBidi" w:cstheme="majorBidi"/>
          <w:sz w:val="18"/>
          <w:szCs w:val="18"/>
        </w:rPr>
        <w:t>, (Skripsi, Universitas Islam Negeri Raden Fatah Palembang, 2018).</w:t>
      </w:r>
    </w:p>
  </w:footnote>
  <w:footnote w:id="101">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Pasal 9 UU No 5 Tahun 2010</w:t>
      </w:r>
    </w:p>
  </w:footnote>
  <w:footnote w:id="102">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Asep nursobah, “</w:t>
      </w:r>
      <w:r>
        <w:rPr>
          <w:rFonts w:asciiTheme="majorBidi" w:hAnsiTheme="majorBidi" w:cstheme="majorBidi"/>
          <w:sz w:val="18"/>
          <w:szCs w:val="18"/>
          <w:lang w:val="en-US"/>
        </w:rPr>
        <w:t>P</w:t>
      </w:r>
      <w:r>
        <w:rPr>
          <w:rFonts w:asciiTheme="majorBidi" w:hAnsiTheme="majorBidi" w:cstheme="majorBidi"/>
          <w:sz w:val="18"/>
          <w:szCs w:val="18"/>
        </w:rPr>
        <w:t xml:space="preserve">rosedur </w:t>
      </w:r>
      <w:r>
        <w:rPr>
          <w:rFonts w:asciiTheme="majorBidi" w:hAnsiTheme="majorBidi" w:cstheme="majorBidi"/>
          <w:sz w:val="18"/>
          <w:szCs w:val="18"/>
          <w:lang w:val="en-US"/>
        </w:rPr>
        <w:t>Pen</w:t>
      </w:r>
      <w:r>
        <w:rPr>
          <w:rFonts w:asciiTheme="majorBidi" w:hAnsiTheme="majorBidi" w:cstheme="majorBidi"/>
          <w:sz w:val="18"/>
          <w:szCs w:val="18"/>
        </w:rPr>
        <w:t xml:space="preserve">gajuan </w:t>
      </w:r>
      <w:r>
        <w:rPr>
          <w:rFonts w:asciiTheme="majorBidi" w:hAnsiTheme="majorBidi" w:cstheme="majorBidi"/>
          <w:sz w:val="18"/>
          <w:szCs w:val="18"/>
          <w:lang w:val="en-US"/>
        </w:rPr>
        <w:t>P</w:t>
      </w:r>
      <w:r>
        <w:rPr>
          <w:rFonts w:asciiTheme="majorBidi" w:hAnsiTheme="majorBidi" w:cstheme="majorBidi"/>
          <w:sz w:val="18"/>
          <w:szCs w:val="18"/>
        </w:rPr>
        <w:t xml:space="preserve">ermohonan </w:t>
      </w:r>
      <w:r>
        <w:rPr>
          <w:rFonts w:asciiTheme="majorBidi" w:hAnsiTheme="majorBidi" w:cstheme="majorBidi"/>
          <w:sz w:val="18"/>
          <w:szCs w:val="18"/>
          <w:lang w:val="en-US"/>
        </w:rPr>
        <w:t>G</w:t>
      </w:r>
      <w:r>
        <w:rPr>
          <w:rFonts w:asciiTheme="majorBidi" w:hAnsiTheme="majorBidi" w:cstheme="majorBidi"/>
          <w:sz w:val="18"/>
          <w:szCs w:val="18"/>
        </w:rPr>
        <w:t xml:space="preserve">rasi”, </w:t>
      </w:r>
      <w:r>
        <w:fldChar w:fldCharType="begin"/>
      </w:r>
      <w:r>
        <w:instrText xml:space="preserve"> HYPERLINK "https://kepaniteraan.mahkamahagung.go.id/prosedur-berperkara/permohonan-grasi" </w:instrText>
      </w:r>
      <w:r>
        <w:fldChar w:fldCharType="separate"/>
      </w:r>
      <w:r>
        <w:rPr>
          <w:rStyle w:val="18"/>
          <w:rFonts w:asciiTheme="majorBidi" w:hAnsiTheme="majorBidi" w:cstheme="majorBidi"/>
          <w:i/>
          <w:iCs/>
          <w:sz w:val="18"/>
          <w:szCs w:val="18"/>
          <w:u w:val="none"/>
        </w:rPr>
        <w:t>https://kepaniteraan.mahkamahagung.go.id/prosedur-berperkara/permohonan-grasi</w:t>
      </w:r>
      <w:r>
        <w:rPr>
          <w:rStyle w:val="18"/>
          <w:rFonts w:asciiTheme="majorBidi" w:hAnsiTheme="majorBidi" w:cstheme="majorBidi"/>
          <w:i/>
          <w:iCs/>
          <w:sz w:val="18"/>
          <w:szCs w:val="18"/>
          <w:u w:val="none"/>
        </w:rPr>
        <w:fldChar w:fldCharType="end"/>
      </w:r>
      <w:r>
        <w:rPr>
          <w:rFonts w:asciiTheme="majorBidi" w:hAnsiTheme="majorBidi" w:cstheme="majorBidi"/>
          <w:i/>
          <w:iCs/>
          <w:sz w:val="18"/>
          <w:szCs w:val="18"/>
        </w:rPr>
        <w:t xml:space="preserve"> (</w:t>
      </w:r>
      <w:r>
        <w:rPr>
          <w:rFonts w:asciiTheme="majorBidi" w:hAnsiTheme="majorBidi" w:cstheme="majorBidi"/>
          <w:sz w:val="18"/>
          <w:szCs w:val="18"/>
        </w:rPr>
        <w:t xml:space="preserve">diakses pada 8 </w:t>
      </w:r>
      <w:r>
        <w:rPr>
          <w:rFonts w:asciiTheme="majorBidi" w:hAnsiTheme="majorBidi" w:cstheme="majorBidi"/>
          <w:sz w:val="18"/>
          <w:szCs w:val="18"/>
          <w:lang w:val="en-US"/>
        </w:rPr>
        <w:t>M</w:t>
      </w:r>
      <w:r>
        <w:rPr>
          <w:rFonts w:asciiTheme="majorBidi" w:hAnsiTheme="majorBidi" w:cstheme="majorBidi"/>
          <w:sz w:val="18"/>
          <w:szCs w:val="18"/>
        </w:rPr>
        <w:t xml:space="preserve">aret 2025). </w:t>
      </w:r>
    </w:p>
  </w:footnote>
  <w:footnote w:id="103">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Undang-Undang</w:t>
      </w:r>
      <w:r>
        <w:rPr>
          <w:rFonts w:asciiTheme="majorBidi" w:hAnsiTheme="majorBidi" w:cstheme="majorBidi"/>
          <w:sz w:val="18"/>
          <w:szCs w:val="18"/>
        </w:rPr>
        <w:t xml:space="preserve"> Darurat Nomor 11 Tahun 1954 Tentang Amnesti dan Abolisi</w:t>
      </w:r>
    </w:p>
  </w:footnote>
  <w:footnote w:id="104">
    <w:p>
      <w:pPr>
        <w:pStyle w:val="8"/>
        <w:snapToGrid w:val="0"/>
        <w:ind w:firstLine="396" w:firstLineChars="220"/>
        <w:jc w:val="both"/>
        <w:rPr>
          <w:rFonts w:ascii="Times New Roman" w:hAnsi="Times New Roman" w:cs="Times New Roman"/>
          <w:sz w:val="18"/>
          <w:szCs w:val="18"/>
          <w:lang w:val="en-US"/>
        </w:rPr>
      </w:pPr>
      <w:r>
        <w:rPr>
          <w:rStyle w:val="17"/>
          <w:rFonts w:ascii="Times New Roman" w:hAnsi="Times New Roman" w:cs="Times New Roman"/>
          <w:sz w:val="18"/>
          <w:szCs w:val="18"/>
        </w:rPr>
        <w:footnoteRef/>
      </w:r>
      <w:r>
        <w:rPr>
          <w:rFonts w:ascii="Times New Roman" w:hAnsi="Times New Roman" w:cs="Times New Roman"/>
          <w:sz w:val="18"/>
          <w:szCs w:val="18"/>
          <w:lang w:val="en-US"/>
        </w:rPr>
        <w:t xml:space="preserve"> LBH Masyarakat, Rilis Pers Grasi Presiden Kepada Merri Utami: Komutasi Setengah  Hati.</w:t>
      </w:r>
    </w:p>
  </w:footnote>
  <w:footnote w:id="105">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Pasal 10 UU No 5 Tahun 2010</w:t>
      </w:r>
    </w:p>
  </w:footnote>
  <w:footnote w:id="106">
    <w:p>
      <w:pPr>
        <w:pStyle w:val="8"/>
        <w:ind w:right="-15" w:rightChars="-7"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eastAsia="SimSun" w:asciiTheme="majorBidi" w:hAnsiTheme="majorBidi" w:cstheme="majorBidi"/>
          <w:sz w:val="18"/>
          <w:szCs w:val="18"/>
        </w:rPr>
        <w:t xml:space="preserve">Utrecht, </w:t>
      </w:r>
      <w:r>
        <w:rPr>
          <w:rFonts w:eastAsia="SimSun" w:asciiTheme="majorBidi" w:hAnsiTheme="majorBidi" w:cstheme="majorBidi"/>
          <w:i/>
          <w:iCs/>
          <w:sz w:val="18"/>
          <w:szCs w:val="18"/>
        </w:rPr>
        <w:t>Rangkaian Sari Kuliah Hukum Pidana II,</w:t>
      </w:r>
      <w:r>
        <w:rPr>
          <w:rFonts w:eastAsia="SimSun" w:asciiTheme="majorBidi" w:hAnsiTheme="majorBidi" w:cstheme="majorBidi"/>
          <w:sz w:val="18"/>
          <w:szCs w:val="18"/>
        </w:rPr>
        <w:t xml:space="preserve"> (Universitas Bandung, 1995).</w:t>
      </w:r>
    </w:p>
  </w:footnote>
  <w:footnote w:id="107">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fldChar w:fldCharType="begin"/>
      </w:r>
      <w:r>
        <w:instrText xml:space="preserve"> HYPERLINK "https://www.hukumonline.com/pusatdata/detail/19300/node/965/undang-undang-darurat-no-11-tahun-1954-amnesti-dan-abolisi" </w:instrText>
      </w:r>
      <w:r>
        <w:fldChar w:fldCharType="separate"/>
      </w:r>
      <w:r>
        <w:rPr>
          <w:rFonts w:asciiTheme="majorBidi" w:hAnsiTheme="majorBidi" w:cstheme="majorBidi"/>
          <w:sz w:val="18"/>
          <w:szCs w:val="18"/>
          <w:lang w:val="en-US"/>
        </w:rPr>
        <w:t>Undang-Undang</w:t>
      </w:r>
      <w:r>
        <w:rPr>
          <w:rFonts w:asciiTheme="majorBidi" w:hAnsiTheme="majorBidi" w:cstheme="majorBidi"/>
          <w:sz w:val="18"/>
          <w:szCs w:val="18"/>
        </w:rPr>
        <w:t xml:space="preserve"> Darurat Nomor 11 Tahun 1954 tentang Amnesti dan Abolisi</w:t>
      </w:r>
      <w:r>
        <w:rPr>
          <w:rFonts w:asciiTheme="majorBidi" w:hAnsiTheme="majorBidi" w:cstheme="majorBidi"/>
          <w:sz w:val="18"/>
          <w:szCs w:val="18"/>
        </w:rPr>
        <w:fldChar w:fldCharType="end"/>
      </w:r>
    </w:p>
  </w:footnote>
  <w:footnote w:id="108">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w:t>
      </w:r>
      <w:r>
        <w:rPr>
          <w:rFonts w:asciiTheme="majorBidi" w:hAnsiTheme="majorBidi" w:cstheme="majorBidi"/>
          <w:sz w:val="18"/>
          <w:szCs w:val="18"/>
          <w:lang w:val="en-US"/>
        </w:rPr>
        <w:t>Iwan Rachmat Soetijono,</w:t>
      </w:r>
      <w:r>
        <w:rPr>
          <w:rFonts w:asciiTheme="majorBidi" w:hAnsiTheme="majorBidi" w:cstheme="majorBidi"/>
          <w:i/>
          <w:iCs/>
          <w:sz w:val="18"/>
          <w:szCs w:val="18"/>
          <w:lang w:val="en-US"/>
        </w:rPr>
        <w:t xml:space="preserve"> </w:t>
      </w:r>
      <w:r>
        <w:rPr>
          <w:rFonts w:eastAsia="sans-serif 1" w:asciiTheme="majorBidi" w:hAnsiTheme="majorBidi" w:cstheme="majorBidi"/>
          <w:i/>
          <w:iCs/>
          <w:sz w:val="18"/>
          <w:szCs w:val="18"/>
        </w:rPr>
        <w:t>Pertimbangan MA dan DPR dalam Pemberian Grasi, Rehabilitasi, Amnesti, dan Abolisi</w:t>
      </w:r>
      <w:r>
        <w:rPr>
          <w:rFonts w:eastAsia="sans-serif 1" w:asciiTheme="majorBidi" w:hAnsiTheme="majorBidi" w:cstheme="majorBidi"/>
          <w:i/>
          <w:iCs/>
          <w:sz w:val="18"/>
          <w:szCs w:val="18"/>
          <w:lang w:val="en-US"/>
        </w:rPr>
        <w:t>,</w:t>
      </w:r>
      <w:r>
        <w:rPr>
          <w:rFonts w:eastAsia="sans-serif 1" w:asciiTheme="majorBidi" w:hAnsiTheme="majorBidi" w:cstheme="majorBidi"/>
          <w:b/>
          <w:i/>
          <w:iCs/>
          <w:sz w:val="18"/>
          <w:szCs w:val="18"/>
          <w:lang w:val="en-US"/>
        </w:rPr>
        <w:t xml:space="preserve"> </w:t>
      </w:r>
      <w:r>
        <w:fldChar w:fldCharType="begin"/>
      </w:r>
      <w:r>
        <w:instrText xml:space="preserve"> HYPERLINK "https://www.hukumonline.com/klinik/a/pertimbangan-ma-dan-dpr-dalam-pemberian-grasi--rehabilitasi--amnesti--dan-abolisi-lt5c7bac21ae930/" </w:instrText>
      </w:r>
      <w:r>
        <w:fldChar w:fldCharType="separate"/>
      </w:r>
      <w:r>
        <w:rPr>
          <w:rStyle w:val="18"/>
          <w:rFonts w:eastAsia="sans-serif 1" w:asciiTheme="majorBidi" w:hAnsiTheme="majorBidi" w:cstheme="majorBidi"/>
          <w:b/>
          <w:sz w:val="18"/>
          <w:szCs w:val="18"/>
          <w:u w:val="none"/>
          <w:lang w:val="en-US"/>
        </w:rPr>
        <w:t>https://www.hukumonline.com/klinik/a/pertimbangan-ma-dan-dpr-dalam-pemberian-grasi--rehabilitasi--amnesti--dan-abolisi-lt5c7bac21ae930/</w:t>
      </w:r>
      <w:r>
        <w:rPr>
          <w:rStyle w:val="18"/>
          <w:rFonts w:eastAsia="sans-serif 1" w:asciiTheme="majorBidi" w:hAnsiTheme="majorBidi" w:cstheme="majorBidi"/>
          <w:b/>
          <w:sz w:val="18"/>
          <w:szCs w:val="18"/>
          <w:u w:val="none"/>
          <w:lang w:val="en-US"/>
        </w:rPr>
        <w:fldChar w:fldCharType="end"/>
      </w:r>
    </w:p>
  </w:footnote>
  <w:footnote w:id="109">
    <w:p>
      <w:pPr>
        <w:pStyle w:val="8"/>
        <w:ind w:firstLine="437" w:firstLineChars="243"/>
        <w:contextualSpacing/>
        <w:jc w:val="both"/>
        <w:rPr>
          <w:rFonts w:asciiTheme="majorBidi" w:hAnsiTheme="majorBidi" w:cstheme="majorBidi"/>
          <w:sz w:val="18"/>
          <w:szCs w:val="18"/>
        </w:rPr>
      </w:pPr>
      <w:r>
        <w:rPr>
          <w:rStyle w:val="17"/>
          <w:rFonts w:asciiTheme="majorBidi" w:hAnsiTheme="majorBidi" w:cstheme="majorBidi"/>
          <w:sz w:val="18"/>
          <w:szCs w:val="18"/>
        </w:rPr>
        <w:footnoteRef/>
      </w:r>
      <w:r>
        <w:rPr>
          <w:rFonts w:asciiTheme="majorBidi" w:hAnsiTheme="majorBidi" w:cstheme="majorBidi"/>
          <w:sz w:val="18"/>
          <w:szCs w:val="18"/>
        </w:rPr>
        <w:t xml:space="preserve">  Pasal 9 Uu No 39 Tahun 1999 Tentang HAM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lang w:val="en-US"/>
      </w:rPr>
    </w:pPr>
    <w:r>
      <w:rPr>
        <w:lang w:val="en-US"/>
      </w:rPr>
      <w:t>142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heme="majorBidi" w:hAnsiTheme="majorBidi" w:cstheme="majorBidi"/>
        <w:lang w:val="en-U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heme="majorBidi" w:hAnsiTheme="majorBidi" w:cstheme="majorBidi"/>
        <w:lang w:val="en-US"/>
      </w:rPr>
    </w:pPr>
    <w:r>
      <w:rPr>
        <w:rFonts w:asciiTheme="majorBidi" w:hAnsiTheme="majorBidi" w:cstheme="majorBidi"/>
        <w:lang w:val="en-US"/>
      </w:rPr>
      <w:t>144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rPr>
      <w:id w:val="430239823"/>
    </w:sdtPr>
    <w:sdtEndPr>
      <w:rPr>
        <w:rFonts w:asciiTheme="majorBidi" w:hAnsiTheme="majorBidi" w:cstheme="majorBidi"/>
      </w:rPr>
    </w:sdtEndPr>
    <w:sdtContent>
      <w:p>
        <w:pPr>
          <w:pStyle w:val="9"/>
          <w:jc w:val="righ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26</w:t>
        </w:r>
        <w:r>
          <w:rPr>
            <w:rFonts w:asciiTheme="majorBidi" w:hAnsiTheme="majorBidi" w:cstheme="majorBidi"/>
          </w:rPr>
          <w:fldChar w:fldCharType="end"/>
        </w:r>
      </w:p>
    </w:sdtContent>
  </w:sdt>
  <w:p>
    <w:pPr>
      <w:pStyle w:val="9"/>
      <w:jc w:val="right"/>
      <w:rPr>
        <w:rFonts w:asciiTheme="majorBidi" w:hAnsiTheme="majorBidi" w:cstheme="majorBid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Bidi" w:hAnsiTheme="majorBidi" w:cstheme="majorBidi"/>
      </w:rPr>
      <w:id w:val="-751808888"/>
    </w:sdtPr>
    <w:sdtEndPr>
      <w:rPr>
        <w:rFonts w:asciiTheme="majorBidi" w:hAnsiTheme="majorBidi" w:cstheme="majorBidi"/>
      </w:rPr>
    </w:sdtEndPr>
    <w:sdtContent>
      <w:p>
        <w:pPr>
          <w:pStyle w:val="9"/>
          <w:jc w:val="righ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26</w:t>
        </w:r>
        <w:r>
          <w:rPr>
            <w:rFonts w:asciiTheme="majorBidi" w:hAnsiTheme="majorBidi" w:cstheme="majorBidi"/>
          </w:rPr>
          <w:fldChar w:fldCharType="end"/>
        </w:r>
      </w:p>
    </w:sdtContent>
  </w:sdt>
  <w:p>
    <w:pPr>
      <w:pStyle w:val="9"/>
      <w:jc w:val="right"/>
      <w:rPr>
        <w:rFonts w:asciiTheme="majorBidi" w:hAnsiTheme="majorBidi" w:cstheme="majorBid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2431318"/>
    </w:sdtPr>
    <w:sdtEndPr>
      <w:rPr>
        <w:rFonts w:asciiTheme="majorBidi" w:hAnsiTheme="majorBidi" w:cstheme="majorBidi"/>
      </w:rPr>
    </w:sdtEndPr>
    <w:sdtContent>
      <w:p>
        <w:pPr>
          <w:pStyle w:val="9"/>
          <w:jc w:val="righ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106</w:t>
        </w:r>
        <w:r>
          <w:rPr>
            <w:rFonts w:asciiTheme="majorBidi" w:hAnsiTheme="majorBidi" w:cstheme="majorBidi"/>
          </w:rPr>
          <w:fldChar w:fldCharType="end"/>
        </w:r>
      </w:p>
    </w:sdtContent>
  </w:sdt>
  <w:p>
    <w:pPr>
      <w:pStyle w:val="9"/>
      <w:rPr>
        <w:rFonts w:asciiTheme="majorBidi" w:hAnsiTheme="majorBidi" w:cstheme="majorBidi"/>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3819885"/>
    </w:sdtPr>
    <w:sdtContent>
      <w:p>
        <w:pPr>
          <w:pStyle w:val="9"/>
          <w:jc w:val="right"/>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106</w:t>
        </w:r>
        <w:r>
          <w:rPr>
            <w:rFonts w:asciiTheme="majorBidi" w:hAnsiTheme="majorBidi" w:cstheme="majorBidi"/>
          </w:rPr>
          <w:fldChar w:fldCharType="end"/>
        </w:r>
      </w:p>
    </w:sdtContent>
  </w:sdt>
  <w:p>
    <w:pPr>
      <w:pStyle w:val="9"/>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lowerLetter"/>
      <w:lvlText w:val="%1."/>
      <w:lvlJc w:val="left"/>
      <w:pPr>
        <w:ind w:left="945" w:hanging="357"/>
      </w:pPr>
      <w:rPr>
        <w:rFonts w:ascii="Times New Roman" w:hAnsi="Times New Roman" w:eastAsia="Times New Roman" w:cs="Times New Roman"/>
        <w:b w:val="0"/>
        <w:bCs w:val="0"/>
        <w:spacing w:val="-6"/>
        <w:w w:val="99"/>
        <w:sz w:val="24"/>
        <w:szCs w:val="24"/>
        <w:lang w:val="id" w:eastAsia="en-US" w:bidi="ar-SA"/>
      </w:rPr>
    </w:lvl>
    <w:lvl w:ilvl="1" w:tentative="0">
      <w:start w:val="1"/>
      <w:numFmt w:val="decimal"/>
      <w:lvlText w:val="%2."/>
      <w:lvlJc w:val="left"/>
      <w:pPr>
        <w:ind w:left="1301" w:hanging="356"/>
      </w:pPr>
      <w:rPr>
        <w:rFonts w:hint="default" w:ascii="Arial" w:hAnsi="Arial" w:eastAsia="Arial" w:cs="Arial"/>
        <w:b/>
        <w:bCs/>
        <w:spacing w:val="-2"/>
        <w:w w:val="100"/>
        <w:sz w:val="24"/>
        <w:szCs w:val="24"/>
        <w:lang w:val="id" w:eastAsia="en-US" w:bidi="ar-SA"/>
      </w:rPr>
    </w:lvl>
    <w:lvl w:ilvl="2" w:tentative="0">
      <w:start w:val="1"/>
      <w:numFmt w:val="lowerLetter"/>
      <w:lvlText w:val="%3."/>
      <w:lvlJc w:val="left"/>
      <w:pPr>
        <w:ind w:left="1669" w:hanging="360"/>
      </w:pPr>
      <w:rPr>
        <w:rFonts w:hint="default" w:ascii="Microsoft Sans Serif" w:hAnsi="Microsoft Sans Serif" w:eastAsia="Microsoft Sans Serif" w:cs="Microsoft Sans Serif"/>
        <w:spacing w:val="-2"/>
        <w:w w:val="100"/>
        <w:sz w:val="24"/>
        <w:szCs w:val="24"/>
        <w:lang w:val="id" w:eastAsia="en-US" w:bidi="ar-SA"/>
      </w:rPr>
    </w:lvl>
    <w:lvl w:ilvl="3" w:tentative="0">
      <w:start w:val="1"/>
      <w:numFmt w:val="decimal"/>
      <w:lvlText w:val="%4)"/>
      <w:lvlJc w:val="left"/>
      <w:pPr>
        <w:ind w:left="2021" w:hanging="356"/>
      </w:pPr>
      <w:rPr>
        <w:rFonts w:hint="default" w:eastAsia="Microsoft Sans Serif" w:asciiTheme="majorBidi" w:hAnsiTheme="majorBidi" w:cstheme="majorBidi"/>
        <w:spacing w:val="-2"/>
        <w:w w:val="99"/>
        <w:sz w:val="24"/>
        <w:szCs w:val="24"/>
        <w:lang w:val="id" w:eastAsia="en-US" w:bidi="ar-SA"/>
      </w:rPr>
    </w:lvl>
    <w:lvl w:ilvl="4" w:tentative="0">
      <w:start w:val="0"/>
      <w:numFmt w:val="bullet"/>
      <w:lvlText w:val="•"/>
      <w:lvlJc w:val="left"/>
      <w:pPr>
        <w:ind w:left="2040" w:hanging="356"/>
      </w:pPr>
      <w:rPr>
        <w:rFonts w:hint="default"/>
        <w:lang w:val="id" w:eastAsia="en-US" w:bidi="ar-SA"/>
      </w:rPr>
    </w:lvl>
    <w:lvl w:ilvl="5" w:tentative="0">
      <w:start w:val="0"/>
      <w:numFmt w:val="bullet"/>
      <w:lvlText w:val="•"/>
      <w:lvlJc w:val="left"/>
      <w:pPr>
        <w:ind w:left="3204" w:hanging="356"/>
      </w:pPr>
      <w:rPr>
        <w:rFonts w:hint="default"/>
        <w:lang w:val="id" w:eastAsia="en-US" w:bidi="ar-SA"/>
      </w:rPr>
    </w:lvl>
    <w:lvl w:ilvl="6" w:tentative="0">
      <w:start w:val="0"/>
      <w:numFmt w:val="bullet"/>
      <w:lvlText w:val="•"/>
      <w:lvlJc w:val="left"/>
      <w:pPr>
        <w:ind w:left="4369" w:hanging="356"/>
      </w:pPr>
      <w:rPr>
        <w:rFonts w:hint="default"/>
        <w:lang w:val="id" w:eastAsia="en-US" w:bidi="ar-SA"/>
      </w:rPr>
    </w:lvl>
    <w:lvl w:ilvl="7" w:tentative="0">
      <w:start w:val="0"/>
      <w:numFmt w:val="bullet"/>
      <w:lvlText w:val="•"/>
      <w:lvlJc w:val="left"/>
      <w:pPr>
        <w:ind w:left="5534" w:hanging="356"/>
      </w:pPr>
      <w:rPr>
        <w:rFonts w:hint="default"/>
        <w:lang w:val="id" w:eastAsia="en-US" w:bidi="ar-SA"/>
      </w:rPr>
    </w:lvl>
    <w:lvl w:ilvl="8" w:tentative="0">
      <w:start w:val="0"/>
      <w:numFmt w:val="bullet"/>
      <w:lvlText w:val="•"/>
      <w:lvlJc w:val="left"/>
      <w:pPr>
        <w:ind w:left="6698" w:hanging="356"/>
      </w:pPr>
      <w:rPr>
        <w:rFonts w:hint="default"/>
        <w:lang w:val="id" w:eastAsia="en-US" w:bidi="ar-SA"/>
      </w:rPr>
    </w:lvl>
  </w:abstractNum>
  <w:abstractNum w:abstractNumId="1">
    <w:nsid w:val="8E349A1B"/>
    <w:multiLevelType w:val="singleLevel"/>
    <w:tmpl w:val="8E349A1B"/>
    <w:lvl w:ilvl="0" w:tentative="0">
      <w:start w:val="1"/>
      <w:numFmt w:val="decimal"/>
      <w:lvlText w:val="%1)"/>
      <w:lvlJc w:val="left"/>
      <w:pPr>
        <w:tabs>
          <w:tab w:val="left" w:pos="425"/>
        </w:tabs>
        <w:ind w:left="425" w:hanging="425"/>
      </w:pPr>
      <w:rPr>
        <w:rFonts w:hint="default"/>
      </w:rPr>
    </w:lvl>
  </w:abstractNum>
  <w:abstractNum w:abstractNumId="2">
    <w:nsid w:val="9473E33D"/>
    <w:multiLevelType w:val="singleLevel"/>
    <w:tmpl w:val="9473E33D"/>
    <w:lvl w:ilvl="0" w:tentative="0">
      <w:start w:val="1"/>
      <w:numFmt w:val="upperLetter"/>
      <w:pStyle w:val="5"/>
      <w:lvlText w:val="%1."/>
      <w:lvlJc w:val="left"/>
      <w:pPr>
        <w:ind w:left="360" w:hanging="360"/>
      </w:pPr>
    </w:lvl>
  </w:abstractNum>
  <w:abstractNum w:abstractNumId="3">
    <w:nsid w:val="96537879"/>
    <w:multiLevelType w:val="singleLevel"/>
    <w:tmpl w:val="96537879"/>
    <w:lvl w:ilvl="0" w:tentative="0">
      <w:start w:val="1"/>
      <w:numFmt w:val="decimal"/>
      <w:lvlText w:val="%1)"/>
      <w:lvlJc w:val="left"/>
      <w:pPr>
        <w:tabs>
          <w:tab w:val="left" w:pos="425"/>
        </w:tabs>
        <w:ind w:left="425" w:hanging="425"/>
      </w:pPr>
      <w:rPr>
        <w:rFonts w:hint="default"/>
      </w:rPr>
    </w:lvl>
  </w:abstractNum>
  <w:abstractNum w:abstractNumId="4">
    <w:nsid w:val="97DF04F7"/>
    <w:multiLevelType w:val="singleLevel"/>
    <w:tmpl w:val="97DF04F7"/>
    <w:lvl w:ilvl="0" w:tentative="0">
      <w:start w:val="1"/>
      <w:numFmt w:val="lowerLetter"/>
      <w:lvlText w:val="%1."/>
      <w:lvlJc w:val="left"/>
      <w:pPr>
        <w:tabs>
          <w:tab w:val="left" w:pos="425"/>
        </w:tabs>
        <w:ind w:left="425" w:hanging="425"/>
      </w:pPr>
      <w:rPr>
        <w:rFonts w:hint="default"/>
      </w:rPr>
    </w:lvl>
  </w:abstractNum>
  <w:abstractNum w:abstractNumId="5">
    <w:nsid w:val="9B1B9CEC"/>
    <w:multiLevelType w:val="singleLevel"/>
    <w:tmpl w:val="9B1B9CEC"/>
    <w:lvl w:ilvl="0" w:tentative="0">
      <w:start w:val="1"/>
      <w:numFmt w:val="decimal"/>
      <w:lvlText w:val="%1)"/>
      <w:lvlJc w:val="left"/>
      <w:pPr>
        <w:tabs>
          <w:tab w:val="left" w:pos="425"/>
        </w:tabs>
        <w:ind w:left="425" w:hanging="425"/>
      </w:pPr>
      <w:rPr>
        <w:rFonts w:hint="default"/>
      </w:rPr>
    </w:lvl>
  </w:abstractNum>
  <w:abstractNum w:abstractNumId="6">
    <w:nsid w:val="A1236CED"/>
    <w:multiLevelType w:val="singleLevel"/>
    <w:tmpl w:val="A1236CED"/>
    <w:lvl w:ilvl="0" w:tentative="0">
      <w:start w:val="1"/>
      <w:numFmt w:val="decimal"/>
      <w:lvlText w:val="%1."/>
      <w:lvlJc w:val="left"/>
      <w:pPr>
        <w:tabs>
          <w:tab w:val="left" w:pos="851"/>
        </w:tabs>
        <w:ind w:left="851" w:hanging="425"/>
      </w:pPr>
      <w:rPr>
        <w:rFonts w:ascii="Times New Roman" w:hAnsi="Times New Roman" w:eastAsia="Times New Roman" w:cs="Times New Roman"/>
      </w:rPr>
    </w:lvl>
  </w:abstractNum>
  <w:abstractNum w:abstractNumId="7">
    <w:nsid w:val="A35F662D"/>
    <w:multiLevelType w:val="singleLevel"/>
    <w:tmpl w:val="A35F662D"/>
    <w:lvl w:ilvl="0" w:tentative="0">
      <w:start w:val="1"/>
      <w:numFmt w:val="decimal"/>
      <w:lvlText w:val="%1)"/>
      <w:lvlJc w:val="left"/>
      <w:pPr>
        <w:tabs>
          <w:tab w:val="left" w:pos="425"/>
        </w:tabs>
        <w:ind w:left="425" w:hanging="425"/>
      </w:pPr>
      <w:rPr>
        <w:rFonts w:hint="default"/>
      </w:rPr>
    </w:lvl>
  </w:abstractNum>
  <w:abstractNum w:abstractNumId="8">
    <w:nsid w:val="A64F1437"/>
    <w:multiLevelType w:val="singleLevel"/>
    <w:tmpl w:val="A64F1437"/>
    <w:lvl w:ilvl="0" w:tentative="0">
      <w:start w:val="1"/>
      <w:numFmt w:val="decimal"/>
      <w:lvlText w:val="%1)"/>
      <w:lvlJc w:val="left"/>
      <w:pPr>
        <w:tabs>
          <w:tab w:val="left" w:pos="425"/>
        </w:tabs>
        <w:ind w:left="425" w:hanging="425"/>
      </w:pPr>
      <w:rPr>
        <w:rFonts w:hint="default"/>
      </w:rPr>
    </w:lvl>
  </w:abstractNum>
  <w:abstractNum w:abstractNumId="9">
    <w:nsid w:val="A8B260B8"/>
    <w:multiLevelType w:val="singleLevel"/>
    <w:tmpl w:val="A8B260B8"/>
    <w:lvl w:ilvl="0" w:tentative="0">
      <w:start w:val="1"/>
      <w:numFmt w:val="lowerLetter"/>
      <w:lvlText w:val="%1."/>
      <w:lvlJc w:val="left"/>
      <w:pPr>
        <w:tabs>
          <w:tab w:val="left" w:pos="425"/>
        </w:tabs>
        <w:ind w:left="425" w:hanging="425"/>
      </w:pPr>
      <w:rPr>
        <w:rFonts w:hint="default"/>
      </w:rPr>
    </w:lvl>
  </w:abstractNum>
  <w:abstractNum w:abstractNumId="10">
    <w:nsid w:val="B5E021A0"/>
    <w:multiLevelType w:val="singleLevel"/>
    <w:tmpl w:val="B5E021A0"/>
    <w:lvl w:ilvl="0" w:tentative="0">
      <w:start w:val="1"/>
      <w:numFmt w:val="decimal"/>
      <w:lvlText w:val="%1)"/>
      <w:lvlJc w:val="left"/>
      <w:pPr>
        <w:tabs>
          <w:tab w:val="left" w:pos="425"/>
        </w:tabs>
        <w:ind w:left="425" w:hanging="425"/>
      </w:pPr>
      <w:rPr>
        <w:rFonts w:hint="default"/>
      </w:rPr>
    </w:lvl>
  </w:abstractNum>
  <w:abstractNum w:abstractNumId="11">
    <w:nsid w:val="BA87F08A"/>
    <w:multiLevelType w:val="singleLevel"/>
    <w:tmpl w:val="BA87F08A"/>
    <w:lvl w:ilvl="0" w:tentative="0">
      <w:start w:val="1"/>
      <w:numFmt w:val="decimal"/>
      <w:lvlText w:val="%1."/>
      <w:lvlJc w:val="left"/>
      <w:pPr>
        <w:tabs>
          <w:tab w:val="left" w:pos="425"/>
        </w:tabs>
        <w:ind w:left="425" w:hanging="425"/>
      </w:pPr>
      <w:rPr>
        <w:rFonts w:hint="default"/>
      </w:rPr>
    </w:lvl>
  </w:abstractNum>
  <w:abstractNum w:abstractNumId="12">
    <w:nsid w:val="BE6202FD"/>
    <w:multiLevelType w:val="singleLevel"/>
    <w:tmpl w:val="BE6202FD"/>
    <w:lvl w:ilvl="0" w:tentative="0">
      <w:start w:val="1"/>
      <w:numFmt w:val="decimal"/>
      <w:lvlText w:val="%1."/>
      <w:lvlJc w:val="left"/>
      <w:pPr>
        <w:tabs>
          <w:tab w:val="left" w:pos="425"/>
        </w:tabs>
        <w:ind w:left="425" w:hanging="425"/>
      </w:pPr>
      <w:rPr>
        <w:rFonts w:hint="default"/>
      </w:rPr>
    </w:lvl>
  </w:abstractNum>
  <w:abstractNum w:abstractNumId="13">
    <w:nsid w:val="C2ED0D4A"/>
    <w:multiLevelType w:val="singleLevel"/>
    <w:tmpl w:val="C2ED0D4A"/>
    <w:lvl w:ilvl="0" w:tentative="0">
      <w:start w:val="1"/>
      <w:numFmt w:val="decimal"/>
      <w:lvlText w:val="%1)"/>
      <w:lvlJc w:val="left"/>
      <w:pPr>
        <w:tabs>
          <w:tab w:val="left" w:pos="425"/>
        </w:tabs>
        <w:ind w:left="425" w:hanging="425"/>
      </w:pPr>
      <w:rPr>
        <w:rFonts w:hint="default"/>
      </w:rPr>
    </w:lvl>
  </w:abstractNum>
  <w:abstractNum w:abstractNumId="14">
    <w:nsid w:val="CB96E86C"/>
    <w:multiLevelType w:val="singleLevel"/>
    <w:tmpl w:val="CB96E86C"/>
    <w:lvl w:ilvl="0" w:tentative="0">
      <w:start w:val="1"/>
      <w:numFmt w:val="decimal"/>
      <w:lvlText w:val="%1."/>
      <w:lvlJc w:val="left"/>
      <w:pPr>
        <w:tabs>
          <w:tab w:val="left" w:pos="425"/>
        </w:tabs>
        <w:ind w:left="425" w:hanging="425"/>
      </w:pPr>
      <w:rPr>
        <w:rFonts w:hint="default"/>
      </w:rPr>
    </w:lvl>
  </w:abstractNum>
  <w:abstractNum w:abstractNumId="15">
    <w:nsid w:val="CF092B84"/>
    <w:multiLevelType w:val="multilevel"/>
    <w:tmpl w:val="CF092B8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D282C796"/>
    <w:multiLevelType w:val="singleLevel"/>
    <w:tmpl w:val="D282C796"/>
    <w:lvl w:ilvl="0" w:tentative="0">
      <w:start w:val="1"/>
      <w:numFmt w:val="decimal"/>
      <w:suff w:val="space"/>
      <w:lvlText w:val="%1."/>
      <w:lvlJc w:val="left"/>
    </w:lvl>
  </w:abstractNum>
  <w:abstractNum w:abstractNumId="17">
    <w:nsid w:val="D2A77E6F"/>
    <w:multiLevelType w:val="singleLevel"/>
    <w:tmpl w:val="D2A77E6F"/>
    <w:lvl w:ilvl="0" w:tentative="0">
      <w:start w:val="1"/>
      <w:numFmt w:val="lowerLetter"/>
      <w:suff w:val="space"/>
      <w:lvlText w:val="%1."/>
      <w:lvlJc w:val="left"/>
    </w:lvl>
  </w:abstractNum>
  <w:abstractNum w:abstractNumId="18">
    <w:nsid w:val="D7A92C9C"/>
    <w:multiLevelType w:val="singleLevel"/>
    <w:tmpl w:val="D7A92C9C"/>
    <w:lvl w:ilvl="0" w:tentative="0">
      <w:start w:val="1"/>
      <w:numFmt w:val="lowerLetter"/>
      <w:lvlText w:val="%1)"/>
      <w:lvlJc w:val="left"/>
      <w:pPr>
        <w:tabs>
          <w:tab w:val="left" w:pos="425"/>
        </w:tabs>
        <w:ind w:left="425" w:hanging="425"/>
      </w:pPr>
      <w:rPr>
        <w:rFonts w:hint="default"/>
      </w:rPr>
    </w:lvl>
  </w:abstractNum>
  <w:abstractNum w:abstractNumId="19">
    <w:nsid w:val="DC1732B6"/>
    <w:multiLevelType w:val="singleLevel"/>
    <w:tmpl w:val="DC1732B6"/>
    <w:lvl w:ilvl="0" w:tentative="0">
      <w:start w:val="1"/>
      <w:numFmt w:val="lowerLetter"/>
      <w:lvlText w:val="%1."/>
      <w:lvlJc w:val="left"/>
      <w:pPr>
        <w:tabs>
          <w:tab w:val="left" w:pos="425"/>
        </w:tabs>
        <w:ind w:left="425" w:hanging="425"/>
      </w:pPr>
      <w:rPr>
        <w:rFonts w:hint="default"/>
      </w:rPr>
    </w:lvl>
  </w:abstractNum>
  <w:abstractNum w:abstractNumId="20">
    <w:nsid w:val="DCBA6B53"/>
    <w:multiLevelType w:val="multilevel"/>
    <w:tmpl w:val="DCBA6B53"/>
    <w:lvl w:ilvl="0" w:tentative="0">
      <w:start w:val="1"/>
      <w:numFmt w:val="lowerLetter"/>
      <w:lvlText w:val="%1."/>
      <w:lvlJc w:val="left"/>
      <w:pPr>
        <w:ind w:left="1859" w:hanging="361"/>
      </w:pPr>
      <w:rPr>
        <w:rFonts w:hint="default" w:ascii="Times New Roman" w:hAnsi="Times New Roman" w:eastAsia="Times New Roman" w:cs="Times New Roman"/>
        <w:spacing w:val="-1"/>
        <w:w w:val="100"/>
        <w:sz w:val="24"/>
        <w:szCs w:val="24"/>
        <w:lang w:val="ms" w:eastAsia="en-US" w:bidi="ar-SA"/>
      </w:rPr>
    </w:lvl>
    <w:lvl w:ilvl="1" w:tentative="0">
      <w:start w:val="0"/>
      <w:numFmt w:val="bullet"/>
      <w:lvlText w:val="•"/>
      <w:lvlJc w:val="left"/>
      <w:pPr>
        <w:ind w:left="2566" w:hanging="361"/>
      </w:pPr>
      <w:rPr>
        <w:rFonts w:hint="default"/>
        <w:lang w:val="ms" w:eastAsia="en-US" w:bidi="ar-SA"/>
      </w:rPr>
    </w:lvl>
    <w:lvl w:ilvl="2" w:tentative="0">
      <w:start w:val="0"/>
      <w:numFmt w:val="bullet"/>
      <w:lvlText w:val="•"/>
      <w:lvlJc w:val="left"/>
      <w:pPr>
        <w:ind w:left="3273" w:hanging="361"/>
      </w:pPr>
      <w:rPr>
        <w:rFonts w:hint="default"/>
        <w:lang w:val="ms" w:eastAsia="en-US" w:bidi="ar-SA"/>
      </w:rPr>
    </w:lvl>
    <w:lvl w:ilvl="3" w:tentative="0">
      <w:start w:val="0"/>
      <w:numFmt w:val="bullet"/>
      <w:lvlText w:val="•"/>
      <w:lvlJc w:val="left"/>
      <w:pPr>
        <w:ind w:left="3980" w:hanging="361"/>
      </w:pPr>
      <w:rPr>
        <w:rFonts w:hint="default"/>
        <w:lang w:val="ms" w:eastAsia="en-US" w:bidi="ar-SA"/>
      </w:rPr>
    </w:lvl>
    <w:lvl w:ilvl="4" w:tentative="0">
      <w:start w:val="0"/>
      <w:numFmt w:val="bullet"/>
      <w:lvlText w:val="•"/>
      <w:lvlJc w:val="left"/>
      <w:pPr>
        <w:ind w:left="4687" w:hanging="361"/>
      </w:pPr>
      <w:rPr>
        <w:rFonts w:hint="default"/>
        <w:lang w:val="ms" w:eastAsia="en-US" w:bidi="ar-SA"/>
      </w:rPr>
    </w:lvl>
    <w:lvl w:ilvl="5" w:tentative="0">
      <w:start w:val="0"/>
      <w:numFmt w:val="bullet"/>
      <w:lvlText w:val="•"/>
      <w:lvlJc w:val="left"/>
      <w:pPr>
        <w:ind w:left="5394" w:hanging="361"/>
      </w:pPr>
      <w:rPr>
        <w:rFonts w:hint="default"/>
        <w:lang w:val="ms" w:eastAsia="en-US" w:bidi="ar-SA"/>
      </w:rPr>
    </w:lvl>
    <w:lvl w:ilvl="6" w:tentative="0">
      <w:start w:val="0"/>
      <w:numFmt w:val="bullet"/>
      <w:lvlText w:val="•"/>
      <w:lvlJc w:val="left"/>
      <w:pPr>
        <w:ind w:left="6100" w:hanging="361"/>
      </w:pPr>
      <w:rPr>
        <w:rFonts w:hint="default"/>
        <w:lang w:val="ms" w:eastAsia="en-US" w:bidi="ar-SA"/>
      </w:rPr>
    </w:lvl>
    <w:lvl w:ilvl="7" w:tentative="0">
      <w:start w:val="0"/>
      <w:numFmt w:val="bullet"/>
      <w:lvlText w:val="•"/>
      <w:lvlJc w:val="left"/>
      <w:pPr>
        <w:ind w:left="6807" w:hanging="361"/>
      </w:pPr>
      <w:rPr>
        <w:rFonts w:hint="default"/>
        <w:lang w:val="ms" w:eastAsia="en-US" w:bidi="ar-SA"/>
      </w:rPr>
    </w:lvl>
    <w:lvl w:ilvl="8" w:tentative="0">
      <w:start w:val="0"/>
      <w:numFmt w:val="bullet"/>
      <w:lvlText w:val="•"/>
      <w:lvlJc w:val="left"/>
      <w:pPr>
        <w:ind w:left="7514" w:hanging="361"/>
      </w:pPr>
      <w:rPr>
        <w:rFonts w:hint="default"/>
        <w:lang w:val="ms" w:eastAsia="en-US" w:bidi="ar-SA"/>
      </w:rPr>
    </w:lvl>
  </w:abstractNum>
  <w:abstractNum w:abstractNumId="21">
    <w:nsid w:val="DE9373AA"/>
    <w:multiLevelType w:val="singleLevel"/>
    <w:tmpl w:val="DE9373AA"/>
    <w:lvl w:ilvl="0" w:tentative="0">
      <w:start w:val="1"/>
      <w:numFmt w:val="decimal"/>
      <w:suff w:val="space"/>
      <w:lvlText w:val="%1."/>
      <w:lvlJc w:val="left"/>
    </w:lvl>
  </w:abstractNum>
  <w:abstractNum w:abstractNumId="22">
    <w:nsid w:val="E31D7D08"/>
    <w:multiLevelType w:val="singleLevel"/>
    <w:tmpl w:val="E31D7D08"/>
    <w:lvl w:ilvl="0" w:tentative="0">
      <w:start w:val="1"/>
      <w:numFmt w:val="decimal"/>
      <w:lvlText w:val="%1)"/>
      <w:lvlJc w:val="left"/>
      <w:pPr>
        <w:tabs>
          <w:tab w:val="left" w:pos="425"/>
        </w:tabs>
        <w:ind w:left="425" w:hanging="425"/>
      </w:pPr>
      <w:rPr>
        <w:rFonts w:hint="default"/>
      </w:rPr>
    </w:lvl>
  </w:abstractNum>
  <w:abstractNum w:abstractNumId="23">
    <w:nsid w:val="E8FE7FC4"/>
    <w:multiLevelType w:val="singleLevel"/>
    <w:tmpl w:val="E8FE7FC4"/>
    <w:lvl w:ilvl="0" w:tentative="0">
      <w:start w:val="1"/>
      <w:numFmt w:val="decimal"/>
      <w:lvlText w:val="%1)"/>
      <w:lvlJc w:val="left"/>
      <w:pPr>
        <w:tabs>
          <w:tab w:val="left" w:pos="425"/>
        </w:tabs>
        <w:ind w:left="425" w:hanging="425"/>
      </w:pPr>
      <w:rPr>
        <w:rFonts w:hint="default"/>
      </w:rPr>
    </w:lvl>
  </w:abstractNum>
  <w:abstractNum w:abstractNumId="24">
    <w:nsid w:val="F485A3B7"/>
    <w:multiLevelType w:val="singleLevel"/>
    <w:tmpl w:val="F485A3B7"/>
    <w:lvl w:ilvl="0" w:tentative="0">
      <w:start w:val="1"/>
      <w:numFmt w:val="lowerLetter"/>
      <w:lvlText w:val="%1)"/>
      <w:lvlJc w:val="left"/>
      <w:pPr>
        <w:tabs>
          <w:tab w:val="left" w:pos="425"/>
        </w:tabs>
        <w:ind w:left="425" w:hanging="425"/>
      </w:pPr>
      <w:rPr>
        <w:rFonts w:hint="default"/>
      </w:rPr>
    </w:lvl>
  </w:abstractNum>
  <w:abstractNum w:abstractNumId="25">
    <w:nsid w:val="F6120D4C"/>
    <w:multiLevelType w:val="multilevel"/>
    <w:tmpl w:val="F6120D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6">
    <w:nsid w:val="00000001"/>
    <w:multiLevelType w:val="multilevel"/>
    <w:tmpl w:val="00000001"/>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27">
    <w:nsid w:val="00000002"/>
    <w:multiLevelType w:val="multilevel"/>
    <w:tmpl w:val="00000002"/>
    <w:lvl w:ilvl="0" w:tentative="0">
      <w:start w:val="1"/>
      <w:numFmt w:val="upperLetter"/>
      <w:pStyle w:val="3"/>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00000004"/>
    <w:multiLevelType w:val="multilevel"/>
    <w:tmpl w:val="00000004"/>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29">
    <w:nsid w:val="00000005"/>
    <w:multiLevelType w:val="multilevel"/>
    <w:tmpl w:val="000000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00000006"/>
    <w:multiLevelType w:val="multilevel"/>
    <w:tmpl w:val="00000006"/>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1">
    <w:nsid w:val="06E36CEF"/>
    <w:multiLevelType w:val="multilevel"/>
    <w:tmpl w:val="06E36CEF"/>
    <w:lvl w:ilvl="0" w:tentative="0">
      <w:start w:val="1"/>
      <w:numFmt w:val="upperLetter"/>
      <w:lvlText w:val="%1."/>
      <w:lvlJc w:val="left"/>
      <w:pPr>
        <w:ind w:left="502"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0DCD20E1"/>
    <w:multiLevelType w:val="multilevel"/>
    <w:tmpl w:val="0DCD20E1"/>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33">
    <w:nsid w:val="120D2C88"/>
    <w:multiLevelType w:val="multilevel"/>
    <w:tmpl w:val="120D2C88"/>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800"/>
        </w:tabs>
        <w:ind w:left="1800" w:hanging="360"/>
      </w:pPr>
    </w:lvl>
    <w:lvl w:ilvl="3" w:tentative="0">
      <w:start w:val="1"/>
      <w:numFmt w:val="decimal"/>
      <w:lvlText w:val="%4."/>
      <w:lvlJc w:val="left"/>
      <w:pPr>
        <w:tabs>
          <w:tab w:val="left" w:pos="2520"/>
        </w:tabs>
        <w:ind w:left="2520" w:hanging="360"/>
      </w:pPr>
    </w:lvl>
    <w:lvl w:ilvl="4" w:tentative="0">
      <w:start w:val="1"/>
      <w:numFmt w:val="decimal"/>
      <w:lvlText w:val="%5."/>
      <w:lvlJc w:val="left"/>
      <w:pPr>
        <w:tabs>
          <w:tab w:val="left" w:pos="3240"/>
        </w:tabs>
        <w:ind w:left="3240" w:hanging="360"/>
      </w:pPr>
    </w:lvl>
    <w:lvl w:ilvl="5" w:tentative="0">
      <w:start w:val="1"/>
      <w:numFmt w:val="decimal"/>
      <w:lvlText w:val="%6."/>
      <w:lvlJc w:val="left"/>
      <w:pPr>
        <w:tabs>
          <w:tab w:val="left" w:pos="3960"/>
        </w:tabs>
        <w:ind w:left="3960" w:hanging="360"/>
      </w:pPr>
    </w:lvl>
    <w:lvl w:ilvl="6" w:tentative="0">
      <w:start w:val="1"/>
      <w:numFmt w:val="decimal"/>
      <w:lvlText w:val="%7."/>
      <w:lvlJc w:val="left"/>
      <w:pPr>
        <w:tabs>
          <w:tab w:val="left" w:pos="4680"/>
        </w:tabs>
        <w:ind w:left="4680" w:hanging="360"/>
      </w:pPr>
    </w:lvl>
    <w:lvl w:ilvl="7" w:tentative="0">
      <w:start w:val="1"/>
      <w:numFmt w:val="decimal"/>
      <w:lvlText w:val="%8."/>
      <w:lvlJc w:val="left"/>
      <w:pPr>
        <w:tabs>
          <w:tab w:val="left" w:pos="5400"/>
        </w:tabs>
        <w:ind w:left="5400" w:hanging="360"/>
      </w:pPr>
    </w:lvl>
    <w:lvl w:ilvl="8" w:tentative="0">
      <w:start w:val="1"/>
      <w:numFmt w:val="decimal"/>
      <w:lvlText w:val="%9."/>
      <w:lvlJc w:val="left"/>
      <w:pPr>
        <w:tabs>
          <w:tab w:val="left" w:pos="6120"/>
        </w:tabs>
        <w:ind w:left="6120" w:hanging="360"/>
      </w:pPr>
    </w:lvl>
  </w:abstractNum>
  <w:abstractNum w:abstractNumId="34">
    <w:nsid w:val="172DC8E2"/>
    <w:multiLevelType w:val="singleLevel"/>
    <w:tmpl w:val="172DC8E2"/>
    <w:lvl w:ilvl="0" w:tentative="0">
      <w:start w:val="1"/>
      <w:numFmt w:val="lowerLetter"/>
      <w:lvlText w:val="%1."/>
      <w:lvlJc w:val="left"/>
      <w:pPr>
        <w:tabs>
          <w:tab w:val="left" w:pos="425"/>
        </w:tabs>
        <w:ind w:left="425" w:hanging="425"/>
      </w:pPr>
      <w:rPr>
        <w:rFonts w:hint="default"/>
      </w:rPr>
    </w:lvl>
  </w:abstractNum>
  <w:abstractNum w:abstractNumId="35">
    <w:nsid w:val="1797308E"/>
    <w:multiLevelType w:val="multilevel"/>
    <w:tmpl w:val="1797308E"/>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6">
    <w:nsid w:val="1B039FA8"/>
    <w:multiLevelType w:val="singleLevel"/>
    <w:tmpl w:val="1B039FA8"/>
    <w:lvl w:ilvl="0" w:tentative="0">
      <w:start w:val="1"/>
      <w:numFmt w:val="decimal"/>
      <w:lvlText w:val="%1)"/>
      <w:lvlJc w:val="left"/>
      <w:pPr>
        <w:tabs>
          <w:tab w:val="left" w:pos="425"/>
        </w:tabs>
        <w:ind w:left="425" w:hanging="425"/>
      </w:pPr>
      <w:rPr>
        <w:rFonts w:hint="default"/>
      </w:rPr>
    </w:lvl>
  </w:abstractNum>
  <w:abstractNum w:abstractNumId="37">
    <w:nsid w:val="1BD31C67"/>
    <w:multiLevelType w:val="multilevel"/>
    <w:tmpl w:val="1BD31C67"/>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38">
    <w:nsid w:val="1C0809B4"/>
    <w:multiLevelType w:val="multilevel"/>
    <w:tmpl w:val="1C0809B4"/>
    <w:lvl w:ilvl="0" w:tentative="0">
      <w:start w:val="1"/>
      <w:numFmt w:val="lowerLetter"/>
      <w:lvlText w:val="%1."/>
      <w:lvlJc w:val="left"/>
      <w:pPr>
        <w:ind w:left="1070" w:hanging="360"/>
      </w:pPr>
      <w:rPr>
        <w:rFonts w:asciiTheme="majorBidi" w:hAnsiTheme="majorBidi" w:eastAsiaTheme="minorHAnsi" w:cstheme="majorBidi"/>
      </w:rPr>
    </w:lvl>
    <w:lvl w:ilvl="1" w:tentative="0">
      <w:start w:val="1"/>
      <w:numFmt w:val="lowerLetter"/>
      <w:lvlText w:val="%2."/>
      <w:lvlJc w:val="left"/>
      <w:pPr>
        <w:ind w:left="-370" w:hanging="360"/>
      </w:pPr>
    </w:lvl>
    <w:lvl w:ilvl="2" w:tentative="0">
      <w:start w:val="1"/>
      <w:numFmt w:val="decimal"/>
      <w:lvlText w:val="%3."/>
      <w:lvlJc w:val="left"/>
      <w:pPr>
        <w:ind w:left="1970" w:hanging="360"/>
      </w:pPr>
      <w:rPr>
        <w:rFonts w:hint="default" w:asciiTheme="majorBidi" w:hAnsiTheme="majorBidi" w:cstheme="majorBidi"/>
        <w:b w:val="0"/>
        <w:bCs w:val="0"/>
        <w:sz w:val="24"/>
        <w:szCs w:val="24"/>
      </w:rPr>
    </w:lvl>
    <w:lvl w:ilvl="3" w:tentative="0">
      <w:start w:val="1"/>
      <w:numFmt w:val="decimal"/>
      <w:lvlText w:val="%4)"/>
      <w:lvlJc w:val="left"/>
      <w:pPr>
        <w:ind w:left="1495" w:hanging="360"/>
      </w:pPr>
      <w:rPr>
        <w:rFonts w:hint="default"/>
      </w:rPr>
    </w:lvl>
    <w:lvl w:ilvl="4" w:tentative="0">
      <w:start w:val="1"/>
      <w:numFmt w:val="lowerLetter"/>
      <w:lvlText w:val="%5."/>
      <w:lvlJc w:val="left"/>
      <w:pPr>
        <w:ind w:left="3230" w:hanging="360"/>
      </w:pPr>
    </w:lvl>
    <w:lvl w:ilvl="5" w:tentative="0">
      <w:start w:val="1"/>
      <w:numFmt w:val="lowerRoman"/>
      <w:lvlText w:val="%6."/>
      <w:lvlJc w:val="right"/>
      <w:pPr>
        <w:ind w:left="3950" w:hanging="180"/>
      </w:pPr>
    </w:lvl>
    <w:lvl w:ilvl="6" w:tentative="0">
      <w:start w:val="1"/>
      <w:numFmt w:val="decimal"/>
      <w:lvlText w:val="%7."/>
      <w:lvlJc w:val="left"/>
      <w:pPr>
        <w:ind w:left="4670" w:hanging="360"/>
      </w:pPr>
    </w:lvl>
    <w:lvl w:ilvl="7" w:tentative="0">
      <w:start w:val="1"/>
      <w:numFmt w:val="lowerLetter"/>
      <w:lvlText w:val="%8."/>
      <w:lvlJc w:val="left"/>
      <w:pPr>
        <w:ind w:left="5390" w:hanging="360"/>
      </w:pPr>
    </w:lvl>
    <w:lvl w:ilvl="8" w:tentative="0">
      <w:start w:val="1"/>
      <w:numFmt w:val="lowerRoman"/>
      <w:lvlText w:val="%9."/>
      <w:lvlJc w:val="right"/>
      <w:pPr>
        <w:ind w:left="6110" w:hanging="180"/>
      </w:pPr>
    </w:lvl>
  </w:abstractNum>
  <w:abstractNum w:abstractNumId="39">
    <w:nsid w:val="206A8C1F"/>
    <w:multiLevelType w:val="singleLevel"/>
    <w:tmpl w:val="206A8C1F"/>
    <w:lvl w:ilvl="0" w:tentative="0">
      <w:start w:val="1"/>
      <w:numFmt w:val="lowerLetter"/>
      <w:lvlText w:val="%1."/>
      <w:lvlJc w:val="left"/>
      <w:pPr>
        <w:tabs>
          <w:tab w:val="left" w:pos="425"/>
        </w:tabs>
        <w:ind w:left="425" w:hanging="425"/>
      </w:pPr>
      <w:rPr>
        <w:rFonts w:hint="default"/>
      </w:rPr>
    </w:lvl>
  </w:abstractNum>
  <w:abstractNum w:abstractNumId="40">
    <w:nsid w:val="20777237"/>
    <w:multiLevelType w:val="singleLevel"/>
    <w:tmpl w:val="20777237"/>
    <w:lvl w:ilvl="0" w:tentative="0">
      <w:start w:val="1"/>
      <w:numFmt w:val="decimal"/>
      <w:lvlText w:val="%1."/>
      <w:lvlJc w:val="left"/>
      <w:pPr>
        <w:tabs>
          <w:tab w:val="left" w:pos="425"/>
        </w:tabs>
        <w:ind w:left="425" w:hanging="425"/>
      </w:pPr>
      <w:rPr>
        <w:rFonts w:hint="default"/>
      </w:rPr>
    </w:lvl>
  </w:abstractNum>
  <w:abstractNum w:abstractNumId="41">
    <w:nsid w:val="213BF7FA"/>
    <w:multiLevelType w:val="singleLevel"/>
    <w:tmpl w:val="213BF7FA"/>
    <w:lvl w:ilvl="0" w:tentative="0">
      <w:start w:val="1"/>
      <w:numFmt w:val="decimal"/>
      <w:lvlText w:val="%1."/>
      <w:lvlJc w:val="left"/>
      <w:pPr>
        <w:tabs>
          <w:tab w:val="left" w:pos="425"/>
        </w:tabs>
        <w:ind w:left="425" w:hanging="425"/>
      </w:pPr>
      <w:rPr>
        <w:rFonts w:hint="default"/>
      </w:rPr>
    </w:lvl>
  </w:abstractNum>
  <w:abstractNum w:abstractNumId="42">
    <w:nsid w:val="229C6463"/>
    <w:multiLevelType w:val="multilevel"/>
    <w:tmpl w:val="229C646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243FCF68"/>
    <w:multiLevelType w:val="multilevel"/>
    <w:tmpl w:val="243FCF68"/>
    <w:lvl w:ilvl="0" w:tentative="0">
      <w:start w:val="1"/>
      <w:numFmt w:val="lowerLetter"/>
      <w:lvlText w:val="%1."/>
      <w:lvlJc w:val="left"/>
      <w:pPr>
        <w:ind w:left="1665" w:hanging="356"/>
      </w:pPr>
      <w:rPr>
        <w:rFonts w:hint="default" w:eastAsia="Microsoft Sans Serif" w:asciiTheme="majorBidi" w:hAnsiTheme="majorBidi" w:cstheme="majorBidi"/>
        <w:spacing w:val="-2"/>
        <w:w w:val="100"/>
        <w:sz w:val="24"/>
        <w:szCs w:val="24"/>
        <w:lang w:val="id" w:eastAsia="en-US" w:bidi="ar-SA"/>
      </w:rPr>
    </w:lvl>
    <w:lvl w:ilvl="1" w:tentative="0">
      <w:start w:val="1"/>
      <w:numFmt w:val="decimal"/>
      <w:lvlText w:val="%2)"/>
      <w:lvlJc w:val="left"/>
      <w:pPr>
        <w:ind w:left="2021" w:hanging="356"/>
      </w:pPr>
      <w:rPr>
        <w:rFonts w:hint="default" w:eastAsia="Microsoft Sans Serif" w:asciiTheme="majorBidi" w:hAnsiTheme="majorBidi" w:cstheme="majorBidi"/>
        <w:spacing w:val="-2"/>
        <w:w w:val="99"/>
        <w:sz w:val="24"/>
        <w:szCs w:val="24"/>
        <w:lang w:val="id" w:eastAsia="en-US" w:bidi="ar-SA"/>
      </w:rPr>
    </w:lvl>
    <w:lvl w:ilvl="2" w:tentative="0">
      <w:start w:val="0"/>
      <w:numFmt w:val="bullet"/>
      <w:lvlText w:val="•"/>
      <w:lvlJc w:val="left"/>
      <w:pPr>
        <w:ind w:left="2798" w:hanging="356"/>
      </w:pPr>
      <w:rPr>
        <w:rFonts w:hint="default"/>
        <w:lang w:val="id" w:eastAsia="en-US" w:bidi="ar-SA"/>
      </w:rPr>
    </w:lvl>
    <w:lvl w:ilvl="3" w:tentative="0">
      <w:start w:val="0"/>
      <w:numFmt w:val="bullet"/>
      <w:lvlText w:val="•"/>
      <w:lvlJc w:val="left"/>
      <w:pPr>
        <w:ind w:left="3577" w:hanging="356"/>
      </w:pPr>
      <w:rPr>
        <w:rFonts w:hint="default"/>
        <w:lang w:val="id" w:eastAsia="en-US" w:bidi="ar-SA"/>
      </w:rPr>
    </w:lvl>
    <w:lvl w:ilvl="4" w:tentative="0">
      <w:start w:val="0"/>
      <w:numFmt w:val="bullet"/>
      <w:lvlText w:val="•"/>
      <w:lvlJc w:val="left"/>
      <w:pPr>
        <w:ind w:left="4356" w:hanging="356"/>
      </w:pPr>
      <w:rPr>
        <w:rFonts w:hint="default"/>
        <w:lang w:val="id" w:eastAsia="en-US" w:bidi="ar-SA"/>
      </w:rPr>
    </w:lvl>
    <w:lvl w:ilvl="5" w:tentative="0">
      <w:start w:val="0"/>
      <w:numFmt w:val="bullet"/>
      <w:lvlText w:val="•"/>
      <w:lvlJc w:val="left"/>
      <w:pPr>
        <w:ind w:left="5134" w:hanging="356"/>
      </w:pPr>
      <w:rPr>
        <w:rFonts w:hint="default"/>
        <w:lang w:val="id" w:eastAsia="en-US" w:bidi="ar-SA"/>
      </w:rPr>
    </w:lvl>
    <w:lvl w:ilvl="6" w:tentative="0">
      <w:start w:val="0"/>
      <w:numFmt w:val="bullet"/>
      <w:lvlText w:val="•"/>
      <w:lvlJc w:val="left"/>
      <w:pPr>
        <w:ind w:left="5913" w:hanging="356"/>
      </w:pPr>
      <w:rPr>
        <w:rFonts w:hint="default"/>
        <w:lang w:val="id" w:eastAsia="en-US" w:bidi="ar-SA"/>
      </w:rPr>
    </w:lvl>
    <w:lvl w:ilvl="7" w:tentative="0">
      <w:start w:val="0"/>
      <w:numFmt w:val="bullet"/>
      <w:lvlText w:val="•"/>
      <w:lvlJc w:val="left"/>
      <w:pPr>
        <w:ind w:left="6692" w:hanging="356"/>
      </w:pPr>
      <w:rPr>
        <w:rFonts w:hint="default"/>
        <w:lang w:val="id" w:eastAsia="en-US" w:bidi="ar-SA"/>
      </w:rPr>
    </w:lvl>
    <w:lvl w:ilvl="8" w:tentative="0">
      <w:start w:val="0"/>
      <w:numFmt w:val="bullet"/>
      <w:lvlText w:val="•"/>
      <w:lvlJc w:val="left"/>
      <w:pPr>
        <w:ind w:left="7470" w:hanging="356"/>
      </w:pPr>
      <w:rPr>
        <w:rFonts w:hint="default"/>
        <w:lang w:val="id" w:eastAsia="en-US" w:bidi="ar-SA"/>
      </w:rPr>
    </w:lvl>
  </w:abstractNum>
  <w:abstractNum w:abstractNumId="44">
    <w:nsid w:val="25D10028"/>
    <w:multiLevelType w:val="multilevel"/>
    <w:tmpl w:val="25D1002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5">
    <w:nsid w:val="25FA1B5D"/>
    <w:multiLevelType w:val="multilevel"/>
    <w:tmpl w:val="25FA1B5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2C7D79D7"/>
    <w:multiLevelType w:val="multilevel"/>
    <w:tmpl w:val="2C7D79D7"/>
    <w:lvl w:ilvl="0" w:tentative="0">
      <w:start w:val="1"/>
      <w:numFmt w:val="decimal"/>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47">
    <w:nsid w:val="2CFB4475"/>
    <w:multiLevelType w:val="multilevel"/>
    <w:tmpl w:val="2CFB4475"/>
    <w:lvl w:ilvl="0" w:tentative="0">
      <w:start w:val="1"/>
      <w:numFmt w:val="lowerLetter"/>
      <w:lvlText w:val="%1."/>
      <w:lvlJc w:val="left"/>
      <w:pPr>
        <w:ind w:left="360" w:hanging="360"/>
      </w:pPr>
      <w:rPr>
        <w:rFonts w:hint="default" w:ascii="Times New Roman" w:hAnsi="Times New Roman" w:eastAsia="Times New Roman" w:cs="Times New Roman"/>
        <w:b w:val="0"/>
        <w:bCs w:val="0"/>
        <w:i w:val="0"/>
        <w:iCs w:val="0"/>
        <w:color w:val="000004"/>
        <w:spacing w:val="-3"/>
        <w:w w:val="100"/>
        <w:sz w:val="24"/>
        <w:szCs w:val="24"/>
        <w:lang w:val="id" w:eastAsia="en-US" w:bidi="ar-SA"/>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8">
    <w:nsid w:val="2EE70439"/>
    <w:multiLevelType w:val="multilevel"/>
    <w:tmpl w:val="2EE70439"/>
    <w:lvl w:ilvl="0" w:tentative="0">
      <w:start w:val="1"/>
      <w:numFmt w:val="decimal"/>
      <w:lvlText w:val="%1."/>
      <w:lvlJc w:val="left"/>
      <w:pPr>
        <w:ind w:left="2880" w:hanging="360"/>
      </w:pPr>
      <w:rPr>
        <w:rFonts w:hint="default"/>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49">
    <w:nsid w:val="30A96EE6"/>
    <w:multiLevelType w:val="multilevel"/>
    <w:tmpl w:val="30A96EE6"/>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0">
    <w:nsid w:val="319814B2"/>
    <w:multiLevelType w:val="singleLevel"/>
    <w:tmpl w:val="319814B2"/>
    <w:lvl w:ilvl="0" w:tentative="0">
      <w:start w:val="1"/>
      <w:numFmt w:val="lowerLetter"/>
      <w:lvlText w:val="%1."/>
      <w:lvlJc w:val="left"/>
      <w:pPr>
        <w:tabs>
          <w:tab w:val="left" w:pos="425"/>
        </w:tabs>
        <w:ind w:left="425" w:hanging="425"/>
      </w:pPr>
      <w:rPr>
        <w:rFonts w:hint="default"/>
      </w:rPr>
    </w:lvl>
  </w:abstractNum>
  <w:abstractNum w:abstractNumId="51">
    <w:nsid w:val="320F5BA3"/>
    <w:multiLevelType w:val="singleLevel"/>
    <w:tmpl w:val="320F5BA3"/>
    <w:lvl w:ilvl="0" w:tentative="0">
      <w:start w:val="1"/>
      <w:numFmt w:val="decimal"/>
      <w:suff w:val="space"/>
      <w:lvlText w:val="%1."/>
      <w:lvlJc w:val="left"/>
    </w:lvl>
  </w:abstractNum>
  <w:abstractNum w:abstractNumId="52">
    <w:nsid w:val="33B84EF9"/>
    <w:multiLevelType w:val="multilevel"/>
    <w:tmpl w:val="33B84E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3821C6F1"/>
    <w:multiLevelType w:val="singleLevel"/>
    <w:tmpl w:val="3821C6F1"/>
    <w:lvl w:ilvl="0" w:tentative="0">
      <w:start w:val="1"/>
      <w:numFmt w:val="lowerLetter"/>
      <w:lvlText w:val="%1)"/>
      <w:lvlJc w:val="left"/>
      <w:pPr>
        <w:tabs>
          <w:tab w:val="left" w:pos="425"/>
        </w:tabs>
        <w:ind w:left="425" w:hanging="425"/>
      </w:pPr>
      <w:rPr>
        <w:rFonts w:hint="default"/>
      </w:rPr>
    </w:lvl>
  </w:abstractNum>
  <w:abstractNum w:abstractNumId="54">
    <w:nsid w:val="385DEDF6"/>
    <w:multiLevelType w:val="singleLevel"/>
    <w:tmpl w:val="385DEDF6"/>
    <w:lvl w:ilvl="0" w:tentative="0">
      <w:start w:val="1"/>
      <w:numFmt w:val="lowerLetter"/>
      <w:suff w:val="space"/>
      <w:lvlText w:val="%1."/>
      <w:lvlJc w:val="left"/>
    </w:lvl>
  </w:abstractNum>
  <w:abstractNum w:abstractNumId="55">
    <w:nsid w:val="456EC456"/>
    <w:multiLevelType w:val="singleLevel"/>
    <w:tmpl w:val="456EC456"/>
    <w:lvl w:ilvl="0" w:tentative="0">
      <w:start w:val="1"/>
      <w:numFmt w:val="decimal"/>
      <w:lvlText w:val="%1)"/>
      <w:lvlJc w:val="left"/>
      <w:pPr>
        <w:tabs>
          <w:tab w:val="left" w:pos="425"/>
        </w:tabs>
        <w:ind w:left="425" w:hanging="425"/>
      </w:pPr>
      <w:rPr>
        <w:rFonts w:hint="default"/>
      </w:rPr>
    </w:lvl>
  </w:abstractNum>
  <w:abstractNum w:abstractNumId="56">
    <w:nsid w:val="4B3B1BF5"/>
    <w:multiLevelType w:val="singleLevel"/>
    <w:tmpl w:val="4B3B1BF5"/>
    <w:lvl w:ilvl="0" w:tentative="0">
      <w:start w:val="1"/>
      <w:numFmt w:val="decimal"/>
      <w:suff w:val="space"/>
      <w:lvlText w:val="%1."/>
      <w:lvlJc w:val="left"/>
    </w:lvl>
  </w:abstractNum>
  <w:abstractNum w:abstractNumId="57">
    <w:nsid w:val="4C1BAE26"/>
    <w:multiLevelType w:val="multilevel"/>
    <w:tmpl w:val="4C1BAE26"/>
    <w:lvl w:ilvl="0" w:tentative="0">
      <w:start w:val="1"/>
      <w:numFmt w:val="decimal"/>
      <w:lvlText w:val="%1)"/>
      <w:lvlJc w:val="left"/>
      <w:pPr>
        <w:ind w:left="2127" w:hanging="360"/>
      </w:pPr>
      <w:rPr>
        <w:rFonts w:hint="default" w:ascii="Times New Roman" w:hAnsi="Times New Roman" w:eastAsia="Times New Roman" w:cs="Times New Roman"/>
        <w:w w:val="99"/>
        <w:sz w:val="24"/>
        <w:szCs w:val="24"/>
        <w:lang w:val="ms" w:eastAsia="en-US" w:bidi="ar-SA"/>
      </w:rPr>
    </w:lvl>
    <w:lvl w:ilvl="1" w:tentative="0">
      <w:start w:val="0"/>
      <w:numFmt w:val="bullet"/>
      <w:lvlText w:val="•"/>
      <w:lvlJc w:val="left"/>
      <w:pPr>
        <w:ind w:left="2800" w:hanging="360"/>
      </w:pPr>
      <w:rPr>
        <w:rFonts w:hint="default"/>
        <w:lang w:val="ms" w:eastAsia="en-US" w:bidi="ar-SA"/>
      </w:rPr>
    </w:lvl>
    <w:lvl w:ilvl="2" w:tentative="0">
      <w:start w:val="0"/>
      <w:numFmt w:val="bullet"/>
      <w:lvlText w:val="•"/>
      <w:lvlJc w:val="left"/>
      <w:pPr>
        <w:ind w:left="3481" w:hanging="360"/>
      </w:pPr>
      <w:rPr>
        <w:rFonts w:hint="default"/>
        <w:lang w:val="ms" w:eastAsia="en-US" w:bidi="ar-SA"/>
      </w:rPr>
    </w:lvl>
    <w:lvl w:ilvl="3" w:tentative="0">
      <w:start w:val="0"/>
      <w:numFmt w:val="bullet"/>
      <w:lvlText w:val="•"/>
      <w:lvlJc w:val="left"/>
      <w:pPr>
        <w:ind w:left="4162" w:hanging="360"/>
      </w:pPr>
      <w:rPr>
        <w:rFonts w:hint="default"/>
        <w:lang w:val="ms" w:eastAsia="en-US" w:bidi="ar-SA"/>
      </w:rPr>
    </w:lvl>
    <w:lvl w:ilvl="4" w:tentative="0">
      <w:start w:val="0"/>
      <w:numFmt w:val="bullet"/>
      <w:lvlText w:val="•"/>
      <w:lvlJc w:val="left"/>
      <w:pPr>
        <w:ind w:left="4843" w:hanging="360"/>
      </w:pPr>
      <w:rPr>
        <w:rFonts w:hint="default"/>
        <w:lang w:val="ms" w:eastAsia="en-US" w:bidi="ar-SA"/>
      </w:rPr>
    </w:lvl>
    <w:lvl w:ilvl="5" w:tentative="0">
      <w:start w:val="0"/>
      <w:numFmt w:val="bullet"/>
      <w:lvlText w:val="•"/>
      <w:lvlJc w:val="left"/>
      <w:pPr>
        <w:ind w:left="5524" w:hanging="360"/>
      </w:pPr>
      <w:rPr>
        <w:rFonts w:hint="default"/>
        <w:lang w:val="ms" w:eastAsia="en-US" w:bidi="ar-SA"/>
      </w:rPr>
    </w:lvl>
    <w:lvl w:ilvl="6" w:tentative="0">
      <w:start w:val="0"/>
      <w:numFmt w:val="bullet"/>
      <w:lvlText w:val="•"/>
      <w:lvlJc w:val="left"/>
      <w:pPr>
        <w:ind w:left="6204" w:hanging="360"/>
      </w:pPr>
      <w:rPr>
        <w:rFonts w:hint="default"/>
        <w:lang w:val="ms" w:eastAsia="en-US" w:bidi="ar-SA"/>
      </w:rPr>
    </w:lvl>
    <w:lvl w:ilvl="7" w:tentative="0">
      <w:start w:val="0"/>
      <w:numFmt w:val="bullet"/>
      <w:lvlText w:val="•"/>
      <w:lvlJc w:val="left"/>
      <w:pPr>
        <w:ind w:left="6885" w:hanging="360"/>
      </w:pPr>
      <w:rPr>
        <w:rFonts w:hint="default"/>
        <w:lang w:val="ms" w:eastAsia="en-US" w:bidi="ar-SA"/>
      </w:rPr>
    </w:lvl>
    <w:lvl w:ilvl="8" w:tentative="0">
      <w:start w:val="0"/>
      <w:numFmt w:val="bullet"/>
      <w:lvlText w:val="•"/>
      <w:lvlJc w:val="left"/>
      <w:pPr>
        <w:ind w:left="7566" w:hanging="360"/>
      </w:pPr>
      <w:rPr>
        <w:rFonts w:hint="default"/>
        <w:lang w:val="ms" w:eastAsia="en-US" w:bidi="ar-SA"/>
      </w:rPr>
    </w:lvl>
  </w:abstractNum>
  <w:abstractNum w:abstractNumId="58">
    <w:nsid w:val="4F863665"/>
    <w:multiLevelType w:val="singleLevel"/>
    <w:tmpl w:val="4F863665"/>
    <w:lvl w:ilvl="0" w:tentative="0">
      <w:start w:val="1"/>
      <w:numFmt w:val="decimal"/>
      <w:lvlText w:val="%1."/>
      <w:lvlJc w:val="left"/>
      <w:pPr>
        <w:ind w:left="360" w:hanging="360"/>
      </w:pPr>
      <w:rPr>
        <w:rFonts w:hint="default" w:ascii="Times New Roman" w:hAnsi="Times New Roman" w:eastAsia="Times New Roman" w:cs="Times New Roman"/>
        <w:b w:val="0"/>
        <w:bCs w:val="0"/>
        <w:i w:val="0"/>
        <w:iCs w:val="0"/>
        <w:spacing w:val="0"/>
        <w:w w:val="100"/>
        <w:sz w:val="24"/>
        <w:szCs w:val="24"/>
        <w:lang w:val="id" w:eastAsia="en-US" w:bidi="ar-SA"/>
      </w:rPr>
    </w:lvl>
  </w:abstractNum>
  <w:abstractNum w:abstractNumId="59">
    <w:nsid w:val="56DCC7C7"/>
    <w:multiLevelType w:val="singleLevel"/>
    <w:tmpl w:val="56DCC7C7"/>
    <w:lvl w:ilvl="0" w:tentative="0">
      <w:start w:val="1"/>
      <w:numFmt w:val="lowerLetter"/>
      <w:suff w:val="space"/>
      <w:lvlText w:val="%1."/>
      <w:lvlJc w:val="left"/>
    </w:lvl>
  </w:abstractNum>
  <w:abstractNum w:abstractNumId="60">
    <w:nsid w:val="57CC9FDE"/>
    <w:multiLevelType w:val="singleLevel"/>
    <w:tmpl w:val="57CC9FDE"/>
    <w:lvl w:ilvl="0" w:tentative="0">
      <w:start w:val="1"/>
      <w:numFmt w:val="decimal"/>
      <w:lvlText w:val="%1."/>
      <w:lvlJc w:val="left"/>
      <w:pPr>
        <w:tabs>
          <w:tab w:val="left" w:pos="425"/>
        </w:tabs>
        <w:ind w:left="425" w:hanging="425"/>
      </w:pPr>
      <w:rPr>
        <w:rFonts w:hint="default"/>
      </w:rPr>
    </w:lvl>
  </w:abstractNum>
  <w:abstractNum w:abstractNumId="61">
    <w:nsid w:val="57EE7BEB"/>
    <w:multiLevelType w:val="singleLevel"/>
    <w:tmpl w:val="57EE7BEB"/>
    <w:lvl w:ilvl="0" w:tentative="0">
      <w:start w:val="1"/>
      <w:numFmt w:val="decimal"/>
      <w:lvlText w:val="%1."/>
      <w:lvlJc w:val="left"/>
      <w:pPr>
        <w:tabs>
          <w:tab w:val="left" w:pos="425"/>
        </w:tabs>
        <w:ind w:left="425" w:hanging="425"/>
      </w:pPr>
      <w:rPr>
        <w:rFonts w:hint="default"/>
      </w:rPr>
    </w:lvl>
  </w:abstractNum>
  <w:abstractNum w:abstractNumId="62">
    <w:nsid w:val="593D75BC"/>
    <w:multiLevelType w:val="singleLevel"/>
    <w:tmpl w:val="593D75BC"/>
    <w:lvl w:ilvl="0" w:tentative="0">
      <w:start w:val="1"/>
      <w:numFmt w:val="decimal"/>
      <w:lvlText w:val="%1."/>
      <w:lvlJc w:val="left"/>
      <w:pPr>
        <w:tabs>
          <w:tab w:val="left" w:pos="425"/>
        </w:tabs>
        <w:ind w:left="425" w:hanging="425"/>
      </w:pPr>
      <w:rPr>
        <w:rFonts w:hint="default"/>
      </w:rPr>
    </w:lvl>
  </w:abstractNum>
  <w:abstractNum w:abstractNumId="63">
    <w:nsid w:val="617D34FA"/>
    <w:multiLevelType w:val="multilevel"/>
    <w:tmpl w:val="617D34F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4">
    <w:nsid w:val="64AF5ED1"/>
    <w:multiLevelType w:val="multilevel"/>
    <w:tmpl w:val="64AF5ED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676F52C0"/>
    <w:multiLevelType w:val="multilevel"/>
    <w:tmpl w:val="676F52C0"/>
    <w:lvl w:ilvl="0" w:tentative="0">
      <w:start w:val="1"/>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6">
    <w:nsid w:val="72087691"/>
    <w:multiLevelType w:val="multilevel"/>
    <w:tmpl w:val="72087691"/>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67">
    <w:nsid w:val="77333A1D"/>
    <w:multiLevelType w:val="multilevel"/>
    <w:tmpl w:val="77333A1D"/>
    <w:lvl w:ilvl="0" w:tentative="0">
      <w:start w:val="1"/>
      <w:numFmt w:val="upperLetter"/>
      <w:lvlText w:val="%1."/>
      <w:lvlJc w:val="left"/>
      <w:pPr>
        <w:ind w:left="580" w:hanging="360"/>
      </w:pPr>
      <w:rPr>
        <w:rFonts w:hint="default"/>
        <w:u w:val="none"/>
      </w:rPr>
    </w:lvl>
    <w:lvl w:ilvl="1" w:tentative="0">
      <w:start w:val="1"/>
      <w:numFmt w:val="lowerLetter"/>
      <w:lvlText w:val="%2."/>
      <w:lvlJc w:val="left"/>
      <w:pPr>
        <w:ind w:left="1300" w:hanging="360"/>
      </w:pPr>
    </w:lvl>
    <w:lvl w:ilvl="2" w:tentative="0">
      <w:start w:val="1"/>
      <w:numFmt w:val="lowerRoman"/>
      <w:lvlText w:val="%3."/>
      <w:lvlJc w:val="right"/>
      <w:pPr>
        <w:ind w:left="2020" w:hanging="180"/>
      </w:pPr>
    </w:lvl>
    <w:lvl w:ilvl="3" w:tentative="0">
      <w:start w:val="1"/>
      <w:numFmt w:val="decimal"/>
      <w:lvlText w:val="%4."/>
      <w:lvlJc w:val="left"/>
      <w:pPr>
        <w:ind w:left="2740" w:hanging="360"/>
      </w:pPr>
    </w:lvl>
    <w:lvl w:ilvl="4" w:tentative="0">
      <w:start w:val="1"/>
      <w:numFmt w:val="lowerLetter"/>
      <w:lvlText w:val="%5."/>
      <w:lvlJc w:val="left"/>
      <w:pPr>
        <w:ind w:left="3460" w:hanging="360"/>
      </w:pPr>
    </w:lvl>
    <w:lvl w:ilvl="5" w:tentative="0">
      <w:start w:val="1"/>
      <w:numFmt w:val="lowerRoman"/>
      <w:lvlText w:val="%6."/>
      <w:lvlJc w:val="right"/>
      <w:pPr>
        <w:ind w:left="4180" w:hanging="180"/>
      </w:pPr>
    </w:lvl>
    <w:lvl w:ilvl="6" w:tentative="0">
      <w:start w:val="1"/>
      <w:numFmt w:val="decimal"/>
      <w:lvlText w:val="%7."/>
      <w:lvlJc w:val="left"/>
      <w:pPr>
        <w:ind w:left="4900" w:hanging="360"/>
      </w:pPr>
    </w:lvl>
    <w:lvl w:ilvl="7" w:tentative="0">
      <w:start w:val="1"/>
      <w:numFmt w:val="lowerLetter"/>
      <w:lvlText w:val="%8."/>
      <w:lvlJc w:val="left"/>
      <w:pPr>
        <w:ind w:left="5620" w:hanging="360"/>
      </w:pPr>
    </w:lvl>
    <w:lvl w:ilvl="8" w:tentative="0">
      <w:start w:val="1"/>
      <w:numFmt w:val="lowerRoman"/>
      <w:lvlText w:val="%9."/>
      <w:lvlJc w:val="right"/>
      <w:pPr>
        <w:ind w:left="6340" w:hanging="180"/>
      </w:pPr>
    </w:lvl>
  </w:abstractNum>
  <w:num w:numId="1">
    <w:abstractNumId w:val="27"/>
  </w:num>
  <w:num w:numId="2">
    <w:abstractNumId w:val="2"/>
  </w:num>
  <w:num w:numId="3">
    <w:abstractNumId w:val="35"/>
  </w:num>
  <w:num w:numId="4">
    <w:abstractNumId w:val="65"/>
  </w:num>
  <w:num w:numId="5">
    <w:abstractNumId w:val="66"/>
  </w:num>
  <w:num w:numId="6">
    <w:abstractNumId w:val="37"/>
  </w:num>
  <w:num w:numId="7">
    <w:abstractNumId w:val="33"/>
  </w:num>
  <w:num w:numId="8">
    <w:abstractNumId w:val="67"/>
  </w:num>
  <w:num w:numId="9">
    <w:abstractNumId w:val="41"/>
  </w:num>
  <w:num w:numId="10">
    <w:abstractNumId w:val="60"/>
  </w:num>
  <w:num w:numId="11">
    <w:abstractNumId w:val="14"/>
  </w:num>
  <w:num w:numId="12">
    <w:abstractNumId w:val="61"/>
  </w:num>
  <w:num w:numId="13">
    <w:abstractNumId w:val="40"/>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8"/>
  </w:num>
  <w:num w:numId="18">
    <w:abstractNumId w:val="30"/>
  </w:num>
  <w:num w:numId="19">
    <w:abstractNumId w:val="38"/>
  </w:num>
  <w:num w:numId="20">
    <w:abstractNumId w:val="31"/>
  </w:num>
  <w:num w:numId="21">
    <w:abstractNumId w:val="58"/>
  </w:num>
  <w:num w:numId="22">
    <w:abstractNumId w:val="47"/>
  </w:num>
  <w:num w:numId="23">
    <w:abstractNumId w:val="9"/>
  </w:num>
  <w:num w:numId="24">
    <w:abstractNumId w:val="10"/>
  </w:num>
  <w:num w:numId="25">
    <w:abstractNumId w:val="24"/>
  </w:num>
  <w:num w:numId="26">
    <w:abstractNumId w:val="53"/>
  </w:num>
  <w:num w:numId="27">
    <w:abstractNumId w:val="49"/>
  </w:num>
  <w:num w:numId="28">
    <w:abstractNumId w:val="32"/>
  </w:num>
  <w:num w:numId="29">
    <w:abstractNumId w:val="59"/>
  </w:num>
  <w:num w:numId="30">
    <w:abstractNumId w:val="17"/>
  </w:num>
  <w:num w:numId="31">
    <w:abstractNumId w:val="8"/>
  </w:num>
  <w:num w:numId="32">
    <w:abstractNumId w:val="23"/>
  </w:num>
  <w:num w:numId="33">
    <w:abstractNumId w:val="0"/>
  </w:num>
  <w:num w:numId="34">
    <w:abstractNumId w:val="20"/>
  </w:num>
  <w:num w:numId="35">
    <w:abstractNumId w:val="43"/>
  </w:num>
  <w:num w:numId="36">
    <w:abstractNumId w:val="57"/>
  </w:num>
  <w:num w:numId="37">
    <w:abstractNumId w:val="25"/>
  </w:num>
  <w:num w:numId="38">
    <w:abstractNumId w:val="34"/>
  </w:num>
  <w:num w:numId="39">
    <w:abstractNumId w:val="42"/>
  </w:num>
  <w:num w:numId="40">
    <w:abstractNumId w:val="6"/>
  </w:num>
  <w:num w:numId="41">
    <w:abstractNumId w:val="46"/>
  </w:num>
  <w:num w:numId="42">
    <w:abstractNumId w:val="56"/>
  </w:num>
  <w:num w:numId="43">
    <w:abstractNumId w:val="12"/>
  </w:num>
  <w:num w:numId="44">
    <w:abstractNumId w:val="45"/>
  </w:num>
  <w:num w:numId="45">
    <w:abstractNumId w:val="18"/>
  </w:num>
  <w:num w:numId="46">
    <w:abstractNumId w:val="3"/>
  </w:num>
  <w:num w:numId="47">
    <w:abstractNumId w:val="21"/>
  </w:num>
  <w:num w:numId="48">
    <w:abstractNumId w:val="39"/>
  </w:num>
  <w:num w:numId="49">
    <w:abstractNumId w:val="19"/>
  </w:num>
  <w:num w:numId="50">
    <w:abstractNumId w:val="13"/>
  </w:num>
  <w:num w:numId="51">
    <w:abstractNumId w:val="4"/>
  </w:num>
  <w:num w:numId="52">
    <w:abstractNumId w:val="54"/>
  </w:num>
  <w:num w:numId="53">
    <w:abstractNumId w:val="5"/>
  </w:num>
  <w:num w:numId="54">
    <w:abstractNumId w:val="1"/>
  </w:num>
  <w:num w:numId="55">
    <w:abstractNumId w:val="55"/>
  </w:num>
  <w:num w:numId="56">
    <w:abstractNumId w:val="22"/>
  </w:num>
  <w:num w:numId="57">
    <w:abstractNumId w:val="16"/>
  </w:num>
  <w:num w:numId="58">
    <w:abstractNumId w:val="36"/>
  </w:num>
  <w:num w:numId="59">
    <w:abstractNumId w:val="11"/>
  </w:num>
  <w:num w:numId="60">
    <w:abstractNumId w:val="50"/>
  </w:num>
  <w:num w:numId="61">
    <w:abstractNumId w:val="52"/>
  </w:num>
  <w:num w:numId="62">
    <w:abstractNumId w:val="64"/>
  </w:num>
  <w:num w:numId="63">
    <w:abstractNumId w:val="51"/>
  </w:num>
  <w:num w:numId="64">
    <w:abstractNumId w:val="62"/>
  </w:num>
  <w:num w:numId="65">
    <w:abstractNumId w:val="48"/>
  </w:num>
  <w:num w:numId="66">
    <w:abstractNumId w:val="44"/>
  </w:num>
  <w:num w:numId="67">
    <w:abstractNumId w:val="63"/>
  </w:num>
  <w:num w:numId="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CF2634"/>
    <w:rsid w:val="00041EF2"/>
    <w:rsid w:val="00055A2A"/>
    <w:rsid w:val="000762A8"/>
    <w:rsid w:val="00085293"/>
    <w:rsid w:val="000913A0"/>
    <w:rsid w:val="000958DB"/>
    <w:rsid w:val="000979C0"/>
    <w:rsid w:val="000A6C8D"/>
    <w:rsid w:val="000D724C"/>
    <w:rsid w:val="000D730B"/>
    <w:rsid w:val="000E6A2C"/>
    <w:rsid w:val="000F58E0"/>
    <w:rsid w:val="000F705E"/>
    <w:rsid w:val="001008B3"/>
    <w:rsid w:val="00103804"/>
    <w:rsid w:val="00130DCD"/>
    <w:rsid w:val="00130EC1"/>
    <w:rsid w:val="0013211F"/>
    <w:rsid w:val="00166105"/>
    <w:rsid w:val="00170D7F"/>
    <w:rsid w:val="00174BAD"/>
    <w:rsid w:val="00183691"/>
    <w:rsid w:val="0018561D"/>
    <w:rsid w:val="00196460"/>
    <w:rsid w:val="001D7C02"/>
    <w:rsid w:val="001F3D8A"/>
    <w:rsid w:val="002013B1"/>
    <w:rsid w:val="0020303E"/>
    <w:rsid w:val="0020361F"/>
    <w:rsid w:val="00220188"/>
    <w:rsid w:val="00222985"/>
    <w:rsid w:val="002341D2"/>
    <w:rsid w:val="00255C74"/>
    <w:rsid w:val="0027268F"/>
    <w:rsid w:val="002756C7"/>
    <w:rsid w:val="0029097A"/>
    <w:rsid w:val="002C0E63"/>
    <w:rsid w:val="002C7AC0"/>
    <w:rsid w:val="002E1203"/>
    <w:rsid w:val="002F7212"/>
    <w:rsid w:val="00305C02"/>
    <w:rsid w:val="00376614"/>
    <w:rsid w:val="00380AB2"/>
    <w:rsid w:val="0038340B"/>
    <w:rsid w:val="00393EE1"/>
    <w:rsid w:val="003A5BA0"/>
    <w:rsid w:val="003C1EB2"/>
    <w:rsid w:val="003E4EE2"/>
    <w:rsid w:val="004026C4"/>
    <w:rsid w:val="00413A13"/>
    <w:rsid w:val="0041668E"/>
    <w:rsid w:val="0042009F"/>
    <w:rsid w:val="004213BB"/>
    <w:rsid w:val="00422068"/>
    <w:rsid w:val="00437124"/>
    <w:rsid w:val="00444E3C"/>
    <w:rsid w:val="00445686"/>
    <w:rsid w:val="004679A9"/>
    <w:rsid w:val="004B03DE"/>
    <w:rsid w:val="004C7E74"/>
    <w:rsid w:val="004D34C6"/>
    <w:rsid w:val="004D3A80"/>
    <w:rsid w:val="004E6E17"/>
    <w:rsid w:val="004F6E02"/>
    <w:rsid w:val="00516014"/>
    <w:rsid w:val="00551A69"/>
    <w:rsid w:val="00555DDF"/>
    <w:rsid w:val="005806C8"/>
    <w:rsid w:val="005A225F"/>
    <w:rsid w:val="005A6483"/>
    <w:rsid w:val="005A6C4F"/>
    <w:rsid w:val="005D6C8D"/>
    <w:rsid w:val="005E20AB"/>
    <w:rsid w:val="005F1BE3"/>
    <w:rsid w:val="005F3C31"/>
    <w:rsid w:val="006018BC"/>
    <w:rsid w:val="00601F53"/>
    <w:rsid w:val="0061761B"/>
    <w:rsid w:val="00666609"/>
    <w:rsid w:val="00667CDC"/>
    <w:rsid w:val="006709BC"/>
    <w:rsid w:val="00671E7A"/>
    <w:rsid w:val="00684B24"/>
    <w:rsid w:val="006911D6"/>
    <w:rsid w:val="006A3274"/>
    <w:rsid w:val="006B1D1F"/>
    <w:rsid w:val="006C1E43"/>
    <w:rsid w:val="006C53C5"/>
    <w:rsid w:val="006D3780"/>
    <w:rsid w:val="006D6742"/>
    <w:rsid w:val="006E31BB"/>
    <w:rsid w:val="006F6328"/>
    <w:rsid w:val="00726D4E"/>
    <w:rsid w:val="00752897"/>
    <w:rsid w:val="00755353"/>
    <w:rsid w:val="00780627"/>
    <w:rsid w:val="0079236D"/>
    <w:rsid w:val="007A53B5"/>
    <w:rsid w:val="007B78FC"/>
    <w:rsid w:val="007B7BA5"/>
    <w:rsid w:val="007C63EE"/>
    <w:rsid w:val="007D20A6"/>
    <w:rsid w:val="007D26DD"/>
    <w:rsid w:val="007D6E87"/>
    <w:rsid w:val="007F7D60"/>
    <w:rsid w:val="00805B05"/>
    <w:rsid w:val="00823223"/>
    <w:rsid w:val="008371AD"/>
    <w:rsid w:val="008423FF"/>
    <w:rsid w:val="0085464A"/>
    <w:rsid w:val="0086134D"/>
    <w:rsid w:val="00886E65"/>
    <w:rsid w:val="00891631"/>
    <w:rsid w:val="008A1CE6"/>
    <w:rsid w:val="008A3F51"/>
    <w:rsid w:val="008B7998"/>
    <w:rsid w:val="008D59CA"/>
    <w:rsid w:val="008E5B75"/>
    <w:rsid w:val="008E7763"/>
    <w:rsid w:val="008F46AC"/>
    <w:rsid w:val="00907325"/>
    <w:rsid w:val="00910894"/>
    <w:rsid w:val="00926CDD"/>
    <w:rsid w:val="00933008"/>
    <w:rsid w:val="00933F7F"/>
    <w:rsid w:val="00943E85"/>
    <w:rsid w:val="009447CF"/>
    <w:rsid w:val="009511D5"/>
    <w:rsid w:val="0095155D"/>
    <w:rsid w:val="00960CEB"/>
    <w:rsid w:val="00965D6A"/>
    <w:rsid w:val="00971704"/>
    <w:rsid w:val="00974273"/>
    <w:rsid w:val="00974CE1"/>
    <w:rsid w:val="00976C90"/>
    <w:rsid w:val="00982F83"/>
    <w:rsid w:val="009A65A5"/>
    <w:rsid w:val="009A7D97"/>
    <w:rsid w:val="009C6B1A"/>
    <w:rsid w:val="009E0845"/>
    <w:rsid w:val="009E1298"/>
    <w:rsid w:val="009E55AB"/>
    <w:rsid w:val="009F637F"/>
    <w:rsid w:val="00A02137"/>
    <w:rsid w:val="00A0762D"/>
    <w:rsid w:val="00A3460F"/>
    <w:rsid w:val="00A35150"/>
    <w:rsid w:val="00A41C6D"/>
    <w:rsid w:val="00A41CEF"/>
    <w:rsid w:val="00A57BD2"/>
    <w:rsid w:val="00A72039"/>
    <w:rsid w:val="00A91E90"/>
    <w:rsid w:val="00A945D7"/>
    <w:rsid w:val="00AA5698"/>
    <w:rsid w:val="00AB01A4"/>
    <w:rsid w:val="00AD5A8C"/>
    <w:rsid w:val="00B01217"/>
    <w:rsid w:val="00B03884"/>
    <w:rsid w:val="00B15771"/>
    <w:rsid w:val="00B17130"/>
    <w:rsid w:val="00B25A71"/>
    <w:rsid w:val="00B42527"/>
    <w:rsid w:val="00B504C9"/>
    <w:rsid w:val="00B53A17"/>
    <w:rsid w:val="00B72E5C"/>
    <w:rsid w:val="00BB0438"/>
    <w:rsid w:val="00BF157E"/>
    <w:rsid w:val="00BF21BD"/>
    <w:rsid w:val="00C012D6"/>
    <w:rsid w:val="00C037C0"/>
    <w:rsid w:val="00C06A96"/>
    <w:rsid w:val="00C11941"/>
    <w:rsid w:val="00C24776"/>
    <w:rsid w:val="00C44513"/>
    <w:rsid w:val="00C54A38"/>
    <w:rsid w:val="00C7291F"/>
    <w:rsid w:val="00C84CBE"/>
    <w:rsid w:val="00CA2EC3"/>
    <w:rsid w:val="00CA3AFC"/>
    <w:rsid w:val="00CA641B"/>
    <w:rsid w:val="00CB6DB9"/>
    <w:rsid w:val="00CB7E20"/>
    <w:rsid w:val="00CD0A11"/>
    <w:rsid w:val="00CD0E23"/>
    <w:rsid w:val="00CD551B"/>
    <w:rsid w:val="00CE2E87"/>
    <w:rsid w:val="00CE39A8"/>
    <w:rsid w:val="00CF3DA5"/>
    <w:rsid w:val="00CF4518"/>
    <w:rsid w:val="00D01579"/>
    <w:rsid w:val="00D04165"/>
    <w:rsid w:val="00D36202"/>
    <w:rsid w:val="00D5236B"/>
    <w:rsid w:val="00D774B8"/>
    <w:rsid w:val="00D85AFA"/>
    <w:rsid w:val="00D863DB"/>
    <w:rsid w:val="00D946CA"/>
    <w:rsid w:val="00DB227C"/>
    <w:rsid w:val="00DB4545"/>
    <w:rsid w:val="00DC0659"/>
    <w:rsid w:val="00DC1C90"/>
    <w:rsid w:val="00DD273B"/>
    <w:rsid w:val="00DE7918"/>
    <w:rsid w:val="00E05858"/>
    <w:rsid w:val="00E05A59"/>
    <w:rsid w:val="00E36EF3"/>
    <w:rsid w:val="00E47AE8"/>
    <w:rsid w:val="00E51558"/>
    <w:rsid w:val="00E57497"/>
    <w:rsid w:val="00E61A24"/>
    <w:rsid w:val="00E63C7A"/>
    <w:rsid w:val="00E77F0A"/>
    <w:rsid w:val="00E91499"/>
    <w:rsid w:val="00EB2D35"/>
    <w:rsid w:val="00EB5B41"/>
    <w:rsid w:val="00EC0421"/>
    <w:rsid w:val="00ED1504"/>
    <w:rsid w:val="00EE6B94"/>
    <w:rsid w:val="00EF412E"/>
    <w:rsid w:val="00F2241E"/>
    <w:rsid w:val="00F2570F"/>
    <w:rsid w:val="00F51FC6"/>
    <w:rsid w:val="00F9679D"/>
    <w:rsid w:val="00FC245B"/>
    <w:rsid w:val="00FD0CBE"/>
    <w:rsid w:val="00FD3CEB"/>
    <w:rsid w:val="00FE7739"/>
    <w:rsid w:val="02232BB2"/>
    <w:rsid w:val="02F74950"/>
    <w:rsid w:val="03381D28"/>
    <w:rsid w:val="03B468BB"/>
    <w:rsid w:val="03BA6253"/>
    <w:rsid w:val="04006DDA"/>
    <w:rsid w:val="043858F9"/>
    <w:rsid w:val="046C1441"/>
    <w:rsid w:val="058F5622"/>
    <w:rsid w:val="07795E97"/>
    <w:rsid w:val="07F873B2"/>
    <w:rsid w:val="083C5320"/>
    <w:rsid w:val="093B76AC"/>
    <w:rsid w:val="0A7801B5"/>
    <w:rsid w:val="0B485EF2"/>
    <w:rsid w:val="0D3D676E"/>
    <w:rsid w:val="0E256B52"/>
    <w:rsid w:val="0F52078D"/>
    <w:rsid w:val="0FA01850"/>
    <w:rsid w:val="11ED00B4"/>
    <w:rsid w:val="15DC76D1"/>
    <w:rsid w:val="15EA7595"/>
    <w:rsid w:val="185F0917"/>
    <w:rsid w:val="19D12742"/>
    <w:rsid w:val="1A87229E"/>
    <w:rsid w:val="1CAE3A6D"/>
    <w:rsid w:val="1D641BF2"/>
    <w:rsid w:val="1DF50A1A"/>
    <w:rsid w:val="1F742785"/>
    <w:rsid w:val="225C4614"/>
    <w:rsid w:val="22D36DDB"/>
    <w:rsid w:val="23092C94"/>
    <w:rsid w:val="231933F8"/>
    <w:rsid w:val="236D38B2"/>
    <w:rsid w:val="23794B7F"/>
    <w:rsid w:val="24077D24"/>
    <w:rsid w:val="244465A5"/>
    <w:rsid w:val="255F40D7"/>
    <w:rsid w:val="268A662A"/>
    <w:rsid w:val="269747C5"/>
    <w:rsid w:val="27720973"/>
    <w:rsid w:val="28020C13"/>
    <w:rsid w:val="28A05A5B"/>
    <w:rsid w:val="2928569C"/>
    <w:rsid w:val="292D73AD"/>
    <w:rsid w:val="2A4F3F03"/>
    <w:rsid w:val="2BB555F8"/>
    <w:rsid w:val="2D920E91"/>
    <w:rsid w:val="2E904838"/>
    <w:rsid w:val="2FDD3D44"/>
    <w:rsid w:val="304F06D9"/>
    <w:rsid w:val="3130598B"/>
    <w:rsid w:val="31EE1CD6"/>
    <w:rsid w:val="31FD41B5"/>
    <w:rsid w:val="321F532C"/>
    <w:rsid w:val="349A7D5E"/>
    <w:rsid w:val="34EE327C"/>
    <w:rsid w:val="35D22446"/>
    <w:rsid w:val="368A0080"/>
    <w:rsid w:val="372C6642"/>
    <w:rsid w:val="398F6478"/>
    <w:rsid w:val="3C9E0F85"/>
    <w:rsid w:val="3D883FC1"/>
    <w:rsid w:val="3D9C479F"/>
    <w:rsid w:val="3E587FAD"/>
    <w:rsid w:val="3E857540"/>
    <w:rsid w:val="3E926880"/>
    <w:rsid w:val="3EFA62EF"/>
    <w:rsid w:val="3F881444"/>
    <w:rsid w:val="41E160D2"/>
    <w:rsid w:val="42523E9F"/>
    <w:rsid w:val="434B6057"/>
    <w:rsid w:val="44153026"/>
    <w:rsid w:val="44C52765"/>
    <w:rsid w:val="466821CE"/>
    <w:rsid w:val="47963FD6"/>
    <w:rsid w:val="47C21FE6"/>
    <w:rsid w:val="47DB5884"/>
    <w:rsid w:val="48640C4B"/>
    <w:rsid w:val="49221C3C"/>
    <w:rsid w:val="49D033A5"/>
    <w:rsid w:val="4A230B17"/>
    <w:rsid w:val="4A2B2049"/>
    <w:rsid w:val="4BE214C3"/>
    <w:rsid w:val="4CD028C9"/>
    <w:rsid w:val="4D4777FD"/>
    <w:rsid w:val="4D932D62"/>
    <w:rsid w:val="4EBE4D9E"/>
    <w:rsid w:val="501D6C37"/>
    <w:rsid w:val="50274F6E"/>
    <w:rsid w:val="503C6357"/>
    <w:rsid w:val="50755004"/>
    <w:rsid w:val="52D76185"/>
    <w:rsid w:val="52F43053"/>
    <w:rsid w:val="54B7292D"/>
    <w:rsid w:val="54E27B56"/>
    <w:rsid w:val="565A5443"/>
    <w:rsid w:val="57637C20"/>
    <w:rsid w:val="5B375A62"/>
    <w:rsid w:val="5B53406C"/>
    <w:rsid w:val="5C237C53"/>
    <w:rsid w:val="5C380309"/>
    <w:rsid w:val="5C5413BB"/>
    <w:rsid w:val="5CEE4DA7"/>
    <w:rsid w:val="5D260EF2"/>
    <w:rsid w:val="5EE96B09"/>
    <w:rsid w:val="60914E08"/>
    <w:rsid w:val="60F54DF9"/>
    <w:rsid w:val="61571847"/>
    <w:rsid w:val="61871A40"/>
    <w:rsid w:val="61AC765C"/>
    <w:rsid w:val="635130D9"/>
    <w:rsid w:val="647629C5"/>
    <w:rsid w:val="655752DC"/>
    <w:rsid w:val="66C65ABA"/>
    <w:rsid w:val="67E32364"/>
    <w:rsid w:val="68240F12"/>
    <w:rsid w:val="69343065"/>
    <w:rsid w:val="6A3C7874"/>
    <w:rsid w:val="6A692BEE"/>
    <w:rsid w:val="6B6A7AD6"/>
    <w:rsid w:val="6CAB6375"/>
    <w:rsid w:val="6D2772DE"/>
    <w:rsid w:val="6E7A5658"/>
    <w:rsid w:val="6F3F3F7C"/>
    <w:rsid w:val="70F20C15"/>
    <w:rsid w:val="717B1960"/>
    <w:rsid w:val="72CF2634"/>
    <w:rsid w:val="72E5301C"/>
    <w:rsid w:val="734B7AA0"/>
    <w:rsid w:val="75FF1BEE"/>
    <w:rsid w:val="767E5CAB"/>
    <w:rsid w:val="773238D8"/>
    <w:rsid w:val="77821218"/>
    <w:rsid w:val="79632FF9"/>
    <w:rsid w:val="796C738A"/>
    <w:rsid w:val="79F21395"/>
    <w:rsid w:val="7AD81B6F"/>
    <w:rsid w:val="7B52488A"/>
    <w:rsid w:val="7C10269B"/>
    <w:rsid w:val="7C9E5C67"/>
    <w:rsid w:val="7CF53791"/>
    <w:rsid w:val="7DE45103"/>
    <w:rsid w:val="7EB445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Calibri" w:hAnsi="Calibri" w:eastAsia="Calibri" w:cs="Arial"/>
      <w:kern w:val="2"/>
      <w:sz w:val="22"/>
      <w:szCs w:val="22"/>
      <w:lang w:val="id-ID" w:eastAsia="en-US" w:bidi="ar-SA"/>
      <w14:ligatures w14:val="standardContextual"/>
    </w:rPr>
  </w:style>
  <w:style w:type="paragraph" w:styleId="2">
    <w:name w:val="heading 1"/>
    <w:basedOn w:val="1"/>
    <w:next w:val="1"/>
    <w:qFormat/>
    <w:uiPriority w:val="9"/>
    <w:pPr>
      <w:tabs>
        <w:tab w:val="left" w:pos="90"/>
      </w:tabs>
      <w:spacing w:after="0" w:line="360" w:lineRule="auto"/>
      <w:ind w:right="-99" w:rightChars="-45"/>
      <w:jc w:val="center"/>
      <w:outlineLvl w:val="0"/>
    </w:pPr>
    <w:rPr>
      <w:rFonts w:ascii="Times New Roman" w:hAnsi="Times New Roman" w:cs="Times New Roman"/>
      <w:b/>
      <w:bCs/>
      <w:lang w:val="en-US"/>
    </w:rPr>
  </w:style>
  <w:style w:type="paragraph" w:styleId="3">
    <w:name w:val="heading 2"/>
    <w:basedOn w:val="4"/>
    <w:next w:val="1"/>
    <w:link w:val="26"/>
    <w:unhideWhenUsed/>
    <w:qFormat/>
    <w:uiPriority w:val="0"/>
    <w:pPr>
      <w:numPr>
        <w:ilvl w:val="0"/>
        <w:numId w:val="1"/>
      </w:numPr>
      <w:tabs>
        <w:tab w:val="left" w:pos="90"/>
      </w:tabs>
      <w:spacing w:after="0" w:line="312" w:lineRule="auto"/>
      <w:ind w:right="-99" w:rightChars="-45"/>
      <w:jc w:val="both"/>
      <w:outlineLvl w:val="1"/>
    </w:pPr>
    <w:rPr>
      <w:rFonts w:ascii="Times New Roman" w:hAnsi="Times New Roman" w:cs="Times New Roman"/>
      <w:b/>
      <w:bCs/>
      <w:lang w:val="en-US"/>
    </w:rPr>
  </w:style>
  <w:style w:type="paragraph" w:styleId="5">
    <w:name w:val="heading 3"/>
    <w:basedOn w:val="1"/>
    <w:next w:val="1"/>
    <w:link w:val="27"/>
    <w:unhideWhenUsed/>
    <w:qFormat/>
    <w:uiPriority w:val="0"/>
    <w:pPr>
      <w:numPr>
        <w:ilvl w:val="0"/>
        <w:numId w:val="2"/>
      </w:numPr>
      <w:spacing w:after="0" w:line="312" w:lineRule="auto"/>
      <w:contextualSpacing/>
      <w:jc w:val="both"/>
      <w:outlineLvl w:val="2"/>
    </w:pPr>
    <w:rPr>
      <w:rFonts w:asciiTheme="majorBidi" w:hAnsiTheme="majorBidi" w:cstheme="majorBidi"/>
      <w:b/>
      <w:bCs/>
      <w:lang w:val="en-US"/>
    </w:rPr>
  </w:style>
  <w:style w:type="character" w:default="1" w:styleId="15">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1"/>
    <w:pPr>
      <w:ind w:left="720"/>
      <w:contextualSpacing/>
    </w:pPr>
  </w:style>
  <w:style w:type="paragraph" w:styleId="6">
    <w:name w:val="Body Text"/>
    <w:basedOn w:val="1"/>
    <w:link w:val="24"/>
    <w:qFormat/>
    <w:uiPriority w:val="1"/>
    <w:pPr>
      <w:spacing w:line="278" w:lineRule="auto"/>
    </w:pPr>
    <w:rPr>
      <w:rFonts w:ascii="Times New Roman" w:hAnsi="Times New Roman" w:eastAsia="Times New Roman" w:cs="Times New Roman"/>
      <w:kern w:val="0"/>
      <w:sz w:val="24"/>
      <w:szCs w:val="24"/>
      <w:lang w:val="id"/>
      <w14:ligatures w14:val="none"/>
    </w:rPr>
  </w:style>
  <w:style w:type="paragraph" w:styleId="7">
    <w:name w:val="footer"/>
    <w:basedOn w:val="1"/>
    <w:link w:val="29"/>
    <w:qFormat/>
    <w:uiPriority w:val="99"/>
    <w:pPr>
      <w:tabs>
        <w:tab w:val="center" w:pos="4680"/>
        <w:tab w:val="right" w:pos="9360"/>
      </w:tabs>
      <w:spacing w:after="0" w:line="240" w:lineRule="auto"/>
    </w:pPr>
  </w:style>
  <w:style w:type="paragraph" w:styleId="8">
    <w:name w:val="footnote text"/>
    <w:basedOn w:val="1"/>
    <w:qFormat/>
    <w:uiPriority w:val="0"/>
    <w:pPr>
      <w:spacing w:after="0" w:line="240" w:lineRule="auto"/>
    </w:pPr>
    <w:rPr>
      <w:sz w:val="20"/>
      <w:szCs w:val="20"/>
    </w:rPr>
  </w:style>
  <w:style w:type="paragraph" w:styleId="9">
    <w:name w:val="header"/>
    <w:basedOn w:val="1"/>
    <w:link w:val="30"/>
    <w:unhideWhenUsed/>
    <w:qFormat/>
    <w:uiPriority w:val="99"/>
    <w:pPr>
      <w:tabs>
        <w:tab w:val="center" w:pos="4513"/>
        <w:tab w:val="right" w:pos="9026"/>
      </w:tabs>
    </w:pPr>
  </w:style>
  <w:style w:type="paragraph" w:styleId="10">
    <w:name w:val="HTML Preformatted"/>
    <w:link w:val="3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hint="eastAsia" w:ascii="Times New Roman" w:hAnsi="Times New Roman" w:eastAsia="SimSun" w:cs="Times New Roman"/>
      <w:sz w:val="22"/>
      <w:szCs w:val="24"/>
      <w:lang w:val="en-US" w:eastAsia="zh-CN" w:bidi="ar-SA"/>
    </w:rPr>
  </w:style>
  <w:style w:type="paragraph" w:styleId="11">
    <w:name w:val="Normal (Web)"/>
    <w:qFormat/>
    <w:uiPriority w:val="99"/>
    <w:pPr>
      <w:spacing w:beforeAutospacing="1" w:after="0" w:afterAutospacing="1" w:line="278" w:lineRule="auto"/>
    </w:pPr>
    <w:rPr>
      <w:rFonts w:ascii="Times New Roman" w:hAnsi="Times New Roman" w:eastAsia="SimSun" w:cs="Times New Roman"/>
      <w:sz w:val="24"/>
      <w:szCs w:val="24"/>
      <w:lang w:val="en-US" w:eastAsia="zh-CN" w:bidi="ar-SA"/>
    </w:rPr>
  </w:style>
  <w:style w:type="paragraph" w:styleId="12">
    <w:name w:val="toc 1"/>
    <w:basedOn w:val="1"/>
    <w:next w:val="1"/>
    <w:qFormat/>
    <w:uiPriority w:val="39"/>
    <w:pPr>
      <w:spacing w:after="100"/>
    </w:pPr>
  </w:style>
  <w:style w:type="paragraph" w:styleId="13">
    <w:name w:val="toc 2"/>
    <w:basedOn w:val="1"/>
    <w:next w:val="1"/>
    <w:qFormat/>
    <w:uiPriority w:val="39"/>
    <w:pPr>
      <w:spacing w:after="100"/>
      <w:ind w:left="220"/>
    </w:pPr>
  </w:style>
  <w:style w:type="paragraph" w:styleId="14">
    <w:name w:val="toc 3"/>
    <w:basedOn w:val="1"/>
    <w:next w:val="1"/>
    <w:qFormat/>
    <w:uiPriority w:val="39"/>
    <w:pPr>
      <w:spacing w:after="100"/>
      <w:ind w:left="440"/>
    </w:pPr>
  </w:style>
  <w:style w:type="character" w:styleId="16">
    <w:name w:val="Emphasis"/>
    <w:basedOn w:val="15"/>
    <w:qFormat/>
    <w:uiPriority w:val="0"/>
    <w:rPr>
      <w:i/>
      <w:iCs/>
    </w:rPr>
  </w:style>
  <w:style w:type="character" w:styleId="17">
    <w:name w:val="footnote reference"/>
    <w:basedOn w:val="15"/>
    <w:qFormat/>
    <w:uiPriority w:val="0"/>
    <w:rPr>
      <w:vertAlign w:val="superscript"/>
    </w:rPr>
  </w:style>
  <w:style w:type="character" w:styleId="18">
    <w:name w:val="Hyperlink"/>
    <w:basedOn w:val="15"/>
    <w:unhideWhenUsed/>
    <w:qFormat/>
    <w:uiPriority w:val="99"/>
    <w:rPr>
      <w:color w:val="0000FF"/>
      <w:u w:val="single"/>
    </w:rPr>
  </w:style>
  <w:style w:type="character" w:styleId="19">
    <w:name w:val="Strong"/>
    <w:basedOn w:val="15"/>
    <w:qFormat/>
    <w:uiPriority w:val="0"/>
    <w:rPr>
      <w:b/>
      <w:bCs/>
    </w:rPr>
  </w:style>
  <w:style w:type="table" w:styleId="21">
    <w:name w:val="Table Grid"/>
    <w:basedOn w:val="20"/>
    <w:qFormat/>
    <w:uiPriority w:val="39"/>
    <w:pPr>
      <w:spacing w:after="0" w:line="240" w:lineRule="auto"/>
    </w:pPr>
    <w:rPr>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hgkelc"/>
    <w:basedOn w:val="15"/>
    <w:qFormat/>
    <w:uiPriority w:val="0"/>
  </w:style>
  <w:style w:type="character" w:customStyle="1" w:styleId="23">
    <w:name w:val="Unresolved Mention1"/>
    <w:basedOn w:val="15"/>
    <w:semiHidden/>
    <w:unhideWhenUsed/>
    <w:qFormat/>
    <w:uiPriority w:val="99"/>
    <w:rPr>
      <w:color w:val="605E5C"/>
      <w:shd w:val="clear" w:color="auto" w:fill="E1DFDD"/>
    </w:rPr>
  </w:style>
  <w:style w:type="character" w:customStyle="1" w:styleId="24">
    <w:name w:val="Body Text Char"/>
    <w:basedOn w:val="15"/>
    <w:link w:val="6"/>
    <w:qFormat/>
    <w:uiPriority w:val="1"/>
    <w:rPr>
      <w:rFonts w:eastAsia="Times New Roman"/>
      <w:sz w:val="24"/>
      <w:szCs w:val="24"/>
      <w:lang w:val="id" w:eastAsia="en-US"/>
    </w:rPr>
  </w:style>
  <w:style w:type="paragraph" w:customStyle="1" w:styleId="25">
    <w:name w:val="Table Paragraph"/>
    <w:basedOn w:val="1"/>
    <w:qFormat/>
    <w:uiPriority w:val="1"/>
    <w:pPr>
      <w:widowControl w:val="0"/>
      <w:autoSpaceDE w:val="0"/>
      <w:autoSpaceDN w:val="0"/>
      <w:spacing w:after="0" w:line="240" w:lineRule="auto"/>
      <w:ind w:left="191"/>
    </w:pPr>
    <w:rPr>
      <w:rFonts w:ascii="Cambria" w:hAnsi="Cambria" w:eastAsia="Cambria" w:cs="Cambria"/>
      <w:kern w:val="0"/>
      <w14:ligatures w14:val="none"/>
    </w:rPr>
  </w:style>
  <w:style w:type="character" w:customStyle="1" w:styleId="26">
    <w:name w:val="Heading 2 Char"/>
    <w:basedOn w:val="15"/>
    <w:link w:val="3"/>
    <w:qFormat/>
    <w:uiPriority w:val="0"/>
    <w:rPr>
      <w:rFonts w:ascii="Times New Roman" w:hAnsi="Times New Roman" w:eastAsia="Calibri" w:cs="Times New Roman"/>
      <w:b/>
      <w:bCs/>
      <w:kern w:val="2"/>
      <w:sz w:val="22"/>
      <w:szCs w:val="22"/>
      <w14:ligatures w14:val="standardContextual"/>
    </w:rPr>
  </w:style>
  <w:style w:type="character" w:customStyle="1" w:styleId="27">
    <w:name w:val="Heading 3 Char"/>
    <w:basedOn w:val="15"/>
    <w:link w:val="5"/>
    <w:qFormat/>
    <w:uiPriority w:val="0"/>
    <w:rPr>
      <w:rFonts w:eastAsia="Calibri" w:asciiTheme="majorBidi" w:hAnsiTheme="majorBidi" w:cstheme="majorBidi"/>
      <w:b/>
      <w:bCs/>
      <w:kern w:val="2"/>
      <w:sz w:val="22"/>
      <w:szCs w:val="22"/>
      <w14:ligatures w14:val="standardContextual"/>
    </w:rPr>
  </w:style>
  <w:style w:type="paragraph" w:customStyle="1" w:styleId="28">
    <w:name w:val="TOC Heading1"/>
    <w:basedOn w:val="2"/>
    <w:next w:val="1"/>
    <w:unhideWhenUsed/>
    <w:qFormat/>
    <w:uiPriority w:val="39"/>
    <w:pPr>
      <w:keepNext/>
      <w:keepLines/>
      <w:tabs>
        <w:tab w:val="clear" w:pos="90"/>
      </w:tabs>
      <w:spacing w:before="240" w:line="259" w:lineRule="auto"/>
      <w:ind w:right="0" w:rightChars="0"/>
      <w:jc w:val="left"/>
      <w:outlineLvl w:val="9"/>
    </w:pPr>
    <w:rPr>
      <w:rFonts w:asciiTheme="majorHAnsi" w:hAnsiTheme="majorHAnsi" w:eastAsiaTheme="majorEastAsia" w:cstheme="majorBidi"/>
      <w:b w:val="0"/>
      <w:bCs w:val="0"/>
      <w:color w:val="2E75B6" w:themeColor="accent1" w:themeShade="BF"/>
      <w:kern w:val="0"/>
      <w:sz w:val="32"/>
      <w:szCs w:val="32"/>
      <w14:ligatures w14:val="none"/>
    </w:rPr>
  </w:style>
  <w:style w:type="character" w:customStyle="1" w:styleId="29">
    <w:name w:val="Footer Char"/>
    <w:basedOn w:val="15"/>
    <w:link w:val="7"/>
    <w:qFormat/>
    <w:uiPriority w:val="99"/>
    <w:rPr>
      <w:rFonts w:ascii="Calibri" w:hAnsi="Calibri" w:eastAsia="Calibri" w:cs="Arial"/>
      <w:kern w:val="2"/>
      <w:sz w:val="22"/>
      <w:szCs w:val="22"/>
      <w:lang w:val="id-ID" w:eastAsia="en-US"/>
      <w14:ligatures w14:val="standardContextual"/>
    </w:rPr>
  </w:style>
  <w:style w:type="character" w:customStyle="1" w:styleId="30">
    <w:name w:val="Header Char"/>
    <w:basedOn w:val="15"/>
    <w:link w:val="9"/>
    <w:qFormat/>
    <w:uiPriority w:val="99"/>
    <w:rPr>
      <w:rFonts w:ascii="Calibri" w:hAnsi="Calibri" w:eastAsia="Calibri" w:cs="Arial"/>
      <w:kern w:val="2"/>
      <w:sz w:val="22"/>
      <w:szCs w:val="22"/>
      <w:lang w:val="id-ID" w:eastAsia="en-US"/>
      <w14:ligatures w14:val="standardContextual"/>
    </w:rPr>
  </w:style>
  <w:style w:type="character" w:customStyle="1" w:styleId="31">
    <w:name w:val="Unresolved Mention2"/>
    <w:basedOn w:val="15"/>
    <w:semiHidden/>
    <w:unhideWhenUsed/>
    <w:qFormat/>
    <w:uiPriority w:val="99"/>
    <w:rPr>
      <w:color w:val="605E5C"/>
      <w:shd w:val="clear" w:color="auto" w:fill="E1DFDD"/>
    </w:rPr>
  </w:style>
  <w:style w:type="character" w:customStyle="1" w:styleId="32">
    <w:name w:val="HTML Preformatted Char"/>
    <w:basedOn w:val="15"/>
    <w:link w:val="10"/>
    <w:semiHidden/>
    <w:uiPriority w:val="99"/>
    <w:rPr>
      <w:sz w:val="22"/>
      <w:szCs w:val="24"/>
      <w:lang w:val="en-US" w:eastAsia="zh-CN"/>
    </w:rPr>
  </w:style>
  <w:style w:type="character" w:customStyle="1" w:styleId="33">
    <w:name w:val="y2iqfc"/>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6.jpeg"/><Relationship Id="rId36" Type="http://schemas.openxmlformats.org/officeDocument/2006/relationships/image" Target="media/image5.jpeg"/><Relationship Id="rId35" Type="http://schemas.openxmlformats.org/officeDocument/2006/relationships/image" Target="media/image4.jpeg"/><Relationship Id="rId34" Type="http://schemas.openxmlformats.org/officeDocument/2006/relationships/image" Target="media/image3.jpeg"/><Relationship Id="rId33" Type="http://schemas.openxmlformats.org/officeDocument/2006/relationships/image" Target="media/image2.jpeg"/><Relationship Id="rId32" Type="http://schemas.openxmlformats.org/officeDocument/2006/relationships/image" Target="media/image1.png"/><Relationship Id="rId31" Type="http://schemas.openxmlformats.org/officeDocument/2006/relationships/theme" Target="theme/theme1.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4.xml"/><Relationship Id="rId27" Type="http://schemas.openxmlformats.org/officeDocument/2006/relationships/header" Target="header11.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0.xml"/><Relationship Id="rId23" Type="http://schemas.openxmlformats.org/officeDocument/2006/relationships/footer" Target="footer11.xml"/><Relationship Id="rId22" Type="http://schemas.openxmlformats.org/officeDocument/2006/relationships/header" Target="header9.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5.xml"/><Relationship Id="rId11" Type="http://schemas.openxmlformats.org/officeDocument/2006/relationships/header" Target="header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564916-BF30-42FD-B679-E05E53118203}">
  <ds:schemaRefs/>
</ds:datastoreItem>
</file>

<file path=docProps/app.xml><?xml version="1.0" encoding="utf-8"?>
<Properties xmlns="http://schemas.openxmlformats.org/officeDocument/2006/extended-properties" xmlns:vt="http://schemas.openxmlformats.org/officeDocument/2006/docPropsVTypes">
  <Template>Normal</Template>
  <Pages>170</Pages>
  <Words>24735</Words>
  <Characters>155018</Characters>
  <Lines>1312</Lines>
  <Paragraphs>369</Paragraphs>
  <TotalTime>6</TotalTime>
  <ScaleCrop>false</ScaleCrop>
  <LinksUpToDate>false</LinksUpToDate>
  <CharactersWithSpaces>185258</CharactersWithSpaces>
  <Application>WPS Office_10.2.0.7587_F1E327BC-269C-435d-A152-05C5408002CA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2025-07-03T05:57:00Z</dcterms:created>
  <dc:creator>Bayyinah</dc:creator>
  <cp:lastModifiedBy>Bayyinah</cp:lastModifiedBy>
  <cp:lastPrinted>2025-06-18T13:20:00Z</cp:lastPrinted>
  <dcterms:modified xsi:type="dcterms:W3CDTF">2025-07-13T02:12:19Z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