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EF338" w14:textId="2F2BEDAA" w:rsidR="00335B29" w:rsidRPr="009B5521" w:rsidRDefault="009B5521" w:rsidP="00A42616">
      <w:pPr>
        <w:spacing w:line="360" w:lineRule="auto"/>
        <w:jc w:val="center"/>
        <w:rPr>
          <w:rFonts w:asciiTheme="majorBidi" w:hAnsiTheme="majorBidi" w:cstheme="majorBidi"/>
          <w:b/>
          <w:bCs/>
          <w:sz w:val="24"/>
          <w:szCs w:val="24"/>
          <w:lang w:val="sv-SE"/>
        </w:rPr>
      </w:pPr>
      <w:bookmarkStart w:id="0" w:name="_Hlk188472883"/>
      <w:r w:rsidRPr="009B5521">
        <w:rPr>
          <w:rFonts w:asciiTheme="majorBidi" w:hAnsiTheme="majorBidi" w:cstheme="majorBidi"/>
          <w:b/>
          <w:bCs/>
          <w:sz w:val="24"/>
          <w:szCs w:val="24"/>
          <w:lang w:val="sv-SE"/>
        </w:rPr>
        <w:t xml:space="preserve">PENGARUH </w:t>
      </w:r>
      <w:r w:rsidR="001F58D5" w:rsidRPr="009B5521">
        <w:rPr>
          <w:rFonts w:asciiTheme="majorBidi" w:hAnsiTheme="majorBidi" w:cstheme="majorBidi"/>
          <w:b/>
          <w:bCs/>
          <w:sz w:val="24"/>
          <w:szCs w:val="24"/>
          <w:lang w:val="sv-SE"/>
        </w:rPr>
        <w:t>ANALISIS</w:t>
      </w:r>
      <w:r w:rsidR="00335B29" w:rsidRPr="009B5521">
        <w:rPr>
          <w:rFonts w:asciiTheme="majorBidi" w:hAnsiTheme="majorBidi" w:cstheme="majorBidi"/>
          <w:b/>
          <w:bCs/>
          <w:sz w:val="24"/>
          <w:szCs w:val="24"/>
          <w:lang w:val="sv-SE"/>
        </w:rPr>
        <w:t xml:space="preserve"> RISIKO </w:t>
      </w:r>
      <w:r w:rsidR="00092FB6" w:rsidRPr="009B5521">
        <w:rPr>
          <w:rFonts w:asciiTheme="majorBidi" w:hAnsiTheme="majorBidi" w:cstheme="majorBidi"/>
          <w:b/>
          <w:bCs/>
          <w:sz w:val="24"/>
          <w:szCs w:val="24"/>
          <w:lang w:val="sv-SE"/>
        </w:rPr>
        <w:t>PEMBIAYAAN</w:t>
      </w:r>
      <w:r w:rsidR="00335B29" w:rsidRPr="009B5521">
        <w:rPr>
          <w:rFonts w:asciiTheme="majorBidi" w:hAnsiTheme="majorBidi" w:cstheme="majorBidi"/>
          <w:b/>
          <w:bCs/>
          <w:sz w:val="24"/>
          <w:szCs w:val="24"/>
          <w:lang w:val="sv-SE"/>
        </w:rPr>
        <w:t xml:space="preserve">, RISIKO LIKUIDITAS DAN NISBAH BAGI HASIL PADA DEPOSITO MUDHARABAH </w:t>
      </w:r>
      <w:r w:rsidR="00DD15E8" w:rsidRPr="009B5521">
        <w:rPr>
          <w:rFonts w:asciiTheme="majorBidi" w:hAnsiTheme="majorBidi" w:cstheme="majorBidi"/>
          <w:b/>
          <w:bCs/>
          <w:sz w:val="24"/>
          <w:szCs w:val="24"/>
          <w:lang w:val="sv-SE"/>
        </w:rPr>
        <w:t>D</w:t>
      </w:r>
      <w:r w:rsidR="00FA6EE7" w:rsidRPr="009B5521">
        <w:rPr>
          <w:rFonts w:asciiTheme="majorBidi" w:hAnsiTheme="majorBidi" w:cstheme="majorBidi"/>
          <w:b/>
          <w:bCs/>
          <w:sz w:val="24"/>
          <w:szCs w:val="24"/>
          <w:lang w:val="sv-SE"/>
        </w:rPr>
        <w:t>I</w:t>
      </w:r>
      <w:r w:rsidR="00DD15E8" w:rsidRPr="009B5521">
        <w:rPr>
          <w:rFonts w:asciiTheme="majorBidi" w:hAnsiTheme="majorBidi" w:cstheme="majorBidi"/>
          <w:b/>
          <w:bCs/>
          <w:sz w:val="24"/>
          <w:szCs w:val="24"/>
          <w:lang w:val="sv-SE"/>
        </w:rPr>
        <w:t xml:space="preserve"> </w:t>
      </w:r>
      <w:r w:rsidR="00335B29" w:rsidRPr="009B5521">
        <w:rPr>
          <w:rFonts w:asciiTheme="majorBidi" w:hAnsiTheme="majorBidi" w:cstheme="majorBidi"/>
          <w:b/>
          <w:bCs/>
          <w:sz w:val="24"/>
          <w:szCs w:val="24"/>
          <w:lang w:val="sv-SE"/>
        </w:rPr>
        <w:t>BANK MUAMALAT INDONESIA</w:t>
      </w:r>
      <w:r w:rsidR="00C80F31" w:rsidRPr="009B5521">
        <w:rPr>
          <w:rFonts w:asciiTheme="majorBidi" w:hAnsiTheme="majorBidi" w:cstheme="majorBidi"/>
          <w:b/>
          <w:bCs/>
          <w:sz w:val="24"/>
          <w:szCs w:val="24"/>
          <w:lang w:val="sv-SE"/>
        </w:rPr>
        <w:t xml:space="preserve"> PERIODE 2017-202</w:t>
      </w:r>
      <w:r w:rsidR="006C0614" w:rsidRPr="009B5521">
        <w:rPr>
          <w:rFonts w:asciiTheme="majorBidi" w:hAnsiTheme="majorBidi" w:cstheme="majorBidi"/>
          <w:b/>
          <w:bCs/>
          <w:sz w:val="24"/>
          <w:szCs w:val="24"/>
          <w:lang w:val="sv-SE"/>
        </w:rPr>
        <w:t>4</w:t>
      </w:r>
    </w:p>
    <w:p w14:paraId="2C658D20" w14:textId="434961CF" w:rsidR="00335B29" w:rsidRPr="009B5521" w:rsidRDefault="00335B29" w:rsidP="00A42616">
      <w:pPr>
        <w:spacing w:line="360" w:lineRule="auto"/>
        <w:jc w:val="center"/>
        <w:rPr>
          <w:rFonts w:asciiTheme="majorBidi" w:hAnsiTheme="majorBidi" w:cstheme="majorBidi"/>
          <w:b/>
          <w:bCs/>
          <w:sz w:val="24"/>
          <w:szCs w:val="24"/>
          <w:lang w:val="sv-SE"/>
        </w:rPr>
      </w:pPr>
      <w:r w:rsidRPr="009B5521">
        <w:rPr>
          <w:rFonts w:asciiTheme="majorBidi" w:hAnsiTheme="majorBidi" w:cstheme="majorBidi"/>
          <w:b/>
          <w:bCs/>
          <w:sz w:val="24"/>
          <w:szCs w:val="24"/>
          <w:lang w:val="sv-SE"/>
        </w:rPr>
        <w:t>SKRIPSI</w:t>
      </w:r>
    </w:p>
    <w:p w14:paraId="4EE3E009" w14:textId="77777777" w:rsidR="00335B29" w:rsidRPr="00B51544" w:rsidRDefault="00335B29" w:rsidP="00B51544">
      <w:pPr>
        <w:spacing w:line="360" w:lineRule="auto"/>
        <w:jc w:val="center"/>
        <w:rPr>
          <w:rFonts w:asciiTheme="majorBidi" w:hAnsiTheme="majorBidi" w:cstheme="majorBidi"/>
          <w:b/>
          <w:bCs/>
          <w:sz w:val="24"/>
          <w:szCs w:val="24"/>
          <w:lang w:val="sv-SE"/>
        </w:rPr>
      </w:pPr>
    </w:p>
    <w:p w14:paraId="1716AA30" w14:textId="77777777" w:rsidR="00335B29" w:rsidRPr="00B51544" w:rsidRDefault="00335B29" w:rsidP="00B51544">
      <w:pPr>
        <w:spacing w:line="360" w:lineRule="auto"/>
        <w:ind w:left="1131" w:right="1229"/>
        <w:jc w:val="center"/>
        <w:rPr>
          <w:rFonts w:asciiTheme="majorBidi" w:hAnsiTheme="majorBidi" w:cstheme="majorBidi"/>
          <w:sz w:val="24"/>
          <w:szCs w:val="24"/>
          <w:lang w:val="sv-SE"/>
        </w:rPr>
      </w:pPr>
      <w:r w:rsidRPr="00B51544">
        <w:rPr>
          <w:rFonts w:asciiTheme="majorBidi" w:hAnsiTheme="majorBidi" w:cstheme="majorBidi"/>
          <w:sz w:val="24"/>
          <w:szCs w:val="24"/>
          <w:lang w:val="sv-SE"/>
        </w:rPr>
        <w:t>Disusun</w:t>
      </w:r>
      <w:r w:rsidRPr="00B51544">
        <w:rPr>
          <w:rFonts w:asciiTheme="majorBidi" w:hAnsiTheme="majorBidi" w:cstheme="majorBidi"/>
          <w:spacing w:val="-9"/>
          <w:sz w:val="24"/>
          <w:szCs w:val="24"/>
          <w:lang w:val="sv-SE"/>
        </w:rPr>
        <w:t xml:space="preserve"> </w:t>
      </w:r>
      <w:r w:rsidRPr="00B51544">
        <w:rPr>
          <w:rFonts w:asciiTheme="majorBidi" w:hAnsiTheme="majorBidi" w:cstheme="majorBidi"/>
          <w:sz w:val="24"/>
          <w:szCs w:val="24"/>
          <w:lang w:val="sv-SE"/>
        </w:rPr>
        <w:t>Untuk</w:t>
      </w:r>
      <w:r w:rsidRPr="00B51544">
        <w:rPr>
          <w:rFonts w:asciiTheme="majorBidi" w:hAnsiTheme="majorBidi" w:cstheme="majorBidi"/>
          <w:spacing w:val="-10"/>
          <w:sz w:val="24"/>
          <w:szCs w:val="24"/>
          <w:lang w:val="sv-SE"/>
        </w:rPr>
        <w:t xml:space="preserve"> </w:t>
      </w:r>
      <w:r w:rsidRPr="00B51544">
        <w:rPr>
          <w:rFonts w:asciiTheme="majorBidi" w:hAnsiTheme="majorBidi" w:cstheme="majorBidi"/>
          <w:sz w:val="24"/>
          <w:szCs w:val="24"/>
          <w:lang w:val="sv-SE"/>
        </w:rPr>
        <w:t>Memenuhi</w:t>
      </w:r>
      <w:r w:rsidRPr="00B51544">
        <w:rPr>
          <w:rFonts w:asciiTheme="majorBidi" w:hAnsiTheme="majorBidi" w:cstheme="majorBidi"/>
          <w:spacing w:val="-13"/>
          <w:sz w:val="24"/>
          <w:szCs w:val="24"/>
          <w:lang w:val="sv-SE"/>
        </w:rPr>
        <w:t xml:space="preserve"> </w:t>
      </w:r>
      <w:r w:rsidRPr="00B51544">
        <w:rPr>
          <w:rFonts w:asciiTheme="majorBidi" w:hAnsiTheme="majorBidi" w:cstheme="majorBidi"/>
          <w:sz w:val="24"/>
          <w:szCs w:val="24"/>
          <w:lang w:val="sv-SE"/>
        </w:rPr>
        <w:t>Tugas</w:t>
      </w:r>
      <w:r w:rsidRPr="00B51544">
        <w:rPr>
          <w:rFonts w:asciiTheme="majorBidi" w:hAnsiTheme="majorBidi" w:cstheme="majorBidi"/>
          <w:spacing w:val="-8"/>
          <w:sz w:val="24"/>
          <w:szCs w:val="24"/>
          <w:lang w:val="sv-SE"/>
        </w:rPr>
        <w:t xml:space="preserve"> </w:t>
      </w:r>
      <w:r w:rsidRPr="00B51544">
        <w:rPr>
          <w:rFonts w:asciiTheme="majorBidi" w:hAnsiTheme="majorBidi" w:cstheme="majorBidi"/>
          <w:sz w:val="24"/>
          <w:szCs w:val="24"/>
          <w:lang w:val="sv-SE"/>
        </w:rPr>
        <w:t>Dan</w:t>
      </w:r>
      <w:r w:rsidRPr="00B51544">
        <w:rPr>
          <w:rFonts w:asciiTheme="majorBidi" w:hAnsiTheme="majorBidi" w:cstheme="majorBidi"/>
          <w:spacing w:val="-10"/>
          <w:sz w:val="24"/>
          <w:szCs w:val="24"/>
          <w:lang w:val="sv-SE"/>
        </w:rPr>
        <w:t xml:space="preserve"> </w:t>
      </w:r>
      <w:r w:rsidRPr="00B51544">
        <w:rPr>
          <w:rFonts w:asciiTheme="majorBidi" w:hAnsiTheme="majorBidi" w:cstheme="majorBidi"/>
          <w:sz w:val="24"/>
          <w:szCs w:val="24"/>
          <w:lang w:val="sv-SE"/>
        </w:rPr>
        <w:t>Melengkapi</w:t>
      </w:r>
      <w:r w:rsidRPr="00B51544">
        <w:rPr>
          <w:rFonts w:asciiTheme="majorBidi" w:hAnsiTheme="majorBidi" w:cstheme="majorBidi"/>
          <w:spacing w:val="-6"/>
          <w:sz w:val="24"/>
          <w:szCs w:val="24"/>
          <w:lang w:val="sv-SE"/>
        </w:rPr>
        <w:t xml:space="preserve"> </w:t>
      </w:r>
      <w:r w:rsidRPr="00B51544">
        <w:rPr>
          <w:rFonts w:asciiTheme="majorBidi" w:hAnsiTheme="majorBidi" w:cstheme="majorBidi"/>
          <w:sz w:val="24"/>
          <w:szCs w:val="24"/>
          <w:lang w:val="sv-SE"/>
        </w:rPr>
        <w:t>Syarat</w:t>
      </w:r>
    </w:p>
    <w:p w14:paraId="5B8BC303" w14:textId="77777777" w:rsidR="00335B29" w:rsidRPr="00B51544" w:rsidRDefault="00335B29" w:rsidP="00B51544">
      <w:pPr>
        <w:spacing w:line="360" w:lineRule="auto"/>
        <w:ind w:left="1131" w:right="1514"/>
        <w:jc w:val="center"/>
        <w:rPr>
          <w:rFonts w:asciiTheme="majorBidi" w:hAnsiTheme="majorBidi" w:cstheme="majorBidi"/>
          <w:sz w:val="24"/>
          <w:szCs w:val="24"/>
          <w:lang w:val="sv-SE"/>
        </w:rPr>
      </w:pPr>
      <w:r w:rsidRPr="00B51544">
        <w:rPr>
          <w:rFonts w:asciiTheme="majorBidi" w:hAnsiTheme="majorBidi" w:cstheme="majorBidi"/>
          <w:sz w:val="24"/>
          <w:szCs w:val="24"/>
          <w:lang w:val="sv-SE"/>
        </w:rPr>
        <w:t>Guna Memperoleh Gelar Sarjana Strata Satu (S1)</w:t>
      </w:r>
    </w:p>
    <w:p w14:paraId="69F60661" w14:textId="77777777" w:rsidR="009B5521" w:rsidRDefault="00335B29" w:rsidP="009B5521">
      <w:pPr>
        <w:spacing w:line="360" w:lineRule="auto"/>
        <w:ind w:left="1131" w:right="1514"/>
        <w:jc w:val="center"/>
        <w:rPr>
          <w:rFonts w:asciiTheme="majorBidi" w:hAnsiTheme="majorBidi" w:cstheme="majorBidi"/>
          <w:spacing w:val="-2"/>
          <w:sz w:val="24"/>
          <w:szCs w:val="24"/>
          <w:lang w:val="sv-SE"/>
        </w:rPr>
      </w:pPr>
      <w:r w:rsidRPr="00B51544">
        <w:rPr>
          <w:rFonts w:asciiTheme="majorBidi" w:hAnsiTheme="majorBidi" w:cstheme="majorBidi"/>
          <w:sz w:val="24"/>
          <w:szCs w:val="24"/>
          <w:lang w:val="sv-SE"/>
        </w:rPr>
        <w:t>Dalam</w:t>
      </w:r>
      <w:r w:rsidRPr="00B51544">
        <w:rPr>
          <w:rFonts w:asciiTheme="majorBidi" w:hAnsiTheme="majorBidi" w:cstheme="majorBidi"/>
          <w:spacing w:val="-8"/>
          <w:sz w:val="24"/>
          <w:szCs w:val="24"/>
          <w:lang w:val="sv-SE"/>
        </w:rPr>
        <w:t xml:space="preserve"> </w:t>
      </w:r>
      <w:r w:rsidRPr="00B51544">
        <w:rPr>
          <w:rFonts w:asciiTheme="majorBidi" w:hAnsiTheme="majorBidi" w:cstheme="majorBidi"/>
          <w:sz w:val="24"/>
          <w:szCs w:val="24"/>
          <w:lang w:val="sv-SE"/>
        </w:rPr>
        <w:t>Ilmu</w:t>
      </w:r>
      <w:r w:rsidRPr="00B51544">
        <w:rPr>
          <w:rFonts w:asciiTheme="majorBidi" w:hAnsiTheme="majorBidi" w:cstheme="majorBidi"/>
          <w:spacing w:val="-8"/>
          <w:sz w:val="24"/>
          <w:szCs w:val="24"/>
          <w:lang w:val="sv-SE"/>
        </w:rPr>
        <w:t xml:space="preserve"> </w:t>
      </w:r>
      <w:r w:rsidRPr="00B51544">
        <w:rPr>
          <w:rFonts w:asciiTheme="majorBidi" w:hAnsiTheme="majorBidi" w:cstheme="majorBidi"/>
          <w:sz w:val="24"/>
          <w:szCs w:val="24"/>
          <w:lang w:val="sv-SE"/>
        </w:rPr>
        <w:t>Perbankan</w:t>
      </w:r>
      <w:r w:rsidRPr="00B51544">
        <w:rPr>
          <w:rFonts w:asciiTheme="majorBidi" w:hAnsiTheme="majorBidi" w:cstheme="majorBidi"/>
          <w:spacing w:val="-8"/>
          <w:sz w:val="24"/>
          <w:szCs w:val="24"/>
          <w:lang w:val="sv-SE"/>
        </w:rPr>
        <w:t xml:space="preserve"> </w:t>
      </w:r>
      <w:r w:rsidRPr="00B51544">
        <w:rPr>
          <w:rFonts w:asciiTheme="majorBidi" w:hAnsiTheme="majorBidi" w:cstheme="majorBidi"/>
          <w:spacing w:val="-2"/>
          <w:sz w:val="24"/>
          <w:szCs w:val="24"/>
          <w:lang w:val="sv-SE"/>
        </w:rPr>
        <w:t>Syariah</w:t>
      </w:r>
    </w:p>
    <w:p w14:paraId="57443049" w14:textId="77777777" w:rsidR="009B5521" w:rsidRDefault="009B5521" w:rsidP="009B5521">
      <w:pPr>
        <w:spacing w:line="360" w:lineRule="auto"/>
        <w:ind w:left="1131" w:right="1514"/>
        <w:jc w:val="center"/>
        <w:rPr>
          <w:rFonts w:asciiTheme="majorBidi" w:hAnsiTheme="majorBidi" w:cstheme="majorBidi"/>
          <w:spacing w:val="-2"/>
          <w:sz w:val="24"/>
          <w:szCs w:val="24"/>
          <w:lang w:val="sv-SE"/>
        </w:rPr>
      </w:pPr>
    </w:p>
    <w:p w14:paraId="27194892" w14:textId="77777777" w:rsidR="009B5521" w:rsidRDefault="009B5521" w:rsidP="0002426D">
      <w:pPr>
        <w:spacing w:line="360" w:lineRule="auto"/>
        <w:ind w:right="1514"/>
        <w:rPr>
          <w:rFonts w:asciiTheme="majorBidi" w:hAnsiTheme="majorBidi" w:cstheme="majorBidi"/>
          <w:spacing w:val="-2"/>
          <w:sz w:val="24"/>
          <w:szCs w:val="24"/>
          <w:lang w:val="sv-SE"/>
        </w:rPr>
      </w:pPr>
    </w:p>
    <w:p w14:paraId="338AE06A" w14:textId="77777777" w:rsidR="0002426D" w:rsidRDefault="0002426D" w:rsidP="0002426D">
      <w:pPr>
        <w:spacing w:line="360" w:lineRule="auto"/>
        <w:ind w:right="1514"/>
        <w:rPr>
          <w:rFonts w:asciiTheme="majorBidi" w:hAnsiTheme="majorBidi" w:cstheme="majorBidi"/>
          <w:spacing w:val="-2"/>
          <w:sz w:val="24"/>
          <w:szCs w:val="24"/>
          <w:lang w:val="sv-SE"/>
        </w:rPr>
      </w:pPr>
    </w:p>
    <w:p w14:paraId="19F5CA36" w14:textId="6DFD3CFB" w:rsidR="00335B29" w:rsidRPr="009B5521" w:rsidRDefault="00C80F31" w:rsidP="009B5521">
      <w:pPr>
        <w:spacing w:line="360" w:lineRule="auto"/>
        <w:ind w:left="1131" w:right="1514"/>
        <w:jc w:val="center"/>
        <w:rPr>
          <w:rFonts w:asciiTheme="majorBidi" w:hAnsiTheme="majorBidi" w:cstheme="majorBidi"/>
          <w:sz w:val="24"/>
          <w:szCs w:val="24"/>
          <w:lang w:val="sv-SE"/>
        </w:rPr>
      </w:pPr>
      <w:r w:rsidRPr="00B51544">
        <w:rPr>
          <w:rFonts w:asciiTheme="majorBidi" w:hAnsiTheme="majorBidi" w:cstheme="majorBidi"/>
          <w:noProof/>
          <w:sz w:val="24"/>
          <w:szCs w:val="24"/>
        </w:rPr>
        <w:drawing>
          <wp:anchor distT="0" distB="0" distL="114300" distR="114300" simplePos="0" relativeHeight="251659264" behindDoc="1" locked="0" layoutInCell="1" allowOverlap="1" wp14:anchorId="3F6A9956" wp14:editId="762F3F58">
            <wp:simplePos x="0" y="0"/>
            <wp:positionH relativeFrom="margin">
              <wp:posOffset>1628775</wp:posOffset>
            </wp:positionH>
            <wp:positionV relativeFrom="page">
              <wp:posOffset>4143375</wp:posOffset>
            </wp:positionV>
            <wp:extent cx="2238375" cy="2419350"/>
            <wp:effectExtent l="0" t="0" r="9525" b="0"/>
            <wp:wrapTight wrapText="bothSides">
              <wp:wrapPolygon edited="0">
                <wp:start x="0" y="0"/>
                <wp:lineTo x="0" y="21430"/>
                <wp:lineTo x="21508" y="21430"/>
                <wp:lineTo x="21508" y="0"/>
                <wp:lineTo x="0" y="0"/>
              </wp:wrapPolygon>
            </wp:wrapTight>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8375" cy="2419350"/>
                    </a:xfrm>
                    <a:prstGeom prst="rect">
                      <a:avLst/>
                    </a:prstGeom>
                    <a:noFill/>
                  </pic:spPr>
                </pic:pic>
              </a:graphicData>
            </a:graphic>
            <wp14:sizeRelH relativeFrom="page">
              <wp14:pctWidth>0</wp14:pctWidth>
            </wp14:sizeRelH>
            <wp14:sizeRelV relativeFrom="page">
              <wp14:pctHeight>0</wp14:pctHeight>
            </wp14:sizeRelV>
          </wp:anchor>
        </w:drawing>
      </w:r>
    </w:p>
    <w:p w14:paraId="055B3530" w14:textId="77777777" w:rsidR="00335B29" w:rsidRPr="00B51544" w:rsidRDefault="00335B29" w:rsidP="00B51544">
      <w:pPr>
        <w:spacing w:line="360" w:lineRule="auto"/>
        <w:jc w:val="center"/>
        <w:rPr>
          <w:rFonts w:asciiTheme="majorBidi" w:hAnsiTheme="majorBidi" w:cstheme="majorBidi"/>
          <w:sz w:val="24"/>
          <w:szCs w:val="24"/>
          <w:lang w:val="sv-SE"/>
        </w:rPr>
      </w:pPr>
    </w:p>
    <w:p w14:paraId="1714356D" w14:textId="77777777" w:rsidR="00335B29" w:rsidRPr="00B51544" w:rsidRDefault="00335B29" w:rsidP="00B51544">
      <w:pPr>
        <w:spacing w:line="360" w:lineRule="auto"/>
        <w:jc w:val="center"/>
        <w:rPr>
          <w:rFonts w:asciiTheme="majorBidi" w:hAnsiTheme="majorBidi" w:cstheme="majorBidi"/>
          <w:sz w:val="24"/>
          <w:szCs w:val="24"/>
          <w:lang w:val="sv-SE"/>
        </w:rPr>
      </w:pPr>
    </w:p>
    <w:p w14:paraId="7D5258E8" w14:textId="77777777" w:rsidR="00335B29" w:rsidRPr="00B51544" w:rsidRDefault="00335B29" w:rsidP="00B51544">
      <w:pPr>
        <w:spacing w:line="360" w:lineRule="auto"/>
        <w:jc w:val="center"/>
        <w:rPr>
          <w:rFonts w:asciiTheme="majorBidi" w:hAnsiTheme="majorBidi" w:cstheme="majorBidi"/>
          <w:sz w:val="24"/>
          <w:szCs w:val="24"/>
          <w:lang w:val="sv-SE"/>
        </w:rPr>
      </w:pPr>
    </w:p>
    <w:p w14:paraId="5B29B2F7" w14:textId="77777777" w:rsidR="00335B29" w:rsidRPr="00B51544" w:rsidRDefault="00335B29" w:rsidP="00B51544">
      <w:pPr>
        <w:spacing w:line="360" w:lineRule="auto"/>
        <w:jc w:val="center"/>
        <w:rPr>
          <w:rFonts w:asciiTheme="majorBidi" w:eastAsia="Calibri" w:hAnsiTheme="majorBidi" w:cstheme="majorBidi"/>
          <w:b/>
          <w:bCs/>
          <w:sz w:val="24"/>
          <w:szCs w:val="24"/>
          <w:lang w:val="sv-SE"/>
        </w:rPr>
      </w:pPr>
    </w:p>
    <w:p w14:paraId="69C3A324" w14:textId="77777777" w:rsidR="00335B29" w:rsidRPr="00B51544" w:rsidRDefault="00335B29" w:rsidP="00B51544">
      <w:pPr>
        <w:spacing w:line="360" w:lineRule="auto"/>
        <w:jc w:val="center"/>
        <w:rPr>
          <w:rFonts w:asciiTheme="majorBidi" w:eastAsia="Calibri" w:hAnsiTheme="majorBidi" w:cstheme="majorBidi"/>
          <w:b/>
          <w:bCs/>
          <w:sz w:val="24"/>
          <w:szCs w:val="24"/>
          <w:lang w:val="sv-SE"/>
        </w:rPr>
      </w:pPr>
    </w:p>
    <w:p w14:paraId="7BF23C11" w14:textId="77777777" w:rsidR="00335B29" w:rsidRPr="00B51544" w:rsidRDefault="00335B29" w:rsidP="00B51544">
      <w:pPr>
        <w:spacing w:line="360" w:lineRule="auto"/>
        <w:ind w:right="1514"/>
        <w:jc w:val="center"/>
        <w:rPr>
          <w:rFonts w:asciiTheme="majorBidi" w:hAnsiTheme="majorBidi" w:cstheme="majorBidi"/>
          <w:b/>
          <w:sz w:val="24"/>
          <w:szCs w:val="24"/>
          <w:lang w:val="sv-SE"/>
        </w:rPr>
      </w:pPr>
    </w:p>
    <w:p w14:paraId="292BDCD1" w14:textId="66AC50FE" w:rsidR="00335B29" w:rsidRPr="00B51544" w:rsidRDefault="00335B29" w:rsidP="00B51544">
      <w:pPr>
        <w:spacing w:line="360" w:lineRule="auto"/>
        <w:ind w:left="1142" w:right="1514"/>
        <w:jc w:val="center"/>
        <w:rPr>
          <w:rFonts w:asciiTheme="majorBidi" w:hAnsiTheme="majorBidi" w:cstheme="majorBidi"/>
          <w:b/>
          <w:spacing w:val="-2"/>
          <w:sz w:val="24"/>
          <w:szCs w:val="24"/>
        </w:rPr>
      </w:pPr>
      <w:r w:rsidRPr="00B51544">
        <w:rPr>
          <w:rFonts w:asciiTheme="majorBidi" w:hAnsiTheme="majorBidi" w:cstheme="majorBidi"/>
          <w:b/>
          <w:sz w:val="24"/>
          <w:szCs w:val="24"/>
        </w:rPr>
        <w:t>Disusun</w:t>
      </w:r>
      <w:r w:rsidRPr="00B51544">
        <w:rPr>
          <w:rFonts w:asciiTheme="majorBidi" w:hAnsiTheme="majorBidi" w:cstheme="majorBidi"/>
          <w:b/>
          <w:spacing w:val="-6"/>
          <w:sz w:val="24"/>
          <w:szCs w:val="24"/>
        </w:rPr>
        <w:t xml:space="preserve"> </w:t>
      </w:r>
      <w:r w:rsidRPr="00B51544">
        <w:rPr>
          <w:rFonts w:asciiTheme="majorBidi" w:hAnsiTheme="majorBidi" w:cstheme="majorBidi"/>
          <w:b/>
          <w:spacing w:val="-2"/>
          <w:sz w:val="24"/>
          <w:szCs w:val="24"/>
        </w:rPr>
        <w:t>Oleh:</w:t>
      </w:r>
    </w:p>
    <w:p w14:paraId="12C2FE38" w14:textId="77777777" w:rsidR="00335B29" w:rsidRPr="00B51544" w:rsidRDefault="00335B29" w:rsidP="00B51544">
      <w:pPr>
        <w:spacing w:before="196" w:line="360" w:lineRule="auto"/>
        <w:ind w:left="1131" w:right="1516"/>
        <w:jc w:val="center"/>
        <w:rPr>
          <w:rFonts w:asciiTheme="majorBidi" w:hAnsiTheme="majorBidi" w:cstheme="majorBidi"/>
          <w:b/>
          <w:sz w:val="24"/>
          <w:szCs w:val="24"/>
        </w:rPr>
      </w:pPr>
      <w:r w:rsidRPr="00B51544">
        <w:rPr>
          <w:rFonts w:asciiTheme="majorBidi" w:hAnsiTheme="majorBidi" w:cstheme="majorBidi"/>
          <w:b/>
          <w:sz w:val="24"/>
          <w:szCs w:val="24"/>
          <w:u w:val="single"/>
        </w:rPr>
        <w:t>Asna Suraya</w:t>
      </w:r>
    </w:p>
    <w:p w14:paraId="5D9F57F9" w14:textId="77777777" w:rsidR="00335B29" w:rsidRPr="00B51544" w:rsidRDefault="00335B29" w:rsidP="00B51544">
      <w:pPr>
        <w:spacing w:before="52" w:line="360" w:lineRule="auto"/>
        <w:ind w:left="1198" w:right="1514"/>
        <w:jc w:val="center"/>
        <w:rPr>
          <w:rFonts w:asciiTheme="majorBidi" w:hAnsiTheme="majorBidi" w:cstheme="majorBidi"/>
          <w:b/>
          <w:sz w:val="24"/>
          <w:szCs w:val="24"/>
        </w:rPr>
      </w:pPr>
      <w:r w:rsidRPr="00B51544">
        <w:rPr>
          <w:rFonts w:asciiTheme="majorBidi" w:hAnsiTheme="majorBidi" w:cstheme="majorBidi"/>
          <w:b/>
          <w:sz w:val="24"/>
          <w:szCs w:val="24"/>
        </w:rPr>
        <w:t xml:space="preserve">NIM. </w:t>
      </w:r>
      <w:r w:rsidRPr="00B51544">
        <w:rPr>
          <w:rFonts w:asciiTheme="majorBidi" w:hAnsiTheme="majorBidi" w:cstheme="majorBidi"/>
          <w:b/>
          <w:spacing w:val="-2"/>
          <w:sz w:val="24"/>
          <w:szCs w:val="24"/>
        </w:rPr>
        <w:t>2105036016</w:t>
      </w:r>
    </w:p>
    <w:p w14:paraId="44FEDD0C" w14:textId="77777777" w:rsidR="00335B29" w:rsidRPr="00B51544" w:rsidRDefault="00335B29" w:rsidP="00B51544">
      <w:pPr>
        <w:pStyle w:val="BodyText"/>
        <w:spacing w:before="297" w:line="360" w:lineRule="auto"/>
        <w:jc w:val="center"/>
        <w:rPr>
          <w:rFonts w:asciiTheme="majorBidi" w:hAnsiTheme="majorBidi" w:cstheme="majorBidi"/>
          <w:b/>
          <w:sz w:val="24"/>
          <w:szCs w:val="24"/>
        </w:rPr>
      </w:pPr>
    </w:p>
    <w:p w14:paraId="0072FD4A" w14:textId="77777777" w:rsidR="00335B29" w:rsidRPr="00B51544" w:rsidRDefault="00335B29" w:rsidP="00B51544">
      <w:pPr>
        <w:spacing w:before="1" w:line="360" w:lineRule="auto"/>
        <w:ind w:left="1131" w:right="1515"/>
        <w:jc w:val="center"/>
        <w:rPr>
          <w:rFonts w:asciiTheme="majorBidi" w:hAnsiTheme="majorBidi" w:cstheme="majorBidi"/>
          <w:b/>
          <w:sz w:val="24"/>
          <w:szCs w:val="24"/>
          <w:lang w:val="sv-SE"/>
        </w:rPr>
      </w:pPr>
      <w:r w:rsidRPr="00B51544">
        <w:rPr>
          <w:rFonts w:asciiTheme="majorBidi" w:hAnsiTheme="majorBidi" w:cstheme="majorBidi"/>
          <w:b/>
          <w:sz w:val="24"/>
          <w:szCs w:val="24"/>
          <w:lang w:val="sv-SE"/>
        </w:rPr>
        <w:t>PROGRAM</w:t>
      </w:r>
      <w:r w:rsidRPr="00B51544">
        <w:rPr>
          <w:rFonts w:asciiTheme="majorBidi" w:hAnsiTheme="majorBidi" w:cstheme="majorBidi"/>
          <w:b/>
          <w:spacing w:val="-16"/>
          <w:sz w:val="24"/>
          <w:szCs w:val="24"/>
          <w:lang w:val="sv-SE"/>
        </w:rPr>
        <w:t xml:space="preserve"> </w:t>
      </w:r>
      <w:r w:rsidRPr="00B51544">
        <w:rPr>
          <w:rFonts w:asciiTheme="majorBidi" w:hAnsiTheme="majorBidi" w:cstheme="majorBidi"/>
          <w:b/>
          <w:sz w:val="24"/>
          <w:szCs w:val="24"/>
          <w:lang w:val="sv-SE"/>
        </w:rPr>
        <w:t>STUDI</w:t>
      </w:r>
      <w:r w:rsidRPr="00B51544">
        <w:rPr>
          <w:rFonts w:asciiTheme="majorBidi" w:hAnsiTheme="majorBidi" w:cstheme="majorBidi"/>
          <w:b/>
          <w:spacing w:val="-15"/>
          <w:sz w:val="24"/>
          <w:szCs w:val="24"/>
          <w:lang w:val="sv-SE"/>
        </w:rPr>
        <w:t xml:space="preserve"> </w:t>
      </w:r>
      <w:r w:rsidRPr="00B51544">
        <w:rPr>
          <w:rFonts w:asciiTheme="majorBidi" w:hAnsiTheme="majorBidi" w:cstheme="majorBidi"/>
          <w:b/>
          <w:sz w:val="24"/>
          <w:szCs w:val="24"/>
          <w:lang w:val="sv-SE"/>
        </w:rPr>
        <w:t>S1</w:t>
      </w:r>
      <w:r w:rsidRPr="00B51544">
        <w:rPr>
          <w:rFonts w:asciiTheme="majorBidi" w:hAnsiTheme="majorBidi" w:cstheme="majorBidi"/>
          <w:b/>
          <w:spacing w:val="-17"/>
          <w:sz w:val="24"/>
          <w:szCs w:val="24"/>
          <w:lang w:val="sv-SE"/>
        </w:rPr>
        <w:t xml:space="preserve"> </w:t>
      </w:r>
      <w:r w:rsidRPr="00B51544">
        <w:rPr>
          <w:rFonts w:asciiTheme="majorBidi" w:hAnsiTheme="majorBidi" w:cstheme="majorBidi"/>
          <w:b/>
          <w:sz w:val="24"/>
          <w:szCs w:val="24"/>
          <w:lang w:val="sv-SE"/>
        </w:rPr>
        <w:t>PERBANKAN</w:t>
      </w:r>
      <w:r w:rsidRPr="00B51544">
        <w:rPr>
          <w:rFonts w:asciiTheme="majorBidi" w:hAnsiTheme="majorBidi" w:cstheme="majorBidi"/>
          <w:b/>
          <w:spacing w:val="-16"/>
          <w:sz w:val="24"/>
          <w:szCs w:val="24"/>
          <w:lang w:val="sv-SE"/>
        </w:rPr>
        <w:t xml:space="preserve"> </w:t>
      </w:r>
      <w:r w:rsidRPr="00B51544">
        <w:rPr>
          <w:rFonts w:asciiTheme="majorBidi" w:hAnsiTheme="majorBidi" w:cstheme="majorBidi"/>
          <w:b/>
          <w:sz w:val="24"/>
          <w:szCs w:val="24"/>
          <w:lang w:val="sv-SE"/>
        </w:rPr>
        <w:t>SYARIAH</w:t>
      </w:r>
    </w:p>
    <w:p w14:paraId="566BB0E3" w14:textId="77777777" w:rsidR="00335B29" w:rsidRPr="00B51544" w:rsidRDefault="00335B29" w:rsidP="00B51544">
      <w:pPr>
        <w:spacing w:before="1" w:line="360" w:lineRule="auto"/>
        <w:ind w:left="1131" w:right="1515"/>
        <w:jc w:val="center"/>
        <w:rPr>
          <w:rFonts w:asciiTheme="majorBidi" w:hAnsiTheme="majorBidi" w:cstheme="majorBidi"/>
          <w:b/>
          <w:sz w:val="24"/>
          <w:szCs w:val="24"/>
          <w:lang w:val="sv-SE"/>
        </w:rPr>
      </w:pPr>
      <w:r w:rsidRPr="00B51544">
        <w:rPr>
          <w:rFonts w:asciiTheme="majorBidi" w:hAnsiTheme="majorBidi" w:cstheme="majorBidi"/>
          <w:b/>
          <w:sz w:val="24"/>
          <w:szCs w:val="24"/>
          <w:lang w:val="sv-SE"/>
        </w:rPr>
        <w:t>FAKULTAS EKONOMI DAN BISNIS ISLAM</w:t>
      </w:r>
    </w:p>
    <w:p w14:paraId="7C6DC65C" w14:textId="77777777" w:rsidR="00335B29" w:rsidRPr="00B51544" w:rsidRDefault="00335B29" w:rsidP="00B51544">
      <w:pPr>
        <w:spacing w:before="3" w:line="360" w:lineRule="auto"/>
        <w:ind w:left="589" w:right="804"/>
        <w:jc w:val="center"/>
        <w:rPr>
          <w:rFonts w:asciiTheme="majorBidi" w:hAnsiTheme="majorBidi" w:cstheme="majorBidi"/>
          <w:b/>
          <w:spacing w:val="-2"/>
          <w:sz w:val="24"/>
          <w:szCs w:val="24"/>
          <w:lang w:val="pt-BR"/>
        </w:rPr>
      </w:pPr>
      <w:r w:rsidRPr="00B51544">
        <w:rPr>
          <w:rFonts w:asciiTheme="majorBidi" w:hAnsiTheme="majorBidi" w:cstheme="majorBidi"/>
          <w:b/>
          <w:spacing w:val="-2"/>
          <w:sz w:val="24"/>
          <w:szCs w:val="24"/>
          <w:lang w:val="pt-BR"/>
        </w:rPr>
        <w:t>UNIVERSITAS</w:t>
      </w:r>
      <w:r w:rsidRPr="00B51544">
        <w:rPr>
          <w:rFonts w:asciiTheme="majorBidi" w:hAnsiTheme="majorBidi" w:cstheme="majorBidi"/>
          <w:b/>
          <w:spacing w:val="-6"/>
          <w:sz w:val="24"/>
          <w:szCs w:val="24"/>
          <w:lang w:val="pt-BR"/>
        </w:rPr>
        <w:t xml:space="preserve"> </w:t>
      </w:r>
      <w:r w:rsidRPr="00B51544">
        <w:rPr>
          <w:rFonts w:asciiTheme="majorBidi" w:hAnsiTheme="majorBidi" w:cstheme="majorBidi"/>
          <w:b/>
          <w:spacing w:val="-2"/>
          <w:sz w:val="24"/>
          <w:szCs w:val="24"/>
          <w:lang w:val="pt-BR"/>
        </w:rPr>
        <w:t>ISLAM</w:t>
      </w:r>
      <w:r w:rsidRPr="00B51544">
        <w:rPr>
          <w:rFonts w:asciiTheme="majorBidi" w:hAnsiTheme="majorBidi" w:cstheme="majorBidi"/>
          <w:b/>
          <w:spacing w:val="-3"/>
          <w:sz w:val="24"/>
          <w:szCs w:val="24"/>
          <w:lang w:val="pt-BR"/>
        </w:rPr>
        <w:t xml:space="preserve"> </w:t>
      </w:r>
      <w:r w:rsidRPr="00B51544">
        <w:rPr>
          <w:rFonts w:asciiTheme="majorBidi" w:hAnsiTheme="majorBidi" w:cstheme="majorBidi"/>
          <w:b/>
          <w:spacing w:val="-2"/>
          <w:sz w:val="24"/>
          <w:szCs w:val="24"/>
          <w:lang w:val="pt-BR"/>
        </w:rPr>
        <w:t>NEGERI</w:t>
      </w:r>
      <w:r w:rsidRPr="00B51544">
        <w:rPr>
          <w:rFonts w:asciiTheme="majorBidi" w:hAnsiTheme="majorBidi" w:cstheme="majorBidi"/>
          <w:b/>
          <w:spacing w:val="-11"/>
          <w:sz w:val="24"/>
          <w:szCs w:val="24"/>
          <w:lang w:val="pt-BR"/>
        </w:rPr>
        <w:t xml:space="preserve"> </w:t>
      </w:r>
      <w:r w:rsidRPr="00B51544">
        <w:rPr>
          <w:rFonts w:asciiTheme="majorBidi" w:hAnsiTheme="majorBidi" w:cstheme="majorBidi"/>
          <w:b/>
          <w:spacing w:val="-2"/>
          <w:sz w:val="24"/>
          <w:szCs w:val="24"/>
          <w:lang w:val="pt-BR"/>
        </w:rPr>
        <w:t>WALISONGO</w:t>
      </w:r>
      <w:r w:rsidRPr="00B51544">
        <w:rPr>
          <w:rFonts w:asciiTheme="majorBidi" w:hAnsiTheme="majorBidi" w:cstheme="majorBidi"/>
          <w:b/>
          <w:spacing w:val="-5"/>
          <w:sz w:val="24"/>
          <w:szCs w:val="24"/>
          <w:lang w:val="pt-BR"/>
        </w:rPr>
        <w:t xml:space="preserve"> </w:t>
      </w:r>
      <w:r w:rsidRPr="00B51544">
        <w:rPr>
          <w:rFonts w:asciiTheme="majorBidi" w:hAnsiTheme="majorBidi" w:cstheme="majorBidi"/>
          <w:b/>
          <w:spacing w:val="-2"/>
          <w:sz w:val="24"/>
          <w:szCs w:val="24"/>
          <w:lang w:val="pt-BR"/>
        </w:rPr>
        <w:t>SEMARANG</w:t>
      </w:r>
    </w:p>
    <w:p w14:paraId="5D36B99C" w14:textId="28BF064C" w:rsidR="007F7C0B" w:rsidRDefault="00335B29" w:rsidP="00482FE5">
      <w:pPr>
        <w:spacing w:before="3" w:line="360" w:lineRule="auto"/>
        <w:ind w:left="589" w:right="980"/>
        <w:jc w:val="center"/>
        <w:rPr>
          <w:rFonts w:asciiTheme="majorBidi" w:hAnsiTheme="majorBidi" w:cstheme="majorBidi"/>
          <w:b/>
          <w:spacing w:val="-4"/>
          <w:sz w:val="24"/>
          <w:szCs w:val="24"/>
          <w:lang w:val="pt-BR"/>
        </w:rPr>
      </w:pPr>
      <w:r w:rsidRPr="00B51544">
        <w:rPr>
          <w:rFonts w:asciiTheme="majorBidi" w:hAnsiTheme="majorBidi" w:cstheme="majorBidi"/>
          <w:b/>
          <w:spacing w:val="-4"/>
          <w:sz w:val="24"/>
          <w:szCs w:val="24"/>
          <w:lang w:val="pt-BR"/>
        </w:rPr>
        <w:t>2025</w:t>
      </w:r>
    </w:p>
    <w:p w14:paraId="4B54F88C" w14:textId="23A73AEB" w:rsidR="00F03CA5" w:rsidRPr="008E4A66" w:rsidRDefault="0002426D" w:rsidP="008E4A66">
      <w:pPr>
        <w:pStyle w:val="Heading1"/>
        <w:jc w:val="center"/>
        <w:rPr>
          <w:rFonts w:asciiTheme="majorBidi" w:hAnsiTheme="majorBidi"/>
          <w:b/>
          <w:bCs/>
          <w:color w:val="auto"/>
          <w:sz w:val="24"/>
          <w:szCs w:val="24"/>
          <w:lang w:val="pt-BR"/>
        </w:rPr>
      </w:pPr>
      <w:bookmarkStart w:id="1" w:name="_Toc201063286"/>
      <w:r w:rsidRPr="008E4A66">
        <w:rPr>
          <w:rFonts w:asciiTheme="majorBidi" w:hAnsiTheme="majorBidi"/>
          <w:b/>
          <w:bCs/>
          <w:color w:val="auto"/>
          <w:sz w:val="24"/>
          <w:szCs w:val="24"/>
          <w:lang w:val="pt-BR"/>
        </w:rPr>
        <w:lastRenderedPageBreak/>
        <w:t>PERSETUJUAN PEMBIMBING</w:t>
      </w:r>
      <w:bookmarkEnd w:id="1"/>
    </w:p>
    <w:p w14:paraId="446CEC6C" w14:textId="3719EA40" w:rsidR="0002426D" w:rsidRDefault="00482FE5" w:rsidP="00B51544">
      <w:pPr>
        <w:spacing w:before="3" w:line="360" w:lineRule="auto"/>
        <w:ind w:left="589" w:right="980"/>
        <w:jc w:val="center"/>
        <w:rPr>
          <w:rFonts w:asciiTheme="majorBidi" w:hAnsiTheme="majorBidi" w:cstheme="majorBidi"/>
          <w:b/>
          <w:spacing w:val="-4"/>
          <w:sz w:val="24"/>
          <w:szCs w:val="24"/>
          <w:lang w:val="pt-BR"/>
        </w:rPr>
      </w:pPr>
      <w:r w:rsidRPr="00482FE5">
        <w:rPr>
          <w:rFonts w:asciiTheme="majorBidi" w:hAnsiTheme="majorBidi" w:cstheme="majorBidi"/>
          <w:b/>
          <w:noProof/>
          <w:spacing w:val="-4"/>
          <w:sz w:val="24"/>
          <w:szCs w:val="24"/>
        </w:rPr>
        <w:drawing>
          <wp:anchor distT="0" distB="0" distL="114300" distR="114300" simplePos="0" relativeHeight="251785216" behindDoc="0" locked="0" layoutInCell="1" allowOverlap="1" wp14:anchorId="26077ADE" wp14:editId="2D22CB8B">
            <wp:simplePos x="0" y="0"/>
            <wp:positionH relativeFrom="column">
              <wp:posOffset>213995</wp:posOffset>
            </wp:positionH>
            <wp:positionV relativeFrom="paragraph">
              <wp:posOffset>316230</wp:posOffset>
            </wp:positionV>
            <wp:extent cx="5667375" cy="7848600"/>
            <wp:effectExtent l="0" t="0" r="9525" b="0"/>
            <wp:wrapSquare wrapText="bothSides"/>
            <wp:docPr id="15137599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7375" cy="784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7E224F" w14:textId="77777777" w:rsidR="00482FE5" w:rsidRDefault="00482FE5" w:rsidP="00B51544">
      <w:pPr>
        <w:spacing w:before="3" w:line="360" w:lineRule="auto"/>
        <w:ind w:left="589" w:right="980"/>
        <w:jc w:val="center"/>
        <w:rPr>
          <w:rFonts w:asciiTheme="majorBidi" w:hAnsiTheme="majorBidi" w:cstheme="majorBidi"/>
          <w:b/>
          <w:spacing w:val="-4"/>
          <w:sz w:val="24"/>
          <w:szCs w:val="24"/>
          <w:lang w:val="pt-BR"/>
        </w:rPr>
      </w:pPr>
    </w:p>
    <w:p w14:paraId="0A4CDE66" w14:textId="77777777" w:rsidR="0002426D" w:rsidRPr="00432CBC" w:rsidRDefault="0002426D" w:rsidP="00482FE5">
      <w:pPr>
        <w:spacing w:before="3" w:line="360" w:lineRule="auto"/>
        <w:ind w:right="980"/>
        <w:rPr>
          <w:rFonts w:asciiTheme="majorBidi" w:hAnsiTheme="majorBidi" w:cstheme="majorBidi"/>
          <w:b/>
          <w:spacing w:val="-4"/>
          <w:sz w:val="24"/>
          <w:szCs w:val="24"/>
          <w:lang w:val="pt-BR"/>
        </w:rPr>
      </w:pPr>
    </w:p>
    <w:p w14:paraId="304B1201" w14:textId="69486005" w:rsidR="006D4925" w:rsidRDefault="006D4925" w:rsidP="006D4925">
      <w:pPr>
        <w:spacing w:before="3" w:line="360" w:lineRule="auto"/>
        <w:ind w:left="589" w:right="980"/>
        <w:jc w:val="center"/>
        <w:rPr>
          <w:rFonts w:asciiTheme="majorBidi" w:hAnsiTheme="majorBidi" w:cstheme="majorBidi"/>
          <w:b/>
          <w:spacing w:val="-4"/>
          <w:sz w:val="24"/>
          <w:szCs w:val="24"/>
          <w:lang w:val="pt-BR"/>
        </w:rPr>
      </w:pPr>
      <w:r>
        <w:rPr>
          <w:rFonts w:asciiTheme="majorBidi" w:hAnsiTheme="majorBidi" w:cstheme="majorBidi"/>
          <w:b/>
          <w:spacing w:val="-4"/>
          <w:sz w:val="24"/>
          <w:szCs w:val="24"/>
          <w:lang w:val="pt-BR"/>
        </w:rPr>
        <w:lastRenderedPageBreak/>
        <w:t>PENGESAHAN</w:t>
      </w:r>
    </w:p>
    <w:p w14:paraId="0214C958" w14:textId="18989C5A" w:rsidR="006D4925" w:rsidRPr="00724D7C" w:rsidRDefault="006D4925" w:rsidP="006D4925">
      <w:pPr>
        <w:spacing w:before="3" w:line="360" w:lineRule="auto"/>
        <w:ind w:left="589" w:right="980"/>
        <w:jc w:val="center"/>
        <w:rPr>
          <w:rFonts w:asciiTheme="majorBidi" w:hAnsiTheme="majorBidi" w:cstheme="majorBidi"/>
          <w:b/>
          <w:spacing w:val="-4"/>
          <w:sz w:val="24"/>
          <w:szCs w:val="24"/>
          <w:lang w:val="pt-BR"/>
        </w:rPr>
      </w:pPr>
      <w:r w:rsidRPr="006D4925">
        <w:rPr>
          <w:rFonts w:asciiTheme="majorBidi" w:hAnsiTheme="majorBidi" w:cstheme="majorBidi"/>
          <w:b/>
          <w:noProof/>
          <w:spacing w:val="-4"/>
          <w:sz w:val="24"/>
          <w:szCs w:val="24"/>
        </w:rPr>
        <w:drawing>
          <wp:anchor distT="0" distB="0" distL="114300" distR="114300" simplePos="0" relativeHeight="251799552" behindDoc="0" locked="0" layoutInCell="1" allowOverlap="1" wp14:anchorId="1A89CA7D" wp14:editId="2BF175FE">
            <wp:simplePos x="0" y="0"/>
            <wp:positionH relativeFrom="column">
              <wp:posOffset>-5080</wp:posOffset>
            </wp:positionH>
            <wp:positionV relativeFrom="paragraph">
              <wp:posOffset>3810</wp:posOffset>
            </wp:positionV>
            <wp:extent cx="5939790" cy="8440420"/>
            <wp:effectExtent l="0" t="0" r="3810" b="0"/>
            <wp:wrapSquare wrapText="bothSides"/>
            <wp:docPr id="88094409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8440420"/>
                    </a:xfrm>
                    <a:prstGeom prst="rect">
                      <a:avLst/>
                    </a:prstGeom>
                    <a:noFill/>
                    <a:ln>
                      <a:noFill/>
                    </a:ln>
                  </pic:spPr>
                </pic:pic>
              </a:graphicData>
            </a:graphic>
          </wp:anchor>
        </w:drawing>
      </w:r>
    </w:p>
    <w:p w14:paraId="0CEBA32E" w14:textId="6F7E6D80" w:rsidR="0002426D" w:rsidRPr="008E4A66" w:rsidRDefault="0002426D" w:rsidP="008E4A66">
      <w:pPr>
        <w:pStyle w:val="Heading1"/>
        <w:jc w:val="center"/>
        <w:rPr>
          <w:rFonts w:asciiTheme="majorBidi" w:hAnsiTheme="majorBidi"/>
          <w:b/>
          <w:bCs/>
          <w:color w:val="auto"/>
          <w:sz w:val="24"/>
          <w:szCs w:val="24"/>
          <w:lang w:val="pt-BR"/>
        </w:rPr>
      </w:pPr>
      <w:bookmarkStart w:id="2" w:name="_Toc201063287"/>
      <w:r w:rsidRPr="008E4A66">
        <w:rPr>
          <w:rFonts w:asciiTheme="majorBidi" w:hAnsiTheme="majorBidi"/>
          <w:b/>
          <w:bCs/>
          <w:color w:val="auto"/>
          <w:sz w:val="24"/>
          <w:szCs w:val="24"/>
          <w:lang w:val="pt-BR"/>
        </w:rPr>
        <w:lastRenderedPageBreak/>
        <w:t>MOTO</w:t>
      </w:r>
      <w:bookmarkEnd w:id="2"/>
    </w:p>
    <w:p w14:paraId="0494EA5D" w14:textId="77777777" w:rsidR="003A2F31" w:rsidRDefault="003A2F31" w:rsidP="003A2F31">
      <w:pPr>
        <w:spacing w:before="3" w:line="360" w:lineRule="auto"/>
        <w:ind w:left="589" w:right="980"/>
        <w:rPr>
          <w:rFonts w:asciiTheme="majorBidi" w:hAnsiTheme="majorBidi" w:cstheme="majorBidi"/>
          <w:b/>
          <w:spacing w:val="-4"/>
          <w:sz w:val="24"/>
          <w:szCs w:val="24"/>
          <w:lang w:val="pt-BR"/>
        </w:rPr>
      </w:pPr>
    </w:p>
    <w:p w14:paraId="38693CD3" w14:textId="3B0D4239" w:rsidR="00101862" w:rsidRDefault="00101862" w:rsidP="00101862">
      <w:pPr>
        <w:spacing w:before="3" w:line="240" w:lineRule="auto"/>
        <w:ind w:left="589" w:right="980"/>
        <w:jc w:val="center"/>
        <w:rPr>
          <w:rFonts w:asciiTheme="majorBidi" w:hAnsiTheme="majorBidi" w:cstheme="majorBidi"/>
          <w:bCs/>
          <w:spacing w:val="-4"/>
          <w:sz w:val="24"/>
          <w:szCs w:val="24"/>
          <w:lang w:val="pt-BR"/>
        </w:rPr>
      </w:pPr>
      <w:r w:rsidRPr="00101862">
        <w:rPr>
          <w:rFonts w:asciiTheme="majorBidi" w:hAnsiTheme="majorBidi" w:cstheme="majorBidi"/>
          <w:bCs/>
          <w:spacing w:val="-4"/>
          <w:sz w:val="24"/>
          <w:szCs w:val="24"/>
          <w:lang w:val="pt-BR"/>
        </w:rPr>
        <w:t>“Allah akan memberi pada waktunya, saat kita sudah benar-benar layak mendapatkannya, sabar, semua hanya perihal wa</w:t>
      </w:r>
      <w:r>
        <w:rPr>
          <w:rFonts w:asciiTheme="majorBidi" w:hAnsiTheme="majorBidi" w:cstheme="majorBidi"/>
          <w:bCs/>
          <w:spacing w:val="-4"/>
          <w:sz w:val="24"/>
          <w:szCs w:val="24"/>
          <w:lang w:val="pt-BR"/>
        </w:rPr>
        <w:t>ktu”.</w:t>
      </w:r>
    </w:p>
    <w:p w14:paraId="5719F5E2" w14:textId="37DC7AFE" w:rsidR="00101862" w:rsidRDefault="00101862" w:rsidP="00101862">
      <w:pPr>
        <w:spacing w:before="3" w:line="240" w:lineRule="auto"/>
        <w:ind w:left="589" w:right="980"/>
        <w:jc w:val="center"/>
        <w:rPr>
          <w:rFonts w:asciiTheme="majorBidi" w:hAnsiTheme="majorBidi" w:cstheme="majorBidi"/>
          <w:bCs/>
          <w:spacing w:val="-4"/>
          <w:sz w:val="24"/>
          <w:szCs w:val="24"/>
          <w:lang w:val="pt-BR"/>
        </w:rPr>
      </w:pPr>
      <w:r>
        <w:rPr>
          <w:rFonts w:asciiTheme="majorBidi" w:hAnsiTheme="majorBidi" w:cstheme="majorBidi"/>
          <w:bCs/>
          <w:spacing w:val="-4"/>
          <w:sz w:val="24"/>
          <w:szCs w:val="24"/>
          <w:lang w:val="pt-BR"/>
        </w:rPr>
        <w:t>(QS. Al-Baqarah;286)</w:t>
      </w:r>
    </w:p>
    <w:p w14:paraId="5473BAF5" w14:textId="77777777" w:rsidR="00101862" w:rsidRPr="00101862" w:rsidRDefault="00101862" w:rsidP="00101862">
      <w:pPr>
        <w:spacing w:before="3" w:line="240" w:lineRule="auto"/>
        <w:ind w:left="589" w:right="980"/>
        <w:jc w:val="center"/>
        <w:rPr>
          <w:rFonts w:asciiTheme="majorBidi" w:hAnsiTheme="majorBidi" w:cstheme="majorBidi"/>
          <w:bCs/>
          <w:spacing w:val="-4"/>
          <w:sz w:val="24"/>
          <w:szCs w:val="24"/>
          <w:lang w:val="pt-BR"/>
        </w:rPr>
      </w:pPr>
    </w:p>
    <w:p w14:paraId="08D47F4F" w14:textId="2455DAE9" w:rsidR="003A2F31" w:rsidRPr="008E4A66" w:rsidRDefault="008E4A66" w:rsidP="00101862">
      <w:pPr>
        <w:spacing w:before="3" w:line="240" w:lineRule="auto"/>
        <w:ind w:left="589" w:right="980"/>
        <w:jc w:val="center"/>
        <w:rPr>
          <w:rFonts w:ascii="Arabic Typesetting" w:hAnsi="Arabic Typesetting" w:cs="Arabic Typesetting"/>
          <w:b/>
          <w:spacing w:val="-4"/>
          <w:sz w:val="44"/>
          <w:szCs w:val="44"/>
          <w:lang w:val="pt-BR"/>
        </w:rPr>
      </w:pPr>
      <w:r w:rsidRPr="008E4A66">
        <w:rPr>
          <w:rFonts w:ascii="Arabic Typesetting" w:hAnsi="Arabic Typesetting" w:cs="Arabic Typesetting"/>
          <w:b/>
          <w:spacing w:val="-4"/>
          <w:sz w:val="44"/>
          <w:szCs w:val="44"/>
          <w:rtl/>
          <w:lang w:val="pt-BR"/>
        </w:rPr>
        <w:t>الـتَّاجِـرُ الصَّـدُوقُ الأَمِيْـنُ مَـعَ النَّـبِيِّيْنَ وَالصِّـدِّيْقِيْنَ وَالشُّـهَدَاءِ</w:t>
      </w:r>
    </w:p>
    <w:p w14:paraId="0A342EB5" w14:textId="006C9A5E" w:rsidR="0051620D" w:rsidRDefault="008E4A66" w:rsidP="00101862">
      <w:pPr>
        <w:spacing w:before="3" w:line="240" w:lineRule="auto"/>
        <w:ind w:left="589" w:right="980"/>
        <w:jc w:val="center"/>
        <w:rPr>
          <w:rFonts w:asciiTheme="majorBidi" w:hAnsiTheme="majorBidi" w:cstheme="majorBidi"/>
          <w:bCs/>
          <w:spacing w:val="-4"/>
          <w:sz w:val="24"/>
          <w:szCs w:val="24"/>
          <w:lang w:val="sv-SE"/>
        </w:rPr>
      </w:pPr>
      <w:r w:rsidRPr="008E4A66">
        <w:rPr>
          <w:rFonts w:asciiTheme="majorBidi" w:hAnsiTheme="majorBidi" w:cstheme="majorBidi"/>
          <w:bCs/>
          <w:spacing w:val="-4"/>
          <w:sz w:val="24"/>
          <w:szCs w:val="24"/>
          <w:lang w:val="sv-SE"/>
        </w:rPr>
        <w:t>Sesungguhnya para pedagang yang jujur dan amanah akan bersama para nabi, orang-orang benar, dan para syuhada"</w:t>
      </w:r>
      <w:r>
        <w:rPr>
          <w:rFonts w:asciiTheme="majorBidi" w:hAnsiTheme="majorBidi" w:cstheme="majorBidi"/>
          <w:bCs/>
          <w:spacing w:val="-4"/>
          <w:sz w:val="24"/>
          <w:szCs w:val="24"/>
          <w:lang w:val="sv-SE"/>
        </w:rPr>
        <w:t xml:space="preserve"> </w:t>
      </w:r>
      <w:r w:rsidR="00101862">
        <w:rPr>
          <w:rFonts w:asciiTheme="majorBidi" w:hAnsiTheme="majorBidi" w:cstheme="majorBidi"/>
          <w:bCs/>
          <w:spacing w:val="-4"/>
          <w:sz w:val="24"/>
          <w:szCs w:val="24"/>
          <w:lang w:val="sv-SE"/>
        </w:rPr>
        <w:t>.</w:t>
      </w:r>
    </w:p>
    <w:p w14:paraId="6329E141" w14:textId="372A7E03" w:rsidR="0002426D" w:rsidRDefault="008E4A66" w:rsidP="00101862">
      <w:pPr>
        <w:spacing w:before="3" w:line="240" w:lineRule="auto"/>
        <w:ind w:left="589" w:right="980"/>
        <w:jc w:val="center"/>
        <w:rPr>
          <w:rFonts w:asciiTheme="majorBidi" w:hAnsiTheme="majorBidi" w:cstheme="majorBidi"/>
          <w:bCs/>
          <w:spacing w:val="-4"/>
          <w:sz w:val="24"/>
          <w:szCs w:val="24"/>
          <w:lang w:val="sv-SE"/>
        </w:rPr>
      </w:pPr>
      <w:r>
        <w:rPr>
          <w:rFonts w:asciiTheme="majorBidi" w:hAnsiTheme="majorBidi" w:cstheme="majorBidi"/>
          <w:bCs/>
          <w:spacing w:val="-4"/>
          <w:sz w:val="24"/>
          <w:szCs w:val="24"/>
          <w:lang w:val="sv-SE"/>
        </w:rPr>
        <w:t>(</w:t>
      </w:r>
      <w:r w:rsidRPr="00BB72E7">
        <w:rPr>
          <w:rFonts w:asciiTheme="majorBidi" w:hAnsiTheme="majorBidi" w:cstheme="majorBidi"/>
          <w:bCs/>
          <w:spacing w:val="-4"/>
          <w:sz w:val="24"/>
          <w:szCs w:val="24"/>
          <w:lang w:val="sv-SE"/>
        </w:rPr>
        <w:t>HR. Tirmidzi)</w:t>
      </w:r>
    </w:p>
    <w:p w14:paraId="19796898" w14:textId="77777777" w:rsidR="00101862" w:rsidRDefault="00101862" w:rsidP="00101862">
      <w:pPr>
        <w:spacing w:before="3" w:line="240" w:lineRule="auto"/>
        <w:ind w:left="589" w:right="980"/>
        <w:jc w:val="center"/>
        <w:rPr>
          <w:rFonts w:asciiTheme="majorBidi" w:hAnsiTheme="majorBidi" w:cstheme="majorBidi"/>
          <w:bCs/>
          <w:spacing w:val="-4"/>
          <w:sz w:val="24"/>
          <w:szCs w:val="24"/>
          <w:lang w:val="sv-SE"/>
        </w:rPr>
      </w:pPr>
    </w:p>
    <w:p w14:paraId="756F7644" w14:textId="02929437" w:rsidR="00101862" w:rsidRDefault="00101862" w:rsidP="00101862">
      <w:pPr>
        <w:spacing w:before="3" w:line="240" w:lineRule="auto"/>
        <w:ind w:left="589" w:right="980"/>
        <w:jc w:val="center"/>
        <w:rPr>
          <w:rFonts w:asciiTheme="majorBidi" w:hAnsiTheme="majorBidi" w:cstheme="majorBidi"/>
          <w:bCs/>
          <w:spacing w:val="-4"/>
          <w:sz w:val="24"/>
          <w:szCs w:val="24"/>
          <w:lang w:val="sv-SE"/>
        </w:rPr>
      </w:pPr>
      <w:r>
        <w:rPr>
          <w:rFonts w:asciiTheme="majorBidi" w:hAnsiTheme="majorBidi" w:cstheme="majorBidi"/>
          <w:bCs/>
          <w:spacing w:val="-4"/>
          <w:sz w:val="24"/>
          <w:szCs w:val="24"/>
          <w:lang w:val="sv-SE"/>
        </w:rPr>
        <w:t>”Langkah kecil tetaplah langkah, lebih baik melangkah daripada diam ditempat. Terkadang kita tidak perlu keyakinan penuh untuk memulai, cukup keberanian dan niat baik”.</w:t>
      </w:r>
    </w:p>
    <w:p w14:paraId="360DD8DA" w14:textId="5DD3A667" w:rsidR="00101862" w:rsidRPr="00101862" w:rsidRDefault="00101862" w:rsidP="00101862">
      <w:pPr>
        <w:spacing w:before="3" w:line="240" w:lineRule="auto"/>
        <w:ind w:left="589" w:right="980"/>
        <w:jc w:val="center"/>
        <w:rPr>
          <w:rFonts w:asciiTheme="majorBidi" w:hAnsiTheme="majorBidi" w:cstheme="majorBidi"/>
          <w:bCs/>
          <w:spacing w:val="-4"/>
          <w:sz w:val="24"/>
          <w:szCs w:val="24"/>
          <w:lang w:val="sv-SE"/>
        </w:rPr>
      </w:pPr>
      <w:r>
        <w:rPr>
          <w:rFonts w:asciiTheme="majorBidi" w:hAnsiTheme="majorBidi" w:cstheme="majorBidi"/>
          <w:bCs/>
          <w:spacing w:val="-4"/>
          <w:sz w:val="24"/>
          <w:szCs w:val="24"/>
          <w:lang w:val="sv-SE"/>
        </w:rPr>
        <w:t>(Harry Vaughan)</w:t>
      </w:r>
    </w:p>
    <w:p w14:paraId="75C6B4C3"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350D68D1"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2C7F280B"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3B4DF515"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397CE627"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2A983919"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3EFCE3F4"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56336605"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2F86BD6B"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0A468526"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07D25FA7"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65ACF1E1"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3AADD2DF" w14:textId="77777777" w:rsidR="0002426D" w:rsidRPr="00BB72E7" w:rsidRDefault="0002426D" w:rsidP="00B51544">
      <w:pPr>
        <w:spacing w:before="3" w:line="360" w:lineRule="auto"/>
        <w:ind w:left="589" w:right="980"/>
        <w:jc w:val="center"/>
        <w:rPr>
          <w:rFonts w:asciiTheme="majorBidi" w:hAnsiTheme="majorBidi" w:cstheme="majorBidi"/>
          <w:b/>
          <w:spacing w:val="-4"/>
          <w:sz w:val="24"/>
          <w:szCs w:val="24"/>
          <w:lang w:val="sv-SE"/>
        </w:rPr>
      </w:pPr>
    </w:p>
    <w:p w14:paraId="70B0F8AD" w14:textId="77777777" w:rsidR="0002426D" w:rsidRPr="00BB72E7" w:rsidRDefault="0002426D" w:rsidP="008E4A66">
      <w:pPr>
        <w:spacing w:before="3" w:line="360" w:lineRule="auto"/>
        <w:ind w:right="980"/>
        <w:rPr>
          <w:rFonts w:asciiTheme="majorBidi" w:hAnsiTheme="majorBidi" w:cstheme="majorBidi"/>
          <w:b/>
          <w:spacing w:val="-4"/>
          <w:sz w:val="24"/>
          <w:szCs w:val="24"/>
          <w:lang w:val="sv-SE"/>
        </w:rPr>
      </w:pPr>
    </w:p>
    <w:p w14:paraId="64E249B7" w14:textId="14CC1C26" w:rsidR="0002426D" w:rsidRPr="00BB72E7" w:rsidRDefault="0002426D" w:rsidP="00A42616">
      <w:pPr>
        <w:pStyle w:val="Heading1"/>
        <w:jc w:val="center"/>
        <w:rPr>
          <w:rFonts w:asciiTheme="majorBidi" w:hAnsiTheme="majorBidi"/>
          <w:b/>
          <w:bCs/>
          <w:color w:val="auto"/>
          <w:sz w:val="24"/>
          <w:szCs w:val="24"/>
          <w:lang w:val="sv-SE"/>
        </w:rPr>
      </w:pPr>
      <w:bookmarkStart w:id="3" w:name="_Toc201063288"/>
      <w:r w:rsidRPr="00BB72E7">
        <w:rPr>
          <w:rFonts w:asciiTheme="majorBidi" w:hAnsiTheme="majorBidi"/>
          <w:b/>
          <w:bCs/>
          <w:color w:val="auto"/>
          <w:sz w:val="24"/>
          <w:szCs w:val="24"/>
          <w:lang w:val="sv-SE"/>
        </w:rPr>
        <w:lastRenderedPageBreak/>
        <w:t>PERSEMBAHAN</w:t>
      </w:r>
      <w:bookmarkEnd w:id="3"/>
    </w:p>
    <w:p w14:paraId="6F07C7AF" w14:textId="77777777" w:rsidR="00A42616" w:rsidRPr="00BB72E7" w:rsidRDefault="00A42616" w:rsidP="00A42616">
      <w:pPr>
        <w:rPr>
          <w:lang w:val="sv-SE"/>
        </w:rPr>
      </w:pPr>
    </w:p>
    <w:p w14:paraId="18A8FB2E" w14:textId="590855D9" w:rsidR="0002426D" w:rsidRDefault="00F143CE" w:rsidP="00273CF6">
      <w:pPr>
        <w:spacing w:before="3" w:line="360" w:lineRule="auto"/>
        <w:ind w:right="-2" w:firstLine="709"/>
        <w:jc w:val="both"/>
        <w:rPr>
          <w:rFonts w:asciiTheme="majorBidi" w:hAnsiTheme="majorBidi" w:cstheme="majorBidi"/>
          <w:bCs/>
          <w:spacing w:val="-4"/>
          <w:sz w:val="24"/>
          <w:szCs w:val="24"/>
          <w:lang w:val="sv-SE"/>
        </w:rPr>
      </w:pPr>
      <w:r w:rsidRPr="00BB72E7">
        <w:rPr>
          <w:rFonts w:asciiTheme="majorBidi" w:hAnsiTheme="majorBidi" w:cstheme="majorBidi"/>
          <w:bCs/>
          <w:spacing w:val="-4"/>
          <w:sz w:val="24"/>
          <w:szCs w:val="24"/>
          <w:lang w:val="sv-SE"/>
        </w:rPr>
        <w:t xml:space="preserve">Alhamdulillah, saya panjatkan puji syukur kepada Allah SWT atas segala rahmat dan kesempatan yang diberikan sehingga saya dapat menyelesaikan tugas akhir skripsi ini meskipun dengan segala kekurangannya. Segala syukur saya haturkan kepada Allah SWT, karena telah menghadirkan orang-orang yang berarti disekitar saya, yang selalu memberikan semangat, dukungan dan do’a, sehingga skripsi ini dapat terselesaikan dengan baik. </w:t>
      </w:r>
      <w:r>
        <w:rPr>
          <w:rFonts w:asciiTheme="majorBidi" w:hAnsiTheme="majorBidi" w:cstheme="majorBidi"/>
          <w:bCs/>
          <w:spacing w:val="-4"/>
          <w:sz w:val="24"/>
          <w:szCs w:val="24"/>
          <w:lang w:val="sv-SE"/>
        </w:rPr>
        <w:t>Karya sederhana ini saya persembahkan kepada :</w:t>
      </w:r>
    </w:p>
    <w:p w14:paraId="6E45AA5E" w14:textId="121C7565" w:rsidR="00F143CE" w:rsidRDefault="00F143CE">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Pr>
          <w:rFonts w:asciiTheme="majorBidi" w:hAnsiTheme="majorBidi" w:cstheme="majorBidi"/>
          <w:bCs/>
          <w:spacing w:val="-4"/>
          <w:sz w:val="24"/>
          <w:szCs w:val="24"/>
          <w:lang w:val="sv-SE"/>
        </w:rPr>
        <w:t>Allah SWT, Sang Maha Kuasa serta pemilik sumber ilmu pengetahuan. Terima Kasih Ya Allah telah memberikan pertolongan-Mu untuk penulis menyelesaikan skripsi untuk memperoleh gelar Sarjana Ekonomi.</w:t>
      </w:r>
    </w:p>
    <w:p w14:paraId="76C0F154" w14:textId="32941A8D" w:rsidR="00BF6D00" w:rsidRDefault="00BF6D00">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Pr>
          <w:rFonts w:asciiTheme="majorBidi" w:hAnsiTheme="majorBidi" w:cstheme="majorBidi"/>
          <w:bCs/>
          <w:spacing w:val="-4"/>
          <w:sz w:val="24"/>
          <w:szCs w:val="24"/>
          <w:lang w:val="sv-SE"/>
        </w:rPr>
        <w:t>Dengan tulus p</w:t>
      </w:r>
      <w:r w:rsidR="00DB6374" w:rsidRPr="00DB6374">
        <w:rPr>
          <w:rFonts w:asciiTheme="majorBidi" w:hAnsiTheme="majorBidi" w:cstheme="majorBidi"/>
          <w:bCs/>
          <w:spacing w:val="-4"/>
          <w:sz w:val="24"/>
          <w:szCs w:val="24"/>
          <w:lang w:val="sv-SE"/>
        </w:rPr>
        <w:t>enulis mengucapkan terima kasih kepada</w:t>
      </w:r>
      <w:r w:rsidR="00991A8D">
        <w:rPr>
          <w:rFonts w:asciiTheme="majorBidi" w:hAnsiTheme="majorBidi" w:cstheme="majorBidi"/>
          <w:bCs/>
          <w:spacing w:val="-4"/>
          <w:sz w:val="24"/>
          <w:szCs w:val="24"/>
          <w:lang w:val="sv-SE"/>
        </w:rPr>
        <w:t xml:space="preserve"> </w:t>
      </w:r>
      <w:r w:rsidR="00DB6374" w:rsidRPr="00DB6374">
        <w:rPr>
          <w:rFonts w:asciiTheme="majorBidi" w:hAnsiTheme="majorBidi" w:cstheme="majorBidi"/>
          <w:bCs/>
          <w:spacing w:val="-4"/>
          <w:sz w:val="24"/>
          <w:szCs w:val="24"/>
          <w:lang w:val="sv-SE"/>
        </w:rPr>
        <w:t xml:space="preserve">kedua orang tua </w:t>
      </w:r>
      <w:r>
        <w:rPr>
          <w:rFonts w:asciiTheme="majorBidi" w:hAnsiTheme="majorBidi" w:cstheme="majorBidi"/>
          <w:bCs/>
          <w:spacing w:val="-4"/>
          <w:sz w:val="24"/>
          <w:szCs w:val="24"/>
          <w:lang w:val="sv-SE"/>
        </w:rPr>
        <w:t xml:space="preserve">tercinta penulis </w:t>
      </w:r>
      <w:r w:rsidR="00DB6374" w:rsidRPr="00DB6374">
        <w:rPr>
          <w:rFonts w:asciiTheme="majorBidi" w:hAnsiTheme="majorBidi" w:cstheme="majorBidi"/>
          <w:bCs/>
          <w:spacing w:val="-4"/>
          <w:sz w:val="24"/>
          <w:szCs w:val="24"/>
          <w:lang w:val="sv-SE"/>
        </w:rPr>
        <w:t>yaitu Bapak H. Moh Nurwahib, S.</w:t>
      </w:r>
      <w:r>
        <w:rPr>
          <w:rFonts w:asciiTheme="majorBidi" w:hAnsiTheme="majorBidi" w:cstheme="majorBidi"/>
          <w:bCs/>
          <w:spacing w:val="-4"/>
          <w:sz w:val="24"/>
          <w:szCs w:val="24"/>
          <w:lang w:val="sv-SE"/>
        </w:rPr>
        <w:t xml:space="preserve"> </w:t>
      </w:r>
      <w:r w:rsidR="00DB6374" w:rsidRPr="00DB6374">
        <w:rPr>
          <w:rFonts w:asciiTheme="majorBidi" w:hAnsiTheme="majorBidi" w:cstheme="majorBidi"/>
          <w:bCs/>
          <w:spacing w:val="-4"/>
          <w:sz w:val="24"/>
          <w:szCs w:val="24"/>
          <w:lang w:val="sv-SE"/>
        </w:rPr>
        <w:t>P., M. Pd. dan Ibu Hj. Alifatut Tadzkiroh, S. Ag., M. Pd. I. Terima kasih atas setiap usaha dan pengorbanan yang telah dilakukan untuk memberikan yang terbaik bagi penulis, memenuhi semua kebutuhan, mendidik, membimbing, serta</w:t>
      </w:r>
      <w:r w:rsidR="0005736F">
        <w:rPr>
          <w:rFonts w:asciiTheme="majorBidi" w:hAnsiTheme="majorBidi" w:cstheme="majorBidi"/>
          <w:bCs/>
          <w:spacing w:val="-4"/>
          <w:sz w:val="24"/>
          <w:szCs w:val="24"/>
          <w:lang w:val="sv-SE"/>
        </w:rPr>
        <w:t xml:space="preserve"> selalu </w:t>
      </w:r>
      <w:r w:rsidR="00DB6374" w:rsidRPr="00DB6374">
        <w:rPr>
          <w:rFonts w:asciiTheme="majorBidi" w:hAnsiTheme="majorBidi" w:cstheme="majorBidi"/>
          <w:bCs/>
          <w:spacing w:val="-4"/>
          <w:sz w:val="24"/>
          <w:szCs w:val="24"/>
          <w:lang w:val="sv-SE"/>
        </w:rPr>
        <w:t>memberikan kasih sayang yang tulus, dorongan, serta dukungan dan doa dalam segala situasi agar penulis dapat terus melangkah perlahan demi perlahan meraih cita-cita di masa depan. Terima kasih selalu berada di samping penulis dan menjadi motivasi dalam menyelesaikan penulisan skripsi ini hingga meraih gelar Sarjana Ekonomi. Bapak, Ibu, putri kecil kalian kini telah dewasa dan siap untuk mengejar impian yang lebih tinggi</w:t>
      </w:r>
      <w:r>
        <w:rPr>
          <w:rFonts w:asciiTheme="majorBidi" w:hAnsiTheme="majorBidi" w:cstheme="majorBidi"/>
          <w:bCs/>
          <w:spacing w:val="-4"/>
          <w:sz w:val="24"/>
          <w:szCs w:val="24"/>
          <w:lang w:val="sv-SE"/>
        </w:rPr>
        <w:t xml:space="preserve"> lagi</w:t>
      </w:r>
      <w:r w:rsidR="00DB6374" w:rsidRPr="00DB6374">
        <w:rPr>
          <w:rFonts w:asciiTheme="majorBidi" w:hAnsiTheme="majorBidi" w:cstheme="majorBidi"/>
          <w:bCs/>
          <w:spacing w:val="-4"/>
          <w:sz w:val="24"/>
          <w:szCs w:val="24"/>
          <w:lang w:val="sv-SE"/>
        </w:rPr>
        <w:t>.</w:t>
      </w:r>
    </w:p>
    <w:p w14:paraId="3D25C974" w14:textId="5BD4334D" w:rsidR="0002426D" w:rsidRDefault="00BF6D00">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sidRPr="00BF6D00">
        <w:rPr>
          <w:rFonts w:asciiTheme="majorBidi" w:hAnsiTheme="majorBidi" w:cstheme="majorBidi"/>
          <w:bCs/>
          <w:spacing w:val="-4"/>
          <w:sz w:val="24"/>
          <w:szCs w:val="24"/>
          <w:lang w:val="sv-SE"/>
        </w:rPr>
        <w:t>Adik kandung satu-satunya penulis yang sangat penulis sayangi dan cintai yaitu Ashfin Nada karena selalu memberikan support kepada penulis dan juga telah menjadi bagian dari perjalanan hidup penulis.</w:t>
      </w:r>
    </w:p>
    <w:p w14:paraId="3BC676C0" w14:textId="30F16A0D" w:rsidR="00BF6D00" w:rsidRPr="00840D04" w:rsidRDefault="00840D04">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sidRPr="00840D04">
        <w:rPr>
          <w:rFonts w:asciiTheme="majorBidi" w:hAnsiTheme="majorBidi" w:cstheme="majorBidi"/>
          <w:bCs/>
          <w:spacing w:val="-4"/>
          <w:sz w:val="24"/>
          <w:szCs w:val="24"/>
          <w:lang w:val="sv-SE"/>
        </w:rPr>
        <w:t xml:space="preserve">Dosen pembimbing yang penulis hormati </w:t>
      </w:r>
      <w:r w:rsidRPr="00925216">
        <w:rPr>
          <w:rFonts w:asciiTheme="majorBidi" w:hAnsiTheme="majorBidi" w:cstheme="majorBidi"/>
          <w:bCs/>
          <w:sz w:val="24"/>
          <w:szCs w:val="24"/>
          <w:lang w:val="sv-SE"/>
        </w:rPr>
        <w:t>Prof. Dr. H. Muhlis, M.Si dan</w:t>
      </w:r>
      <w:r>
        <w:rPr>
          <w:rFonts w:asciiTheme="majorBidi" w:hAnsiTheme="majorBidi" w:cstheme="majorBidi"/>
          <w:bCs/>
          <w:sz w:val="24"/>
          <w:szCs w:val="24"/>
          <w:lang w:val="sv-SE"/>
        </w:rPr>
        <w:t xml:space="preserve"> Ibu </w:t>
      </w:r>
      <w:r w:rsidRPr="00925216">
        <w:rPr>
          <w:rFonts w:asciiTheme="majorBidi" w:hAnsiTheme="majorBidi" w:cstheme="majorBidi"/>
          <w:bCs/>
          <w:sz w:val="24"/>
          <w:szCs w:val="24"/>
          <w:lang w:val="sv-SE"/>
        </w:rPr>
        <w:t>Ana Zahrotun Nihayah, S.E., M.A.</w:t>
      </w:r>
      <w:r>
        <w:rPr>
          <w:rFonts w:asciiTheme="majorBidi" w:hAnsiTheme="majorBidi" w:cstheme="majorBidi"/>
          <w:bCs/>
          <w:sz w:val="24"/>
          <w:szCs w:val="24"/>
          <w:lang w:val="sv-SE"/>
        </w:rPr>
        <w:t xml:space="preserve"> Terima kasih </w:t>
      </w:r>
      <w:r w:rsidR="0005736F">
        <w:rPr>
          <w:rFonts w:asciiTheme="majorBidi" w:hAnsiTheme="majorBidi" w:cstheme="majorBidi"/>
          <w:bCs/>
          <w:sz w:val="24"/>
          <w:szCs w:val="24"/>
          <w:lang w:val="sv-SE"/>
        </w:rPr>
        <w:t xml:space="preserve">atas bimbingan, bantuan, dan arahan dalam menyelesaikan skripsi ini. </w:t>
      </w:r>
    </w:p>
    <w:p w14:paraId="196CE94B" w14:textId="62C846A6" w:rsidR="00840D04" w:rsidRPr="004014DD" w:rsidRDefault="00840D04">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Pr>
          <w:rFonts w:asciiTheme="majorBidi" w:hAnsiTheme="majorBidi" w:cstheme="majorBidi"/>
          <w:bCs/>
          <w:sz w:val="24"/>
          <w:szCs w:val="24"/>
          <w:lang w:val="sv-SE"/>
        </w:rPr>
        <w:t>Kepada Sahabat seperjuangan penulis Nur Hafidhoh, Faradya Dzurriyatuis Sholihah</w:t>
      </w:r>
      <w:r w:rsidR="00ED5418">
        <w:rPr>
          <w:rFonts w:asciiTheme="majorBidi" w:hAnsiTheme="majorBidi" w:cstheme="majorBidi"/>
          <w:bCs/>
          <w:sz w:val="24"/>
          <w:szCs w:val="24"/>
          <w:lang w:val="sv-SE"/>
        </w:rPr>
        <w:t xml:space="preserve">, </w:t>
      </w:r>
      <w:r>
        <w:rPr>
          <w:rFonts w:asciiTheme="majorBidi" w:hAnsiTheme="majorBidi" w:cstheme="majorBidi"/>
          <w:bCs/>
          <w:sz w:val="24"/>
          <w:szCs w:val="24"/>
          <w:lang w:val="sv-SE"/>
        </w:rPr>
        <w:t>Vita Fu’adah</w:t>
      </w:r>
      <w:r w:rsidR="00ED5418">
        <w:rPr>
          <w:rFonts w:asciiTheme="majorBidi" w:hAnsiTheme="majorBidi" w:cstheme="majorBidi"/>
          <w:bCs/>
          <w:sz w:val="24"/>
          <w:szCs w:val="24"/>
          <w:lang w:val="sv-SE"/>
        </w:rPr>
        <w:t xml:space="preserve"> dan Ulpani Kholishoh</w:t>
      </w:r>
      <w:r>
        <w:rPr>
          <w:rFonts w:asciiTheme="majorBidi" w:hAnsiTheme="majorBidi" w:cstheme="majorBidi"/>
          <w:bCs/>
          <w:sz w:val="24"/>
          <w:szCs w:val="24"/>
          <w:lang w:val="sv-SE"/>
        </w:rPr>
        <w:t xml:space="preserve">. Terima kasih atas semua bantuan, dukungan, </w:t>
      </w:r>
      <w:r w:rsidR="004014DD">
        <w:rPr>
          <w:rFonts w:asciiTheme="majorBidi" w:hAnsiTheme="majorBidi" w:cstheme="majorBidi"/>
          <w:bCs/>
          <w:sz w:val="24"/>
          <w:szCs w:val="24"/>
          <w:lang w:val="sv-SE"/>
        </w:rPr>
        <w:t xml:space="preserve">semangat </w:t>
      </w:r>
      <w:r w:rsidR="0005736F">
        <w:rPr>
          <w:rFonts w:asciiTheme="majorBidi" w:hAnsiTheme="majorBidi" w:cstheme="majorBidi"/>
          <w:bCs/>
          <w:sz w:val="24"/>
          <w:szCs w:val="24"/>
          <w:lang w:val="sv-SE"/>
        </w:rPr>
        <w:t xml:space="preserve">serta </w:t>
      </w:r>
      <w:r>
        <w:rPr>
          <w:rFonts w:asciiTheme="majorBidi" w:hAnsiTheme="majorBidi" w:cstheme="majorBidi"/>
          <w:bCs/>
          <w:sz w:val="24"/>
          <w:szCs w:val="24"/>
          <w:lang w:val="sv-SE"/>
        </w:rPr>
        <w:t>kehadiran kalian yang selalu berarti selama masa-masa kuliah di Ponpes Progresif Fathimah Al-amin</w:t>
      </w:r>
      <w:r w:rsidR="004014DD">
        <w:rPr>
          <w:rFonts w:asciiTheme="majorBidi" w:hAnsiTheme="majorBidi" w:cstheme="majorBidi"/>
          <w:bCs/>
          <w:sz w:val="24"/>
          <w:szCs w:val="24"/>
          <w:lang w:val="sv-SE"/>
        </w:rPr>
        <w:t xml:space="preserve">, terima kasih telah menjadi tempat </w:t>
      </w:r>
      <w:r w:rsidR="0005736F">
        <w:rPr>
          <w:rFonts w:asciiTheme="majorBidi" w:hAnsiTheme="majorBidi" w:cstheme="majorBidi"/>
          <w:bCs/>
          <w:sz w:val="24"/>
          <w:szCs w:val="24"/>
          <w:lang w:val="sv-SE"/>
        </w:rPr>
        <w:t xml:space="preserve">berbagi </w:t>
      </w:r>
      <w:r w:rsidR="004014DD">
        <w:rPr>
          <w:rFonts w:asciiTheme="majorBidi" w:hAnsiTheme="majorBidi" w:cstheme="majorBidi"/>
          <w:bCs/>
          <w:sz w:val="24"/>
          <w:szCs w:val="24"/>
          <w:lang w:val="sv-SE"/>
        </w:rPr>
        <w:t>keluh kesah penulis selama di pondok.</w:t>
      </w:r>
    </w:p>
    <w:p w14:paraId="5D00C67D" w14:textId="190826D4" w:rsidR="004014DD" w:rsidRPr="004014DD" w:rsidRDefault="004014DD">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sidRPr="004014DD">
        <w:rPr>
          <w:rFonts w:asciiTheme="majorBidi" w:hAnsiTheme="majorBidi" w:cstheme="majorBidi"/>
          <w:bCs/>
          <w:sz w:val="24"/>
          <w:szCs w:val="24"/>
          <w:lang w:val="sv-SE"/>
        </w:rPr>
        <w:t>Terima kasih juga kepada Miladia Ulufa Annur, Amirotul Khusna, Azzah Ro</w:t>
      </w:r>
      <w:r>
        <w:rPr>
          <w:rFonts w:asciiTheme="majorBidi" w:hAnsiTheme="majorBidi" w:cstheme="majorBidi"/>
          <w:bCs/>
          <w:sz w:val="24"/>
          <w:szCs w:val="24"/>
          <w:lang w:val="sv-SE"/>
        </w:rPr>
        <w:t>tul fulla, Luthfiah Al Asbin Ulyani dan Isna Zulvia Khairani yang selalu memberikan semangat kepada penulis.</w:t>
      </w:r>
    </w:p>
    <w:p w14:paraId="1D34374A" w14:textId="4B7A0603" w:rsidR="004014DD" w:rsidRPr="00EA3D07" w:rsidRDefault="004014DD">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sidRPr="004014DD">
        <w:rPr>
          <w:rFonts w:asciiTheme="majorBidi" w:hAnsiTheme="majorBidi" w:cstheme="majorBidi"/>
          <w:bCs/>
          <w:sz w:val="24"/>
          <w:szCs w:val="24"/>
          <w:lang w:val="sv-SE"/>
        </w:rPr>
        <w:lastRenderedPageBreak/>
        <w:t>Keluarga besar Ponpes Progresif Fathimah Al-Amin, terkhusus kamar zaenab Dimana telah mem</w:t>
      </w:r>
      <w:r>
        <w:rPr>
          <w:rFonts w:asciiTheme="majorBidi" w:hAnsiTheme="majorBidi" w:cstheme="majorBidi"/>
          <w:bCs/>
          <w:sz w:val="24"/>
          <w:szCs w:val="24"/>
          <w:lang w:val="sv-SE"/>
        </w:rPr>
        <w:t>berikan dukungan</w:t>
      </w:r>
      <w:r w:rsidR="00EA3D07">
        <w:rPr>
          <w:rFonts w:asciiTheme="majorBidi" w:hAnsiTheme="majorBidi" w:cstheme="majorBidi"/>
          <w:bCs/>
          <w:sz w:val="24"/>
          <w:szCs w:val="24"/>
          <w:lang w:val="sv-SE"/>
        </w:rPr>
        <w:t xml:space="preserve">, </w:t>
      </w:r>
      <w:r>
        <w:rPr>
          <w:rFonts w:asciiTheme="majorBidi" w:hAnsiTheme="majorBidi" w:cstheme="majorBidi"/>
          <w:bCs/>
          <w:sz w:val="24"/>
          <w:szCs w:val="24"/>
          <w:lang w:val="sv-SE"/>
        </w:rPr>
        <w:t>tempat mencurahkan hati dan senantiasa selalu sabar dalam menghadapi penulis selama penyelesaian skripsi ini.</w:t>
      </w:r>
    </w:p>
    <w:p w14:paraId="3E558DEE" w14:textId="0415A70D" w:rsidR="00EA3D07" w:rsidRPr="00EA3D07" w:rsidRDefault="00EA3D07">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sidRPr="00EA3D07">
        <w:rPr>
          <w:rFonts w:asciiTheme="majorBidi" w:hAnsiTheme="majorBidi" w:cstheme="majorBidi"/>
          <w:bCs/>
          <w:sz w:val="24"/>
          <w:szCs w:val="24"/>
          <w:lang w:val="sv-SE"/>
        </w:rPr>
        <w:t>Keluarga besar PBAS A’21 dimana telah memberika</w:t>
      </w:r>
      <w:r>
        <w:rPr>
          <w:rFonts w:asciiTheme="majorBidi" w:hAnsiTheme="majorBidi" w:cstheme="majorBidi"/>
          <w:bCs/>
          <w:sz w:val="24"/>
          <w:szCs w:val="24"/>
          <w:lang w:val="sv-SE"/>
        </w:rPr>
        <w:t>n dukungan dan semangat selama dibangku perkuliahan ini.</w:t>
      </w:r>
    </w:p>
    <w:p w14:paraId="667861A5" w14:textId="78460F9F" w:rsidR="00EA3D07" w:rsidRPr="00EA3D07" w:rsidRDefault="00EA3D07">
      <w:pPr>
        <w:pStyle w:val="ListParagraph"/>
        <w:numPr>
          <w:ilvl w:val="0"/>
          <w:numId w:val="29"/>
        </w:numPr>
        <w:spacing w:before="3" w:line="360" w:lineRule="auto"/>
        <w:ind w:right="-2"/>
        <w:jc w:val="both"/>
        <w:rPr>
          <w:rFonts w:asciiTheme="majorBidi" w:hAnsiTheme="majorBidi" w:cstheme="majorBidi"/>
          <w:bCs/>
          <w:spacing w:val="-4"/>
          <w:sz w:val="24"/>
          <w:szCs w:val="24"/>
          <w:lang w:val="sv-SE"/>
        </w:rPr>
      </w:pPr>
      <w:r w:rsidRPr="00EA3D07">
        <w:rPr>
          <w:rFonts w:asciiTheme="majorBidi" w:hAnsiTheme="majorBidi" w:cstheme="majorBidi"/>
          <w:bCs/>
          <w:sz w:val="24"/>
          <w:szCs w:val="24"/>
          <w:lang w:val="sv-SE"/>
        </w:rPr>
        <w:t>Terakhir, terima kasih untuk diri saya sendiri Asna Suraya k</w:t>
      </w:r>
      <w:r>
        <w:rPr>
          <w:rFonts w:asciiTheme="majorBidi" w:hAnsiTheme="majorBidi" w:cstheme="majorBidi"/>
          <w:bCs/>
          <w:sz w:val="24"/>
          <w:szCs w:val="24"/>
          <w:lang w:val="sv-SE"/>
        </w:rPr>
        <w:t>arena sudah bertahan sejauh ini. Terima kasih tetap memilih berusaha dan merayakan dirimu sendiri sampai di titik ini, walau sering kali merasa putus asa atas apa yang diusahakan dan belum berhasil, namun terima kasih karena memutuskan tidak menyerah sesulit apapun proses penyusunan skripsi ini dan telah menyelesaikan sebaik dan semaksimal mungkin, ini merupakan pencapaian yang patut dirayakan untuk diri sendiri. Berbahagialah selalu dimanapun berada, Asna. Apapun kekurangan dan kelebihanmu mari terus merayakan diri sendiri.</w:t>
      </w:r>
    </w:p>
    <w:p w14:paraId="51B1E6D6"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3CB50513"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4DC4A593"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7D94D83A"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4C0D9CC9"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00E2C432"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4670598F"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31DC0C8F"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1C71068E"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46306A4E" w14:textId="77777777" w:rsidR="0002426D" w:rsidRPr="00EA3D07" w:rsidRDefault="0002426D" w:rsidP="00B51544">
      <w:pPr>
        <w:spacing w:before="3" w:line="360" w:lineRule="auto"/>
        <w:ind w:left="589" w:right="980"/>
        <w:jc w:val="center"/>
        <w:rPr>
          <w:rFonts w:asciiTheme="majorBidi" w:hAnsiTheme="majorBidi" w:cstheme="majorBidi"/>
          <w:b/>
          <w:spacing w:val="-4"/>
          <w:sz w:val="24"/>
          <w:szCs w:val="24"/>
          <w:lang w:val="sv-SE"/>
        </w:rPr>
      </w:pPr>
    </w:p>
    <w:p w14:paraId="05C39FB3"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sv-SE"/>
        </w:rPr>
      </w:pPr>
    </w:p>
    <w:p w14:paraId="2A9C8972" w14:textId="77777777" w:rsidR="00A42616" w:rsidRDefault="00A42616" w:rsidP="00B51544">
      <w:pPr>
        <w:spacing w:before="3" w:line="360" w:lineRule="auto"/>
        <w:ind w:left="589" w:right="980"/>
        <w:jc w:val="center"/>
        <w:rPr>
          <w:rFonts w:asciiTheme="majorBidi" w:hAnsiTheme="majorBidi" w:cstheme="majorBidi"/>
          <w:b/>
          <w:spacing w:val="-4"/>
          <w:sz w:val="24"/>
          <w:szCs w:val="24"/>
          <w:lang w:val="sv-SE"/>
        </w:rPr>
      </w:pPr>
    </w:p>
    <w:p w14:paraId="0801B475" w14:textId="77777777" w:rsidR="00482FE5" w:rsidRDefault="00482FE5" w:rsidP="00B51544">
      <w:pPr>
        <w:spacing w:before="3" w:line="360" w:lineRule="auto"/>
        <w:ind w:left="589" w:right="980"/>
        <w:jc w:val="center"/>
        <w:rPr>
          <w:rFonts w:asciiTheme="majorBidi" w:hAnsiTheme="majorBidi" w:cstheme="majorBidi"/>
          <w:b/>
          <w:spacing w:val="-4"/>
          <w:sz w:val="24"/>
          <w:szCs w:val="24"/>
          <w:lang w:val="sv-SE"/>
        </w:rPr>
      </w:pPr>
    </w:p>
    <w:p w14:paraId="492A31DB" w14:textId="77777777" w:rsidR="00482FE5" w:rsidRDefault="00482FE5" w:rsidP="00B51544">
      <w:pPr>
        <w:spacing w:before="3" w:line="360" w:lineRule="auto"/>
        <w:ind w:left="589" w:right="980"/>
        <w:jc w:val="center"/>
        <w:rPr>
          <w:rFonts w:asciiTheme="majorBidi" w:hAnsiTheme="majorBidi" w:cstheme="majorBidi"/>
          <w:b/>
          <w:spacing w:val="-4"/>
          <w:sz w:val="24"/>
          <w:szCs w:val="24"/>
          <w:lang w:val="sv-SE"/>
        </w:rPr>
      </w:pPr>
    </w:p>
    <w:p w14:paraId="256581BD" w14:textId="77777777" w:rsidR="00482FE5" w:rsidRPr="00EA3D07" w:rsidRDefault="00482FE5" w:rsidP="00B51544">
      <w:pPr>
        <w:spacing w:before="3" w:line="360" w:lineRule="auto"/>
        <w:ind w:left="589" w:right="980"/>
        <w:jc w:val="center"/>
        <w:rPr>
          <w:rFonts w:asciiTheme="majorBidi" w:hAnsiTheme="majorBidi" w:cstheme="majorBidi"/>
          <w:b/>
          <w:spacing w:val="-4"/>
          <w:sz w:val="24"/>
          <w:szCs w:val="24"/>
          <w:lang w:val="sv-SE"/>
        </w:rPr>
      </w:pPr>
    </w:p>
    <w:p w14:paraId="6B5D5FE5" w14:textId="54729B60" w:rsidR="0002426D" w:rsidRPr="00A42616" w:rsidRDefault="0002426D" w:rsidP="00A42616">
      <w:pPr>
        <w:pStyle w:val="Heading1"/>
        <w:jc w:val="center"/>
        <w:rPr>
          <w:rFonts w:asciiTheme="majorBidi" w:hAnsiTheme="majorBidi"/>
          <w:b/>
          <w:bCs/>
          <w:color w:val="auto"/>
          <w:sz w:val="24"/>
          <w:szCs w:val="24"/>
          <w:lang w:val="sv-SE"/>
        </w:rPr>
      </w:pPr>
      <w:bookmarkStart w:id="4" w:name="_Toc201063289"/>
      <w:r w:rsidRPr="00A42616">
        <w:rPr>
          <w:rFonts w:asciiTheme="majorBidi" w:hAnsiTheme="majorBidi"/>
          <w:b/>
          <w:bCs/>
          <w:color w:val="auto"/>
          <w:sz w:val="24"/>
          <w:szCs w:val="24"/>
          <w:lang w:val="sv-SE"/>
        </w:rPr>
        <w:lastRenderedPageBreak/>
        <w:t>DEKLARASI</w:t>
      </w:r>
      <w:bookmarkEnd w:id="4"/>
    </w:p>
    <w:p w14:paraId="7F245A7C" w14:textId="36C48E0C" w:rsidR="00A42616" w:rsidRPr="00810BD8" w:rsidRDefault="00C72842" w:rsidP="00C72842">
      <w:pPr>
        <w:spacing w:before="3" w:line="360" w:lineRule="auto"/>
        <w:ind w:left="589" w:right="980"/>
        <w:jc w:val="center"/>
        <w:rPr>
          <w:rFonts w:ascii="Times New Roman" w:eastAsia="Times New Roman" w:hAnsi="Times New Roman" w:cs="Times New Roman"/>
          <w:noProof/>
          <w:kern w:val="0"/>
          <w:sz w:val="24"/>
          <w:szCs w:val="24"/>
          <w:lang w:val="sv-SE" w:eastAsia="en-ID"/>
          <w14:ligatures w14:val="none"/>
        </w:rPr>
      </w:pPr>
      <w:r w:rsidRPr="00C72842">
        <w:rPr>
          <w:rFonts w:asciiTheme="majorBidi" w:hAnsiTheme="majorBidi" w:cstheme="majorBidi"/>
          <w:b/>
          <w:noProof/>
          <w:spacing w:val="-4"/>
          <w:sz w:val="24"/>
          <w:szCs w:val="24"/>
        </w:rPr>
        <w:drawing>
          <wp:anchor distT="0" distB="0" distL="114300" distR="114300" simplePos="0" relativeHeight="251792384" behindDoc="0" locked="0" layoutInCell="1" allowOverlap="1" wp14:anchorId="617BB439" wp14:editId="1701AFDE">
            <wp:simplePos x="0" y="0"/>
            <wp:positionH relativeFrom="column">
              <wp:posOffset>80645</wp:posOffset>
            </wp:positionH>
            <wp:positionV relativeFrom="paragraph">
              <wp:posOffset>298450</wp:posOffset>
            </wp:positionV>
            <wp:extent cx="5939790" cy="8410575"/>
            <wp:effectExtent l="0" t="0" r="3810" b="9525"/>
            <wp:wrapSquare wrapText="bothSides"/>
            <wp:docPr id="97403253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8410575"/>
                    </a:xfrm>
                    <a:prstGeom prst="rect">
                      <a:avLst/>
                    </a:prstGeom>
                    <a:noFill/>
                    <a:ln>
                      <a:noFill/>
                    </a:ln>
                  </pic:spPr>
                </pic:pic>
              </a:graphicData>
            </a:graphic>
          </wp:anchor>
        </w:drawing>
      </w:r>
    </w:p>
    <w:p w14:paraId="652E3B65" w14:textId="689D57BA" w:rsidR="00F03CA5" w:rsidRPr="00A42616" w:rsidRDefault="00F03CA5" w:rsidP="00A42616">
      <w:pPr>
        <w:pStyle w:val="Heading1"/>
        <w:jc w:val="center"/>
        <w:rPr>
          <w:rFonts w:asciiTheme="majorBidi" w:hAnsiTheme="majorBidi"/>
          <w:b/>
          <w:bCs/>
          <w:color w:val="auto"/>
          <w:sz w:val="24"/>
          <w:szCs w:val="24"/>
          <w:lang w:val="sv-SE"/>
        </w:rPr>
      </w:pPr>
      <w:bookmarkStart w:id="5" w:name="_Toc201063290"/>
      <w:r w:rsidRPr="00A42616">
        <w:rPr>
          <w:rFonts w:asciiTheme="majorBidi" w:hAnsiTheme="majorBidi"/>
          <w:b/>
          <w:bCs/>
          <w:color w:val="auto"/>
          <w:sz w:val="24"/>
          <w:szCs w:val="24"/>
          <w:lang w:val="sv-SE"/>
        </w:rPr>
        <w:lastRenderedPageBreak/>
        <w:t>PEDOMAN TRANSLITERASI</w:t>
      </w:r>
      <w:bookmarkEnd w:id="5"/>
    </w:p>
    <w:p w14:paraId="3FF8CE91" w14:textId="77777777" w:rsidR="00F03CA5" w:rsidRPr="003D2604" w:rsidRDefault="00F03CA5" w:rsidP="00F03CA5">
      <w:pPr>
        <w:spacing w:before="3" w:line="360" w:lineRule="auto"/>
        <w:ind w:left="589" w:right="980"/>
        <w:rPr>
          <w:rFonts w:asciiTheme="majorBidi" w:hAnsiTheme="majorBidi" w:cstheme="majorBidi"/>
          <w:b/>
          <w:spacing w:val="-4"/>
          <w:sz w:val="24"/>
          <w:szCs w:val="24"/>
          <w:lang w:val="sv-SE"/>
        </w:rPr>
      </w:pPr>
    </w:p>
    <w:p w14:paraId="35DB92D5" w14:textId="4F3411E4" w:rsidR="00F03CA5" w:rsidRPr="003D2604" w:rsidRDefault="00F03CA5" w:rsidP="00273CF6">
      <w:pPr>
        <w:spacing w:before="3" w:line="360" w:lineRule="auto"/>
        <w:ind w:right="-2" w:firstLine="720"/>
        <w:rPr>
          <w:rFonts w:asciiTheme="majorBidi" w:hAnsiTheme="majorBidi" w:cstheme="majorBidi"/>
          <w:bCs/>
          <w:spacing w:val="-4"/>
          <w:sz w:val="24"/>
          <w:szCs w:val="24"/>
          <w:lang w:val="sv-SE"/>
        </w:rPr>
      </w:pPr>
      <w:r w:rsidRPr="003D2604">
        <w:rPr>
          <w:rFonts w:asciiTheme="majorBidi" w:hAnsiTheme="majorBidi" w:cstheme="majorBidi"/>
          <w:bCs/>
          <w:spacing w:val="-4"/>
          <w:sz w:val="24"/>
          <w:szCs w:val="24"/>
          <w:lang w:val="sv-SE"/>
        </w:rPr>
        <w:t xml:space="preserve">Transliterasi merupakan hal yang penting dalam skripsi karena pada umumnya banyak istilah Arab, nama orang, judul buku, nama lembaga dan lain sebagainya yang aslinya ditulis dengan huruf Arab harus disalin ke dalam huruf </w:t>
      </w:r>
      <w:r w:rsidR="00EC11E7" w:rsidRPr="003D2604">
        <w:rPr>
          <w:rFonts w:asciiTheme="majorBidi" w:hAnsiTheme="majorBidi" w:cstheme="majorBidi"/>
          <w:bCs/>
          <w:spacing w:val="-4"/>
          <w:sz w:val="24"/>
          <w:szCs w:val="24"/>
          <w:lang w:val="sv-SE"/>
        </w:rPr>
        <w:t>L</w:t>
      </w:r>
      <w:r w:rsidRPr="003D2604">
        <w:rPr>
          <w:rFonts w:asciiTheme="majorBidi" w:hAnsiTheme="majorBidi" w:cstheme="majorBidi"/>
          <w:bCs/>
          <w:spacing w:val="-4"/>
          <w:sz w:val="24"/>
          <w:szCs w:val="24"/>
          <w:lang w:val="sv-SE"/>
        </w:rPr>
        <w:t>atin. Untuk menjamin konsistensi, perlu ditetapkan satu pedoman transliterasi sebagai berikut :</w:t>
      </w:r>
    </w:p>
    <w:p w14:paraId="6533953C" w14:textId="25C83793" w:rsidR="00F03CA5" w:rsidRDefault="00F03CA5">
      <w:pPr>
        <w:pStyle w:val="ListParagraph"/>
        <w:numPr>
          <w:ilvl w:val="0"/>
          <w:numId w:val="27"/>
        </w:numPr>
        <w:spacing w:before="3" w:line="360" w:lineRule="auto"/>
        <w:ind w:right="980"/>
        <w:rPr>
          <w:rFonts w:asciiTheme="majorBidi" w:hAnsiTheme="majorBidi" w:cstheme="majorBidi"/>
          <w:bCs/>
          <w:spacing w:val="-4"/>
          <w:sz w:val="24"/>
          <w:szCs w:val="24"/>
          <w:lang w:val="pt-BR"/>
        </w:rPr>
      </w:pPr>
      <w:r w:rsidRPr="00F03CA5">
        <w:rPr>
          <w:rFonts w:asciiTheme="majorBidi" w:hAnsiTheme="majorBidi" w:cstheme="majorBidi"/>
          <w:bCs/>
          <w:spacing w:val="-4"/>
          <w:sz w:val="24"/>
          <w:szCs w:val="24"/>
          <w:lang w:val="pt-BR"/>
        </w:rPr>
        <w:t>Konsonan</w:t>
      </w:r>
    </w:p>
    <w:tbl>
      <w:tblPr>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9"/>
        <w:gridCol w:w="1470"/>
        <w:gridCol w:w="1467"/>
        <w:gridCol w:w="1471"/>
        <w:gridCol w:w="1467"/>
      </w:tblGrid>
      <w:tr w:rsidR="003D2604" w14:paraId="04304877" w14:textId="77777777" w:rsidTr="009B563B">
        <w:trPr>
          <w:trHeight w:val="412"/>
        </w:trPr>
        <w:tc>
          <w:tcPr>
            <w:tcW w:w="1469" w:type="dxa"/>
          </w:tcPr>
          <w:p w14:paraId="5DDE4EBE" w14:textId="77777777" w:rsidR="003D2604" w:rsidRDefault="003D2604" w:rsidP="009B563B">
            <w:pPr>
              <w:pStyle w:val="TableParagraph"/>
              <w:ind w:left="17" w:right="3"/>
              <w:rPr>
                <w:sz w:val="24"/>
                <w:szCs w:val="24"/>
              </w:rPr>
            </w:pPr>
            <w:r>
              <w:rPr>
                <w:sz w:val="24"/>
                <w:szCs w:val="24"/>
                <w:rtl/>
              </w:rPr>
              <w:t>أ</w:t>
            </w:r>
            <w:r>
              <w:rPr>
                <w:spacing w:val="60"/>
                <w:sz w:val="24"/>
                <w:szCs w:val="24"/>
              </w:rPr>
              <w:t xml:space="preserve"> </w:t>
            </w:r>
            <w:r>
              <w:rPr>
                <w:sz w:val="24"/>
                <w:szCs w:val="24"/>
              </w:rPr>
              <w:t>=</w:t>
            </w:r>
            <w:r>
              <w:rPr>
                <w:spacing w:val="-9"/>
                <w:sz w:val="24"/>
                <w:szCs w:val="24"/>
              </w:rPr>
              <w:t xml:space="preserve"> </w:t>
            </w:r>
            <w:r>
              <w:rPr>
                <w:spacing w:val="-4"/>
                <w:sz w:val="24"/>
                <w:szCs w:val="24"/>
              </w:rPr>
              <w:t>Alif</w:t>
            </w:r>
          </w:p>
        </w:tc>
        <w:tc>
          <w:tcPr>
            <w:tcW w:w="1470" w:type="dxa"/>
          </w:tcPr>
          <w:p w14:paraId="347FC6FC" w14:textId="77777777" w:rsidR="003D2604" w:rsidRDefault="003D2604" w:rsidP="009B563B">
            <w:pPr>
              <w:pStyle w:val="TableParagraph"/>
              <w:ind w:left="20" w:right="7"/>
              <w:rPr>
                <w:sz w:val="24"/>
                <w:szCs w:val="24"/>
              </w:rPr>
            </w:pPr>
            <w:r>
              <w:rPr>
                <w:sz w:val="24"/>
                <w:szCs w:val="24"/>
                <w:rtl/>
              </w:rPr>
              <w:t>خ</w:t>
            </w:r>
            <w:r>
              <w:rPr>
                <w:spacing w:val="-4"/>
                <w:sz w:val="24"/>
                <w:szCs w:val="24"/>
              </w:rPr>
              <w:t xml:space="preserve"> </w:t>
            </w:r>
            <w:r>
              <w:rPr>
                <w:sz w:val="24"/>
                <w:szCs w:val="24"/>
              </w:rPr>
              <w:t>=</w:t>
            </w:r>
            <w:r>
              <w:rPr>
                <w:spacing w:val="-1"/>
                <w:sz w:val="24"/>
                <w:szCs w:val="24"/>
              </w:rPr>
              <w:t xml:space="preserve"> </w:t>
            </w:r>
            <w:r>
              <w:rPr>
                <w:spacing w:val="-5"/>
                <w:sz w:val="24"/>
                <w:szCs w:val="24"/>
              </w:rPr>
              <w:t>Kha</w:t>
            </w:r>
          </w:p>
        </w:tc>
        <w:tc>
          <w:tcPr>
            <w:tcW w:w="1467" w:type="dxa"/>
          </w:tcPr>
          <w:p w14:paraId="250183F8" w14:textId="77777777" w:rsidR="003D2604" w:rsidRDefault="003D2604" w:rsidP="009B563B">
            <w:pPr>
              <w:pStyle w:val="TableParagraph"/>
              <w:ind w:left="80" w:right="65"/>
              <w:rPr>
                <w:sz w:val="24"/>
                <w:szCs w:val="24"/>
              </w:rPr>
            </w:pPr>
            <w:r>
              <w:rPr>
                <w:sz w:val="24"/>
                <w:szCs w:val="24"/>
                <w:rtl/>
              </w:rPr>
              <w:t>ش</w:t>
            </w:r>
            <w:r>
              <w:rPr>
                <w:spacing w:val="57"/>
                <w:sz w:val="24"/>
                <w:szCs w:val="24"/>
              </w:rPr>
              <w:t xml:space="preserve"> </w:t>
            </w:r>
            <w:r>
              <w:rPr>
                <w:sz w:val="24"/>
                <w:szCs w:val="24"/>
              </w:rPr>
              <w:t>=</w:t>
            </w:r>
            <w:r>
              <w:rPr>
                <w:spacing w:val="-4"/>
                <w:sz w:val="24"/>
                <w:szCs w:val="24"/>
              </w:rPr>
              <w:t xml:space="preserve"> </w:t>
            </w:r>
            <w:r>
              <w:rPr>
                <w:spacing w:val="-5"/>
                <w:sz w:val="24"/>
                <w:szCs w:val="24"/>
              </w:rPr>
              <w:t>Sya</w:t>
            </w:r>
          </w:p>
        </w:tc>
        <w:tc>
          <w:tcPr>
            <w:tcW w:w="1471" w:type="dxa"/>
          </w:tcPr>
          <w:p w14:paraId="46309371" w14:textId="77777777" w:rsidR="003D2604" w:rsidRDefault="003D2604" w:rsidP="009B563B">
            <w:pPr>
              <w:pStyle w:val="TableParagraph"/>
              <w:ind w:left="16"/>
              <w:rPr>
                <w:sz w:val="24"/>
                <w:szCs w:val="24"/>
              </w:rPr>
            </w:pPr>
            <w:r>
              <w:rPr>
                <w:sz w:val="24"/>
                <w:szCs w:val="24"/>
                <w:rtl/>
              </w:rPr>
              <w:t>غ</w:t>
            </w:r>
            <w:r>
              <w:rPr>
                <w:spacing w:val="56"/>
                <w:sz w:val="24"/>
                <w:szCs w:val="24"/>
              </w:rPr>
              <w:t xml:space="preserve"> </w:t>
            </w:r>
            <w:r>
              <w:rPr>
                <w:sz w:val="24"/>
                <w:szCs w:val="24"/>
              </w:rPr>
              <w:t>=</w:t>
            </w:r>
            <w:r>
              <w:rPr>
                <w:spacing w:val="-1"/>
                <w:sz w:val="24"/>
                <w:szCs w:val="24"/>
              </w:rPr>
              <w:t xml:space="preserve"> </w:t>
            </w:r>
            <w:r>
              <w:rPr>
                <w:spacing w:val="-5"/>
                <w:sz w:val="24"/>
                <w:szCs w:val="24"/>
              </w:rPr>
              <w:t>Gha</w:t>
            </w:r>
          </w:p>
        </w:tc>
        <w:tc>
          <w:tcPr>
            <w:tcW w:w="1467" w:type="dxa"/>
          </w:tcPr>
          <w:p w14:paraId="5095216E" w14:textId="77777777" w:rsidR="003D2604" w:rsidRDefault="003D2604" w:rsidP="009B563B">
            <w:pPr>
              <w:pStyle w:val="TableParagraph"/>
              <w:ind w:left="114"/>
              <w:jc w:val="left"/>
              <w:rPr>
                <w:sz w:val="24"/>
                <w:szCs w:val="24"/>
              </w:rPr>
            </w:pPr>
            <w:r>
              <w:rPr>
                <w:sz w:val="24"/>
                <w:szCs w:val="24"/>
                <w:rtl/>
              </w:rPr>
              <w:t>ن</w:t>
            </w:r>
            <w:r>
              <w:rPr>
                <w:sz w:val="24"/>
                <w:szCs w:val="24"/>
              </w:rPr>
              <w:t xml:space="preserve"> =</w:t>
            </w:r>
            <w:r>
              <w:rPr>
                <w:spacing w:val="-1"/>
                <w:sz w:val="24"/>
                <w:szCs w:val="24"/>
              </w:rPr>
              <w:t xml:space="preserve"> </w:t>
            </w:r>
            <w:r>
              <w:rPr>
                <w:spacing w:val="-5"/>
                <w:sz w:val="24"/>
                <w:szCs w:val="24"/>
              </w:rPr>
              <w:t>Na</w:t>
            </w:r>
          </w:p>
        </w:tc>
      </w:tr>
      <w:tr w:rsidR="003D2604" w14:paraId="5F2318F3" w14:textId="77777777" w:rsidTr="009B563B">
        <w:trPr>
          <w:trHeight w:val="412"/>
        </w:trPr>
        <w:tc>
          <w:tcPr>
            <w:tcW w:w="1469" w:type="dxa"/>
          </w:tcPr>
          <w:p w14:paraId="4B58A5FE" w14:textId="77777777" w:rsidR="003D2604" w:rsidRDefault="003D2604" w:rsidP="009B563B">
            <w:pPr>
              <w:pStyle w:val="TableParagraph"/>
              <w:spacing w:line="273" w:lineRule="exact"/>
              <w:ind w:left="17" w:right="6"/>
              <w:rPr>
                <w:sz w:val="24"/>
                <w:szCs w:val="24"/>
              </w:rPr>
            </w:pPr>
            <w:r>
              <w:rPr>
                <w:sz w:val="24"/>
                <w:szCs w:val="24"/>
                <w:rtl/>
              </w:rPr>
              <w:t>ب</w:t>
            </w:r>
            <w:r>
              <w:rPr>
                <w:spacing w:val="-1"/>
                <w:sz w:val="24"/>
                <w:szCs w:val="24"/>
              </w:rPr>
              <w:t xml:space="preserve"> </w:t>
            </w:r>
            <w:r>
              <w:rPr>
                <w:sz w:val="24"/>
                <w:szCs w:val="24"/>
              </w:rPr>
              <w:t>=</w:t>
            </w:r>
            <w:r>
              <w:rPr>
                <w:spacing w:val="-1"/>
                <w:sz w:val="24"/>
                <w:szCs w:val="24"/>
              </w:rPr>
              <w:t xml:space="preserve"> </w:t>
            </w:r>
            <w:r>
              <w:rPr>
                <w:spacing w:val="-5"/>
                <w:sz w:val="24"/>
                <w:szCs w:val="24"/>
              </w:rPr>
              <w:t>Ba</w:t>
            </w:r>
          </w:p>
        </w:tc>
        <w:tc>
          <w:tcPr>
            <w:tcW w:w="1470" w:type="dxa"/>
          </w:tcPr>
          <w:p w14:paraId="22E4D3EC" w14:textId="77777777" w:rsidR="003D2604" w:rsidRDefault="003D2604" w:rsidP="009B563B">
            <w:pPr>
              <w:pStyle w:val="TableParagraph"/>
              <w:spacing w:line="273" w:lineRule="exact"/>
              <w:ind w:left="20" w:right="6"/>
              <w:rPr>
                <w:sz w:val="24"/>
                <w:szCs w:val="24"/>
              </w:rPr>
            </w:pPr>
            <w:r>
              <w:rPr>
                <w:sz w:val="24"/>
                <w:szCs w:val="24"/>
                <w:rtl/>
              </w:rPr>
              <w:t>د</w:t>
            </w:r>
            <w:r>
              <w:rPr>
                <w:sz w:val="24"/>
                <w:szCs w:val="24"/>
              </w:rPr>
              <w:t xml:space="preserve"> =</w:t>
            </w:r>
            <w:r>
              <w:rPr>
                <w:spacing w:val="-1"/>
                <w:sz w:val="24"/>
                <w:szCs w:val="24"/>
              </w:rPr>
              <w:t xml:space="preserve"> </w:t>
            </w:r>
            <w:r>
              <w:rPr>
                <w:spacing w:val="-5"/>
                <w:sz w:val="24"/>
                <w:szCs w:val="24"/>
              </w:rPr>
              <w:t>Da</w:t>
            </w:r>
          </w:p>
        </w:tc>
        <w:tc>
          <w:tcPr>
            <w:tcW w:w="1467" w:type="dxa"/>
          </w:tcPr>
          <w:p w14:paraId="3FA2C59F" w14:textId="77777777" w:rsidR="003D2604" w:rsidRDefault="003D2604" w:rsidP="009B563B">
            <w:pPr>
              <w:pStyle w:val="TableParagraph"/>
              <w:spacing w:line="273" w:lineRule="exact"/>
              <w:ind w:left="80" w:right="51"/>
              <w:rPr>
                <w:sz w:val="24"/>
                <w:szCs w:val="24"/>
              </w:rPr>
            </w:pPr>
            <w:r>
              <w:rPr>
                <w:sz w:val="24"/>
                <w:szCs w:val="24"/>
                <w:rtl/>
              </w:rPr>
              <w:t>ص</w:t>
            </w:r>
            <w:r>
              <w:rPr>
                <w:sz w:val="24"/>
                <w:szCs w:val="24"/>
              </w:rPr>
              <w:t xml:space="preserve"> =</w:t>
            </w:r>
            <w:r>
              <w:rPr>
                <w:spacing w:val="-1"/>
                <w:sz w:val="24"/>
                <w:szCs w:val="24"/>
              </w:rPr>
              <w:t xml:space="preserve"> </w:t>
            </w:r>
            <w:r>
              <w:rPr>
                <w:spacing w:val="-5"/>
                <w:sz w:val="24"/>
                <w:szCs w:val="24"/>
              </w:rPr>
              <w:t>Sha</w:t>
            </w:r>
          </w:p>
        </w:tc>
        <w:tc>
          <w:tcPr>
            <w:tcW w:w="1471" w:type="dxa"/>
          </w:tcPr>
          <w:p w14:paraId="62844A23" w14:textId="77777777" w:rsidR="003D2604" w:rsidRDefault="003D2604" w:rsidP="009B563B">
            <w:pPr>
              <w:pStyle w:val="TableParagraph"/>
              <w:spacing w:line="273" w:lineRule="exact"/>
              <w:ind w:left="16" w:right="4"/>
              <w:rPr>
                <w:sz w:val="24"/>
                <w:szCs w:val="24"/>
              </w:rPr>
            </w:pPr>
            <w:r>
              <w:rPr>
                <w:sz w:val="24"/>
                <w:szCs w:val="24"/>
                <w:rtl/>
              </w:rPr>
              <w:t>ف</w:t>
            </w:r>
            <w:r>
              <w:rPr>
                <w:sz w:val="24"/>
                <w:szCs w:val="24"/>
              </w:rPr>
              <w:t xml:space="preserve"> =</w:t>
            </w:r>
            <w:r>
              <w:rPr>
                <w:spacing w:val="-4"/>
                <w:sz w:val="24"/>
                <w:szCs w:val="24"/>
              </w:rPr>
              <w:t xml:space="preserve"> </w:t>
            </w:r>
            <w:r>
              <w:rPr>
                <w:spacing w:val="-5"/>
                <w:sz w:val="24"/>
                <w:szCs w:val="24"/>
              </w:rPr>
              <w:t>Fa</w:t>
            </w:r>
          </w:p>
        </w:tc>
        <w:tc>
          <w:tcPr>
            <w:tcW w:w="1467" w:type="dxa"/>
          </w:tcPr>
          <w:p w14:paraId="081D17B4" w14:textId="77777777" w:rsidR="003D2604" w:rsidRDefault="003D2604" w:rsidP="009B563B">
            <w:pPr>
              <w:pStyle w:val="TableParagraph"/>
              <w:spacing w:line="273" w:lineRule="exact"/>
              <w:ind w:left="114"/>
              <w:jc w:val="left"/>
              <w:rPr>
                <w:sz w:val="24"/>
                <w:szCs w:val="24"/>
              </w:rPr>
            </w:pPr>
            <w:r>
              <w:rPr>
                <w:sz w:val="24"/>
                <w:szCs w:val="24"/>
                <w:rtl/>
              </w:rPr>
              <w:t>و</w:t>
            </w:r>
            <w:r>
              <w:rPr>
                <w:spacing w:val="-1"/>
                <w:sz w:val="24"/>
                <w:szCs w:val="24"/>
              </w:rPr>
              <w:t xml:space="preserve"> </w:t>
            </w:r>
            <w:r>
              <w:rPr>
                <w:sz w:val="24"/>
                <w:szCs w:val="24"/>
              </w:rPr>
              <w:t>=</w:t>
            </w:r>
            <w:r>
              <w:rPr>
                <w:spacing w:val="-1"/>
                <w:sz w:val="24"/>
                <w:szCs w:val="24"/>
              </w:rPr>
              <w:t xml:space="preserve"> </w:t>
            </w:r>
            <w:r>
              <w:rPr>
                <w:spacing w:val="-5"/>
                <w:sz w:val="24"/>
                <w:szCs w:val="24"/>
              </w:rPr>
              <w:t>Wau</w:t>
            </w:r>
          </w:p>
        </w:tc>
      </w:tr>
      <w:tr w:rsidR="003D2604" w14:paraId="09745025" w14:textId="77777777" w:rsidTr="009B563B">
        <w:trPr>
          <w:trHeight w:val="415"/>
        </w:trPr>
        <w:tc>
          <w:tcPr>
            <w:tcW w:w="1469" w:type="dxa"/>
          </w:tcPr>
          <w:p w14:paraId="608103D5" w14:textId="77777777" w:rsidR="003D2604" w:rsidRDefault="003D2604" w:rsidP="009B563B">
            <w:pPr>
              <w:pStyle w:val="TableParagraph"/>
              <w:ind w:left="17" w:right="3"/>
              <w:rPr>
                <w:sz w:val="24"/>
                <w:szCs w:val="24"/>
              </w:rPr>
            </w:pPr>
            <w:r>
              <w:rPr>
                <w:sz w:val="24"/>
                <w:szCs w:val="24"/>
                <w:rtl/>
              </w:rPr>
              <w:t>ت</w:t>
            </w:r>
            <w:r>
              <w:rPr>
                <w:spacing w:val="-1"/>
                <w:sz w:val="24"/>
                <w:szCs w:val="24"/>
              </w:rPr>
              <w:t xml:space="preserve"> </w:t>
            </w:r>
            <w:r>
              <w:rPr>
                <w:sz w:val="24"/>
                <w:szCs w:val="24"/>
              </w:rPr>
              <w:t>=</w:t>
            </w:r>
            <w:r>
              <w:rPr>
                <w:spacing w:val="-1"/>
                <w:sz w:val="24"/>
                <w:szCs w:val="24"/>
              </w:rPr>
              <w:t xml:space="preserve"> </w:t>
            </w:r>
            <w:r>
              <w:rPr>
                <w:spacing w:val="-5"/>
                <w:sz w:val="24"/>
                <w:szCs w:val="24"/>
              </w:rPr>
              <w:t>Ta</w:t>
            </w:r>
          </w:p>
        </w:tc>
        <w:tc>
          <w:tcPr>
            <w:tcW w:w="1470" w:type="dxa"/>
          </w:tcPr>
          <w:p w14:paraId="507CEF40" w14:textId="77777777" w:rsidR="003D2604" w:rsidRDefault="003D2604" w:rsidP="009B563B">
            <w:pPr>
              <w:pStyle w:val="TableParagraph"/>
              <w:ind w:left="20" w:right="3"/>
              <w:rPr>
                <w:sz w:val="24"/>
                <w:szCs w:val="24"/>
              </w:rPr>
            </w:pPr>
            <w:r>
              <w:rPr>
                <w:sz w:val="24"/>
                <w:szCs w:val="24"/>
                <w:rtl/>
              </w:rPr>
              <w:t>ذ</w:t>
            </w:r>
            <w:r>
              <w:rPr>
                <w:sz w:val="24"/>
                <w:szCs w:val="24"/>
              </w:rPr>
              <w:t xml:space="preserve"> =</w:t>
            </w:r>
            <w:r>
              <w:rPr>
                <w:spacing w:val="-1"/>
                <w:sz w:val="24"/>
                <w:szCs w:val="24"/>
              </w:rPr>
              <w:t xml:space="preserve"> </w:t>
            </w:r>
            <w:r>
              <w:rPr>
                <w:spacing w:val="-5"/>
                <w:sz w:val="24"/>
                <w:szCs w:val="24"/>
              </w:rPr>
              <w:t>Dza</w:t>
            </w:r>
          </w:p>
        </w:tc>
        <w:tc>
          <w:tcPr>
            <w:tcW w:w="1467" w:type="dxa"/>
          </w:tcPr>
          <w:p w14:paraId="63F3412A" w14:textId="77777777" w:rsidR="003D2604" w:rsidRDefault="003D2604" w:rsidP="009B563B">
            <w:pPr>
              <w:pStyle w:val="TableParagraph"/>
              <w:ind w:left="80" w:right="64"/>
              <w:rPr>
                <w:sz w:val="24"/>
                <w:szCs w:val="24"/>
              </w:rPr>
            </w:pPr>
            <w:r>
              <w:rPr>
                <w:sz w:val="24"/>
                <w:szCs w:val="24"/>
                <w:rtl/>
              </w:rPr>
              <w:t>ض</w:t>
            </w:r>
            <w:r>
              <w:rPr>
                <w:sz w:val="24"/>
                <w:szCs w:val="24"/>
              </w:rPr>
              <w:t xml:space="preserve"> =</w:t>
            </w:r>
            <w:r>
              <w:rPr>
                <w:spacing w:val="-4"/>
                <w:sz w:val="24"/>
                <w:szCs w:val="24"/>
              </w:rPr>
              <w:t xml:space="preserve"> </w:t>
            </w:r>
            <w:r>
              <w:rPr>
                <w:spacing w:val="-5"/>
                <w:sz w:val="24"/>
                <w:szCs w:val="24"/>
              </w:rPr>
              <w:t>Dal</w:t>
            </w:r>
          </w:p>
        </w:tc>
        <w:tc>
          <w:tcPr>
            <w:tcW w:w="1471" w:type="dxa"/>
          </w:tcPr>
          <w:p w14:paraId="0617DD13" w14:textId="77777777" w:rsidR="003D2604" w:rsidRDefault="003D2604" w:rsidP="009B563B">
            <w:pPr>
              <w:pStyle w:val="TableParagraph"/>
              <w:ind w:left="16" w:right="1"/>
              <w:rPr>
                <w:sz w:val="24"/>
                <w:szCs w:val="24"/>
              </w:rPr>
            </w:pPr>
            <w:r>
              <w:rPr>
                <w:sz w:val="24"/>
                <w:szCs w:val="24"/>
                <w:rtl/>
              </w:rPr>
              <w:t>ق</w:t>
            </w:r>
            <w:r>
              <w:rPr>
                <w:spacing w:val="57"/>
                <w:sz w:val="24"/>
                <w:szCs w:val="24"/>
              </w:rPr>
              <w:t xml:space="preserve"> </w:t>
            </w:r>
            <w:r>
              <w:rPr>
                <w:sz w:val="24"/>
                <w:szCs w:val="24"/>
              </w:rPr>
              <w:t>=</w:t>
            </w:r>
            <w:r>
              <w:rPr>
                <w:spacing w:val="-1"/>
                <w:sz w:val="24"/>
                <w:szCs w:val="24"/>
              </w:rPr>
              <w:t xml:space="preserve"> </w:t>
            </w:r>
            <w:r>
              <w:rPr>
                <w:spacing w:val="-5"/>
                <w:sz w:val="24"/>
                <w:szCs w:val="24"/>
              </w:rPr>
              <w:t>Qa</w:t>
            </w:r>
          </w:p>
        </w:tc>
        <w:tc>
          <w:tcPr>
            <w:tcW w:w="1467" w:type="dxa"/>
          </w:tcPr>
          <w:p w14:paraId="5C88DC32" w14:textId="77777777" w:rsidR="003D2604" w:rsidRDefault="003D2604" w:rsidP="009B563B">
            <w:pPr>
              <w:pStyle w:val="TableParagraph"/>
              <w:ind w:left="114"/>
              <w:jc w:val="left"/>
              <w:rPr>
                <w:sz w:val="24"/>
                <w:szCs w:val="24"/>
              </w:rPr>
            </w:pPr>
            <w:r>
              <w:rPr>
                <w:sz w:val="24"/>
                <w:szCs w:val="24"/>
                <w:rtl/>
              </w:rPr>
              <w:t>ﮬ</w:t>
            </w:r>
            <w:r>
              <w:rPr>
                <w:spacing w:val="-3"/>
                <w:sz w:val="24"/>
                <w:szCs w:val="24"/>
              </w:rPr>
              <w:t xml:space="preserve"> </w:t>
            </w:r>
            <w:r>
              <w:rPr>
                <w:sz w:val="24"/>
                <w:szCs w:val="24"/>
              </w:rPr>
              <w:t>=</w:t>
            </w:r>
            <w:r>
              <w:rPr>
                <w:spacing w:val="-1"/>
                <w:sz w:val="24"/>
                <w:szCs w:val="24"/>
              </w:rPr>
              <w:t xml:space="preserve"> </w:t>
            </w:r>
            <w:r>
              <w:rPr>
                <w:spacing w:val="-5"/>
                <w:sz w:val="24"/>
                <w:szCs w:val="24"/>
              </w:rPr>
              <w:t>Ha</w:t>
            </w:r>
          </w:p>
        </w:tc>
      </w:tr>
      <w:tr w:rsidR="003D2604" w14:paraId="1315155E" w14:textId="77777777" w:rsidTr="009B563B">
        <w:trPr>
          <w:trHeight w:val="414"/>
        </w:trPr>
        <w:tc>
          <w:tcPr>
            <w:tcW w:w="1469" w:type="dxa"/>
          </w:tcPr>
          <w:p w14:paraId="4E335715" w14:textId="77777777" w:rsidR="003D2604" w:rsidRDefault="003D2604" w:rsidP="009B563B">
            <w:pPr>
              <w:pStyle w:val="TableParagraph"/>
              <w:ind w:left="17" w:right="1"/>
              <w:rPr>
                <w:sz w:val="24"/>
                <w:szCs w:val="24"/>
              </w:rPr>
            </w:pPr>
            <w:r>
              <w:rPr>
                <w:sz w:val="24"/>
                <w:szCs w:val="24"/>
                <w:rtl/>
              </w:rPr>
              <w:t>ث</w:t>
            </w:r>
            <w:r>
              <w:rPr>
                <w:spacing w:val="-4"/>
                <w:sz w:val="24"/>
                <w:szCs w:val="24"/>
              </w:rPr>
              <w:t xml:space="preserve"> </w:t>
            </w:r>
            <w:r>
              <w:rPr>
                <w:sz w:val="24"/>
                <w:szCs w:val="24"/>
              </w:rPr>
              <w:t>=</w:t>
            </w:r>
            <w:r>
              <w:rPr>
                <w:spacing w:val="-1"/>
                <w:sz w:val="24"/>
                <w:szCs w:val="24"/>
              </w:rPr>
              <w:t xml:space="preserve"> </w:t>
            </w:r>
            <w:r>
              <w:rPr>
                <w:spacing w:val="-5"/>
                <w:sz w:val="24"/>
                <w:szCs w:val="24"/>
              </w:rPr>
              <w:t>Sa</w:t>
            </w:r>
          </w:p>
        </w:tc>
        <w:tc>
          <w:tcPr>
            <w:tcW w:w="1470" w:type="dxa"/>
          </w:tcPr>
          <w:p w14:paraId="22A0B0F3" w14:textId="77777777" w:rsidR="003D2604" w:rsidRDefault="003D2604" w:rsidP="009B563B">
            <w:pPr>
              <w:pStyle w:val="TableParagraph"/>
              <w:ind w:left="20"/>
              <w:rPr>
                <w:sz w:val="24"/>
                <w:szCs w:val="24"/>
              </w:rPr>
            </w:pPr>
            <w:r>
              <w:rPr>
                <w:sz w:val="24"/>
                <w:szCs w:val="24"/>
                <w:rtl/>
              </w:rPr>
              <w:t>ر</w:t>
            </w:r>
            <w:r>
              <w:rPr>
                <w:sz w:val="24"/>
                <w:szCs w:val="24"/>
              </w:rPr>
              <w:t xml:space="preserve"> =</w:t>
            </w:r>
            <w:r>
              <w:rPr>
                <w:spacing w:val="-1"/>
                <w:sz w:val="24"/>
                <w:szCs w:val="24"/>
              </w:rPr>
              <w:t xml:space="preserve"> </w:t>
            </w:r>
            <w:r>
              <w:rPr>
                <w:spacing w:val="-5"/>
                <w:sz w:val="24"/>
                <w:szCs w:val="24"/>
              </w:rPr>
              <w:t>Ra</w:t>
            </w:r>
          </w:p>
        </w:tc>
        <w:tc>
          <w:tcPr>
            <w:tcW w:w="1467" w:type="dxa"/>
          </w:tcPr>
          <w:p w14:paraId="09B11879" w14:textId="77777777" w:rsidR="003D2604" w:rsidRDefault="003D2604" w:rsidP="009B563B">
            <w:pPr>
              <w:pStyle w:val="TableParagraph"/>
              <w:ind w:left="80" w:right="2"/>
              <w:rPr>
                <w:sz w:val="24"/>
                <w:szCs w:val="24"/>
              </w:rPr>
            </w:pPr>
            <w:r>
              <w:rPr>
                <w:sz w:val="24"/>
                <w:szCs w:val="24"/>
                <w:rtl/>
              </w:rPr>
              <w:t>ط</w:t>
            </w:r>
            <w:r>
              <w:rPr>
                <w:spacing w:val="59"/>
                <w:sz w:val="24"/>
                <w:szCs w:val="24"/>
              </w:rPr>
              <w:t xml:space="preserve"> </w:t>
            </w:r>
            <w:r>
              <w:rPr>
                <w:sz w:val="24"/>
                <w:szCs w:val="24"/>
              </w:rPr>
              <w:t>=</w:t>
            </w:r>
            <w:r>
              <w:rPr>
                <w:spacing w:val="-1"/>
                <w:sz w:val="24"/>
                <w:szCs w:val="24"/>
              </w:rPr>
              <w:t xml:space="preserve"> </w:t>
            </w:r>
            <w:r>
              <w:rPr>
                <w:spacing w:val="-5"/>
                <w:sz w:val="24"/>
                <w:szCs w:val="24"/>
              </w:rPr>
              <w:t>Tha</w:t>
            </w:r>
          </w:p>
        </w:tc>
        <w:tc>
          <w:tcPr>
            <w:tcW w:w="1471" w:type="dxa"/>
          </w:tcPr>
          <w:p w14:paraId="6A04844A" w14:textId="77777777" w:rsidR="003D2604" w:rsidRDefault="003D2604" w:rsidP="009B563B">
            <w:pPr>
              <w:pStyle w:val="TableParagraph"/>
              <w:ind w:left="16" w:right="1"/>
              <w:rPr>
                <w:sz w:val="24"/>
                <w:szCs w:val="24"/>
              </w:rPr>
            </w:pPr>
            <w:r>
              <w:rPr>
                <w:sz w:val="24"/>
                <w:szCs w:val="24"/>
                <w:rtl/>
              </w:rPr>
              <w:t>ك</w:t>
            </w:r>
            <w:r>
              <w:rPr>
                <w:spacing w:val="57"/>
                <w:sz w:val="24"/>
                <w:szCs w:val="24"/>
              </w:rPr>
              <w:t xml:space="preserve"> </w:t>
            </w:r>
            <w:r>
              <w:rPr>
                <w:sz w:val="24"/>
                <w:szCs w:val="24"/>
              </w:rPr>
              <w:t>=</w:t>
            </w:r>
            <w:r>
              <w:rPr>
                <w:spacing w:val="-1"/>
                <w:sz w:val="24"/>
                <w:szCs w:val="24"/>
              </w:rPr>
              <w:t xml:space="preserve"> </w:t>
            </w:r>
            <w:r>
              <w:rPr>
                <w:spacing w:val="-5"/>
                <w:sz w:val="24"/>
                <w:szCs w:val="24"/>
              </w:rPr>
              <w:t>Ka</w:t>
            </w:r>
          </w:p>
        </w:tc>
        <w:tc>
          <w:tcPr>
            <w:tcW w:w="1467" w:type="dxa"/>
          </w:tcPr>
          <w:p w14:paraId="4A53FCC6" w14:textId="77777777" w:rsidR="003D2604" w:rsidRDefault="003D2604" w:rsidP="009B563B">
            <w:pPr>
              <w:pStyle w:val="TableParagraph"/>
              <w:ind w:left="114"/>
              <w:jc w:val="left"/>
              <w:rPr>
                <w:sz w:val="24"/>
                <w:szCs w:val="24"/>
              </w:rPr>
            </w:pPr>
            <w:r>
              <w:rPr>
                <w:sz w:val="24"/>
                <w:szCs w:val="24"/>
                <w:rtl/>
              </w:rPr>
              <w:t>ء</w:t>
            </w:r>
            <w:r>
              <w:rPr>
                <w:spacing w:val="-6"/>
                <w:sz w:val="24"/>
                <w:szCs w:val="24"/>
              </w:rPr>
              <w:t xml:space="preserve"> </w:t>
            </w:r>
            <w:r>
              <w:rPr>
                <w:sz w:val="24"/>
                <w:szCs w:val="24"/>
              </w:rPr>
              <w:t>=</w:t>
            </w:r>
            <w:r>
              <w:rPr>
                <w:spacing w:val="-4"/>
                <w:sz w:val="24"/>
                <w:szCs w:val="24"/>
              </w:rPr>
              <w:t xml:space="preserve"> </w:t>
            </w:r>
            <w:r>
              <w:rPr>
                <w:spacing w:val="-2"/>
                <w:sz w:val="24"/>
                <w:szCs w:val="24"/>
              </w:rPr>
              <w:t>Hamzah</w:t>
            </w:r>
          </w:p>
        </w:tc>
      </w:tr>
      <w:tr w:rsidR="003D2604" w14:paraId="728EDC0B" w14:textId="77777777" w:rsidTr="009B563B">
        <w:trPr>
          <w:trHeight w:val="410"/>
        </w:trPr>
        <w:tc>
          <w:tcPr>
            <w:tcW w:w="1469" w:type="dxa"/>
          </w:tcPr>
          <w:p w14:paraId="2AE17E08" w14:textId="77777777" w:rsidR="003D2604" w:rsidRDefault="003D2604" w:rsidP="009B563B">
            <w:pPr>
              <w:pStyle w:val="TableParagraph"/>
              <w:ind w:left="17"/>
              <w:rPr>
                <w:sz w:val="24"/>
                <w:szCs w:val="24"/>
              </w:rPr>
            </w:pPr>
            <w:r>
              <w:rPr>
                <w:sz w:val="24"/>
                <w:szCs w:val="24"/>
                <w:rtl/>
              </w:rPr>
              <w:t>ج</w:t>
            </w:r>
            <w:r>
              <w:rPr>
                <w:spacing w:val="-1"/>
                <w:sz w:val="24"/>
                <w:szCs w:val="24"/>
              </w:rPr>
              <w:t xml:space="preserve"> </w:t>
            </w:r>
            <w:r>
              <w:rPr>
                <w:sz w:val="24"/>
                <w:szCs w:val="24"/>
              </w:rPr>
              <w:t>=</w:t>
            </w:r>
            <w:r>
              <w:rPr>
                <w:spacing w:val="-1"/>
                <w:sz w:val="24"/>
                <w:szCs w:val="24"/>
              </w:rPr>
              <w:t xml:space="preserve"> </w:t>
            </w:r>
            <w:r>
              <w:rPr>
                <w:spacing w:val="-5"/>
                <w:sz w:val="24"/>
                <w:szCs w:val="24"/>
              </w:rPr>
              <w:t>Jim</w:t>
            </w:r>
          </w:p>
        </w:tc>
        <w:tc>
          <w:tcPr>
            <w:tcW w:w="1470" w:type="dxa"/>
          </w:tcPr>
          <w:p w14:paraId="27ACCC4E" w14:textId="77777777" w:rsidR="003D2604" w:rsidRDefault="003D2604" w:rsidP="009B563B">
            <w:pPr>
              <w:pStyle w:val="TableParagraph"/>
              <w:ind w:left="20" w:right="11"/>
              <w:rPr>
                <w:sz w:val="24"/>
                <w:szCs w:val="24"/>
              </w:rPr>
            </w:pPr>
            <w:r>
              <w:rPr>
                <w:sz w:val="24"/>
                <w:szCs w:val="24"/>
                <w:rtl/>
              </w:rPr>
              <w:t>ز</w:t>
            </w:r>
            <w:r>
              <w:rPr>
                <w:sz w:val="24"/>
                <w:szCs w:val="24"/>
              </w:rPr>
              <w:t xml:space="preserve"> =</w:t>
            </w:r>
            <w:r>
              <w:rPr>
                <w:spacing w:val="-1"/>
                <w:sz w:val="24"/>
                <w:szCs w:val="24"/>
              </w:rPr>
              <w:t xml:space="preserve"> </w:t>
            </w:r>
            <w:r>
              <w:rPr>
                <w:spacing w:val="-5"/>
                <w:sz w:val="24"/>
                <w:szCs w:val="24"/>
              </w:rPr>
              <w:t>Za</w:t>
            </w:r>
          </w:p>
        </w:tc>
        <w:tc>
          <w:tcPr>
            <w:tcW w:w="1467" w:type="dxa"/>
          </w:tcPr>
          <w:p w14:paraId="2B26862F" w14:textId="77777777" w:rsidR="003D2604" w:rsidRDefault="003D2604" w:rsidP="009B563B">
            <w:pPr>
              <w:pStyle w:val="TableParagraph"/>
              <w:ind w:left="80"/>
              <w:rPr>
                <w:sz w:val="24"/>
                <w:szCs w:val="24"/>
              </w:rPr>
            </w:pPr>
            <w:r>
              <w:rPr>
                <w:sz w:val="24"/>
                <w:szCs w:val="24"/>
                <w:rtl/>
              </w:rPr>
              <w:t>ظ</w:t>
            </w:r>
            <w:r>
              <w:rPr>
                <w:spacing w:val="57"/>
                <w:sz w:val="24"/>
                <w:szCs w:val="24"/>
              </w:rPr>
              <w:t xml:space="preserve"> </w:t>
            </w:r>
            <w:r>
              <w:rPr>
                <w:sz w:val="24"/>
                <w:szCs w:val="24"/>
              </w:rPr>
              <w:t>=</w:t>
            </w:r>
            <w:r>
              <w:rPr>
                <w:spacing w:val="1"/>
                <w:sz w:val="24"/>
                <w:szCs w:val="24"/>
              </w:rPr>
              <w:t xml:space="preserve"> </w:t>
            </w:r>
            <w:r>
              <w:rPr>
                <w:spacing w:val="-5"/>
                <w:sz w:val="24"/>
                <w:szCs w:val="24"/>
              </w:rPr>
              <w:t>Za</w:t>
            </w:r>
          </w:p>
        </w:tc>
        <w:tc>
          <w:tcPr>
            <w:tcW w:w="1471" w:type="dxa"/>
          </w:tcPr>
          <w:p w14:paraId="7FF6753D" w14:textId="77777777" w:rsidR="003D2604" w:rsidRDefault="003D2604" w:rsidP="009B563B">
            <w:pPr>
              <w:pStyle w:val="TableParagraph"/>
              <w:ind w:left="16" w:right="1"/>
              <w:rPr>
                <w:sz w:val="24"/>
                <w:szCs w:val="24"/>
              </w:rPr>
            </w:pPr>
            <w:r>
              <w:rPr>
                <w:sz w:val="24"/>
                <w:szCs w:val="24"/>
                <w:rtl/>
              </w:rPr>
              <w:t>ل</w:t>
            </w:r>
            <w:r>
              <w:rPr>
                <w:spacing w:val="58"/>
                <w:sz w:val="24"/>
                <w:szCs w:val="24"/>
              </w:rPr>
              <w:t xml:space="preserve"> </w:t>
            </w:r>
            <w:r>
              <w:rPr>
                <w:sz w:val="24"/>
                <w:szCs w:val="24"/>
              </w:rPr>
              <w:t>=</w:t>
            </w:r>
            <w:r>
              <w:rPr>
                <w:spacing w:val="1"/>
                <w:sz w:val="24"/>
                <w:szCs w:val="24"/>
              </w:rPr>
              <w:t xml:space="preserve"> </w:t>
            </w:r>
            <w:r>
              <w:rPr>
                <w:spacing w:val="-5"/>
                <w:sz w:val="24"/>
                <w:szCs w:val="24"/>
              </w:rPr>
              <w:t>La</w:t>
            </w:r>
          </w:p>
        </w:tc>
        <w:tc>
          <w:tcPr>
            <w:tcW w:w="1467" w:type="dxa"/>
          </w:tcPr>
          <w:p w14:paraId="2CFC9FE5" w14:textId="77777777" w:rsidR="003D2604" w:rsidRDefault="003D2604" w:rsidP="009B563B">
            <w:pPr>
              <w:pStyle w:val="TableParagraph"/>
              <w:ind w:left="114"/>
              <w:jc w:val="left"/>
              <w:rPr>
                <w:sz w:val="24"/>
                <w:szCs w:val="24"/>
              </w:rPr>
            </w:pPr>
            <w:r>
              <w:rPr>
                <w:sz w:val="24"/>
                <w:szCs w:val="24"/>
                <w:rtl/>
              </w:rPr>
              <w:t>ي</w:t>
            </w:r>
            <w:r>
              <w:rPr>
                <w:sz w:val="24"/>
                <w:szCs w:val="24"/>
              </w:rPr>
              <w:t xml:space="preserve"> =</w:t>
            </w:r>
            <w:r>
              <w:rPr>
                <w:spacing w:val="-1"/>
                <w:sz w:val="24"/>
                <w:szCs w:val="24"/>
              </w:rPr>
              <w:t xml:space="preserve"> </w:t>
            </w:r>
            <w:r>
              <w:rPr>
                <w:spacing w:val="-5"/>
                <w:sz w:val="24"/>
                <w:szCs w:val="24"/>
              </w:rPr>
              <w:t>Ya</w:t>
            </w:r>
          </w:p>
        </w:tc>
      </w:tr>
      <w:tr w:rsidR="003D2604" w14:paraId="3470A0E6" w14:textId="77777777" w:rsidTr="009B563B">
        <w:trPr>
          <w:trHeight w:val="414"/>
        </w:trPr>
        <w:tc>
          <w:tcPr>
            <w:tcW w:w="1469" w:type="dxa"/>
          </w:tcPr>
          <w:p w14:paraId="6D9C999D" w14:textId="77777777" w:rsidR="003D2604" w:rsidRDefault="003D2604" w:rsidP="009B563B">
            <w:pPr>
              <w:pStyle w:val="TableParagraph"/>
              <w:spacing w:line="273" w:lineRule="exact"/>
              <w:ind w:left="17" w:right="5"/>
              <w:rPr>
                <w:sz w:val="24"/>
                <w:szCs w:val="24"/>
              </w:rPr>
            </w:pPr>
            <w:r>
              <w:rPr>
                <w:sz w:val="24"/>
                <w:szCs w:val="24"/>
                <w:rtl/>
              </w:rPr>
              <w:t>ح</w:t>
            </w:r>
            <w:r>
              <w:rPr>
                <w:spacing w:val="-4"/>
                <w:sz w:val="24"/>
                <w:szCs w:val="24"/>
              </w:rPr>
              <w:t xml:space="preserve"> </w:t>
            </w:r>
            <w:r>
              <w:rPr>
                <w:sz w:val="24"/>
                <w:szCs w:val="24"/>
              </w:rPr>
              <w:t>=</w:t>
            </w:r>
            <w:r>
              <w:rPr>
                <w:spacing w:val="-1"/>
                <w:sz w:val="24"/>
                <w:szCs w:val="24"/>
              </w:rPr>
              <w:t xml:space="preserve"> </w:t>
            </w:r>
            <w:r>
              <w:rPr>
                <w:spacing w:val="-5"/>
                <w:sz w:val="24"/>
                <w:szCs w:val="24"/>
              </w:rPr>
              <w:t>Ha</w:t>
            </w:r>
          </w:p>
        </w:tc>
        <w:tc>
          <w:tcPr>
            <w:tcW w:w="1470" w:type="dxa"/>
          </w:tcPr>
          <w:p w14:paraId="2BBE138C" w14:textId="77777777" w:rsidR="003D2604" w:rsidRDefault="003D2604" w:rsidP="009B563B">
            <w:pPr>
              <w:pStyle w:val="TableParagraph"/>
              <w:spacing w:line="273" w:lineRule="exact"/>
              <w:ind w:left="20" w:right="7"/>
              <w:rPr>
                <w:sz w:val="24"/>
                <w:szCs w:val="24"/>
              </w:rPr>
            </w:pPr>
            <w:r>
              <w:rPr>
                <w:sz w:val="24"/>
                <w:szCs w:val="24"/>
                <w:rtl/>
              </w:rPr>
              <w:t>س</w:t>
            </w:r>
            <w:r>
              <w:rPr>
                <w:spacing w:val="-3"/>
                <w:sz w:val="24"/>
                <w:szCs w:val="24"/>
              </w:rPr>
              <w:t xml:space="preserve"> </w:t>
            </w:r>
            <w:r>
              <w:rPr>
                <w:sz w:val="24"/>
                <w:szCs w:val="24"/>
              </w:rPr>
              <w:t>=</w:t>
            </w:r>
            <w:r>
              <w:rPr>
                <w:spacing w:val="-1"/>
                <w:sz w:val="24"/>
                <w:szCs w:val="24"/>
              </w:rPr>
              <w:t xml:space="preserve"> </w:t>
            </w:r>
            <w:r>
              <w:rPr>
                <w:spacing w:val="-5"/>
                <w:sz w:val="24"/>
                <w:szCs w:val="24"/>
              </w:rPr>
              <w:t>Sa</w:t>
            </w:r>
          </w:p>
        </w:tc>
        <w:tc>
          <w:tcPr>
            <w:tcW w:w="1467" w:type="dxa"/>
          </w:tcPr>
          <w:p w14:paraId="3600B0E9" w14:textId="77777777" w:rsidR="003D2604" w:rsidRDefault="003D2604" w:rsidP="009B563B">
            <w:pPr>
              <w:pStyle w:val="TableParagraph"/>
              <w:spacing w:line="273" w:lineRule="exact"/>
              <w:ind w:left="80" w:right="6"/>
              <w:rPr>
                <w:sz w:val="24"/>
                <w:szCs w:val="24"/>
              </w:rPr>
            </w:pPr>
            <w:r>
              <w:rPr>
                <w:sz w:val="24"/>
                <w:szCs w:val="24"/>
                <w:rtl/>
              </w:rPr>
              <w:t>ع</w:t>
            </w:r>
            <w:r>
              <w:rPr>
                <w:spacing w:val="59"/>
                <w:sz w:val="24"/>
                <w:szCs w:val="24"/>
              </w:rPr>
              <w:t xml:space="preserve"> </w:t>
            </w:r>
            <w:r>
              <w:rPr>
                <w:sz w:val="24"/>
                <w:szCs w:val="24"/>
              </w:rPr>
              <w:t>=</w:t>
            </w:r>
            <w:r>
              <w:rPr>
                <w:spacing w:val="-1"/>
                <w:sz w:val="24"/>
                <w:szCs w:val="24"/>
              </w:rPr>
              <w:t xml:space="preserve"> </w:t>
            </w:r>
            <w:r>
              <w:rPr>
                <w:spacing w:val="-5"/>
                <w:sz w:val="24"/>
                <w:szCs w:val="24"/>
              </w:rPr>
              <w:t>Ain</w:t>
            </w:r>
          </w:p>
        </w:tc>
        <w:tc>
          <w:tcPr>
            <w:tcW w:w="1471" w:type="dxa"/>
          </w:tcPr>
          <w:p w14:paraId="538FA652" w14:textId="77777777" w:rsidR="003D2604" w:rsidRDefault="003D2604" w:rsidP="009B563B">
            <w:pPr>
              <w:pStyle w:val="TableParagraph"/>
              <w:spacing w:line="273" w:lineRule="exact"/>
              <w:ind w:left="16"/>
              <w:rPr>
                <w:sz w:val="24"/>
                <w:szCs w:val="24"/>
              </w:rPr>
            </w:pPr>
            <w:r>
              <w:rPr>
                <w:sz w:val="24"/>
                <w:szCs w:val="24"/>
                <w:rtl/>
              </w:rPr>
              <w:t>م</w:t>
            </w:r>
            <w:r>
              <w:rPr>
                <w:spacing w:val="60"/>
                <w:sz w:val="24"/>
                <w:szCs w:val="24"/>
              </w:rPr>
              <w:t xml:space="preserve"> </w:t>
            </w:r>
            <w:r>
              <w:rPr>
                <w:sz w:val="24"/>
                <w:szCs w:val="24"/>
              </w:rPr>
              <w:t>=</w:t>
            </w:r>
            <w:r>
              <w:rPr>
                <w:spacing w:val="-1"/>
                <w:sz w:val="24"/>
                <w:szCs w:val="24"/>
              </w:rPr>
              <w:t xml:space="preserve"> </w:t>
            </w:r>
            <w:r>
              <w:rPr>
                <w:spacing w:val="-5"/>
                <w:sz w:val="24"/>
                <w:szCs w:val="24"/>
              </w:rPr>
              <w:t>Ma</w:t>
            </w:r>
          </w:p>
        </w:tc>
        <w:tc>
          <w:tcPr>
            <w:tcW w:w="1467" w:type="dxa"/>
          </w:tcPr>
          <w:p w14:paraId="48EC8329" w14:textId="77777777" w:rsidR="003D2604" w:rsidRDefault="003D2604" w:rsidP="009B563B">
            <w:pPr>
              <w:pStyle w:val="TableParagraph"/>
              <w:spacing w:line="240" w:lineRule="auto"/>
              <w:jc w:val="left"/>
              <w:rPr>
                <w:sz w:val="24"/>
              </w:rPr>
            </w:pPr>
          </w:p>
        </w:tc>
      </w:tr>
    </w:tbl>
    <w:p w14:paraId="29F32166" w14:textId="77777777" w:rsidR="003D2604" w:rsidRPr="003D2604" w:rsidRDefault="003D2604" w:rsidP="003D2604">
      <w:pPr>
        <w:spacing w:before="3" w:line="360" w:lineRule="auto"/>
        <w:ind w:right="980"/>
        <w:rPr>
          <w:rFonts w:asciiTheme="majorBidi" w:hAnsiTheme="majorBidi" w:cstheme="majorBidi"/>
          <w:bCs/>
          <w:spacing w:val="-4"/>
          <w:sz w:val="24"/>
          <w:szCs w:val="24"/>
          <w:lang w:val="pt-BR"/>
        </w:rPr>
      </w:pPr>
    </w:p>
    <w:p w14:paraId="69D80C2A" w14:textId="070EF834" w:rsidR="00EC11E7" w:rsidRDefault="00EC11E7">
      <w:pPr>
        <w:pStyle w:val="ListParagraph"/>
        <w:numPr>
          <w:ilvl w:val="0"/>
          <w:numId w:val="27"/>
        </w:numPr>
        <w:spacing w:before="3" w:line="360" w:lineRule="auto"/>
        <w:ind w:right="980"/>
        <w:rPr>
          <w:rFonts w:asciiTheme="majorBidi" w:hAnsiTheme="majorBidi" w:cstheme="majorBidi"/>
          <w:bCs/>
          <w:spacing w:val="-4"/>
          <w:sz w:val="24"/>
          <w:szCs w:val="24"/>
          <w:lang w:val="pt-BR"/>
        </w:rPr>
      </w:pPr>
      <w:r>
        <w:rPr>
          <w:rFonts w:asciiTheme="majorBidi" w:hAnsiTheme="majorBidi" w:cstheme="majorBidi"/>
          <w:bCs/>
          <w:spacing w:val="-4"/>
          <w:sz w:val="24"/>
          <w:szCs w:val="24"/>
          <w:lang w:val="pt-BR"/>
        </w:rPr>
        <w:t>Vokal</w:t>
      </w:r>
    </w:p>
    <w:tbl>
      <w:tblPr>
        <w:tblW w:w="0" w:type="auto"/>
        <w:tblInd w:w="2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1563"/>
        <w:gridCol w:w="2269"/>
      </w:tblGrid>
      <w:tr w:rsidR="003D2604" w14:paraId="0C5C20EE" w14:textId="77777777" w:rsidTr="009B563B">
        <w:trPr>
          <w:trHeight w:val="453"/>
        </w:trPr>
        <w:tc>
          <w:tcPr>
            <w:tcW w:w="1556" w:type="dxa"/>
          </w:tcPr>
          <w:p w14:paraId="1A1FEE7E" w14:textId="77777777" w:rsidR="003D2604" w:rsidRDefault="003D2604" w:rsidP="009B563B">
            <w:pPr>
              <w:pStyle w:val="TableParagraph"/>
              <w:ind w:left="19"/>
              <w:rPr>
                <w:b/>
                <w:sz w:val="24"/>
              </w:rPr>
            </w:pPr>
            <w:r>
              <w:rPr>
                <w:b/>
                <w:sz w:val="24"/>
              </w:rPr>
              <w:t>Huruf</w:t>
            </w:r>
            <w:r>
              <w:rPr>
                <w:b/>
                <w:spacing w:val="-1"/>
                <w:sz w:val="24"/>
              </w:rPr>
              <w:t xml:space="preserve"> </w:t>
            </w:r>
            <w:r>
              <w:rPr>
                <w:b/>
                <w:spacing w:val="-4"/>
                <w:sz w:val="24"/>
              </w:rPr>
              <w:t>Arab</w:t>
            </w:r>
          </w:p>
        </w:tc>
        <w:tc>
          <w:tcPr>
            <w:tcW w:w="1563" w:type="dxa"/>
          </w:tcPr>
          <w:p w14:paraId="560D15AA" w14:textId="77777777" w:rsidR="003D2604" w:rsidRDefault="003D2604" w:rsidP="009B563B">
            <w:pPr>
              <w:pStyle w:val="TableParagraph"/>
              <w:ind w:left="9" w:right="1"/>
              <w:rPr>
                <w:b/>
                <w:sz w:val="24"/>
              </w:rPr>
            </w:pPr>
            <w:r>
              <w:rPr>
                <w:b/>
                <w:spacing w:val="-4"/>
                <w:sz w:val="24"/>
              </w:rPr>
              <w:t>Nama</w:t>
            </w:r>
          </w:p>
        </w:tc>
        <w:tc>
          <w:tcPr>
            <w:tcW w:w="2269" w:type="dxa"/>
          </w:tcPr>
          <w:p w14:paraId="4F04F5F2" w14:textId="77777777" w:rsidR="003D2604" w:rsidRDefault="003D2604" w:rsidP="009B563B">
            <w:pPr>
              <w:pStyle w:val="TableParagraph"/>
              <w:ind w:left="16"/>
              <w:rPr>
                <w:b/>
                <w:sz w:val="24"/>
              </w:rPr>
            </w:pPr>
            <w:r>
              <w:rPr>
                <w:b/>
                <w:sz w:val="24"/>
              </w:rPr>
              <w:t>Huruf</w:t>
            </w:r>
            <w:r>
              <w:rPr>
                <w:b/>
                <w:spacing w:val="-1"/>
                <w:sz w:val="24"/>
              </w:rPr>
              <w:t xml:space="preserve"> </w:t>
            </w:r>
            <w:r>
              <w:rPr>
                <w:b/>
                <w:spacing w:val="-2"/>
                <w:sz w:val="24"/>
              </w:rPr>
              <w:t>Latin</w:t>
            </w:r>
          </w:p>
        </w:tc>
      </w:tr>
      <w:tr w:rsidR="003D2604" w14:paraId="58C176F7" w14:textId="77777777" w:rsidTr="009B563B">
        <w:trPr>
          <w:trHeight w:val="669"/>
        </w:trPr>
        <w:tc>
          <w:tcPr>
            <w:tcW w:w="1556" w:type="dxa"/>
          </w:tcPr>
          <w:p w14:paraId="45680009" w14:textId="77777777" w:rsidR="003D2604" w:rsidRPr="00B62A1E" w:rsidRDefault="003D2604" w:rsidP="009B563B">
            <w:pPr>
              <w:pStyle w:val="TableParagraph"/>
              <w:spacing w:before="17" w:line="240" w:lineRule="auto"/>
              <w:ind w:left="19" w:right="2"/>
              <w:rPr>
                <w:rFonts w:ascii="Microsoft Sans Serif" w:hAnsi="Microsoft Sans Serif" w:cs="Microsoft Sans Serif"/>
              </w:rPr>
            </w:pPr>
            <w:r w:rsidRPr="00B62A1E">
              <w:rPr>
                <w:rFonts w:ascii="Microsoft Sans Serif" w:hAnsi="Microsoft Sans Serif" w:cs="Microsoft Sans Serif"/>
                <w:rtl/>
              </w:rPr>
              <w:t>ﹷ</w:t>
            </w:r>
          </w:p>
        </w:tc>
        <w:tc>
          <w:tcPr>
            <w:tcW w:w="1563" w:type="dxa"/>
          </w:tcPr>
          <w:p w14:paraId="41D62E3D" w14:textId="77777777" w:rsidR="003D2604" w:rsidRDefault="003D2604" w:rsidP="009B563B">
            <w:pPr>
              <w:pStyle w:val="TableParagraph"/>
              <w:ind w:left="9"/>
              <w:rPr>
                <w:sz w:val="24"/>
              </w:rPr>
            </w:pPr>
            <w:r>
              <w:rPr>
                <w:spacing w:val="-2"/>
                <w:sz w:val="24"/>
              </w:rPr>
              <w:t>Fathah</w:t>
            </w:r>
          </w:p>
        </w:tc>
        <w:tc>
          <w:tcPr>
            <w:tcW w:w="2269" w:type="dxa"/>
          </w:tcPr>
          <w:p w14:paraId="50B8B340" w14:textId="77777777" w:rsidR="003D2604" w:rsidRDefault="003D2604" w:rsidP="009B563B">
            <w:pPr>
              <w:pStyle w:val="TableParagraph"/>
              <w:ind w:left="16" w:right="5"/>
              <w:rPr>
                <w:sz w:val="24"/>
              </w:rPr>
            </w:pPr>
            <w:r>
              <w:rPr>
                <w:spacing w:val="-10"/>
                <w:sz w:val="24"/>
              </w:rPr>
              <w:t>A</w:t>
            </w:r>
          </w:p>
        </w:tc>
      </w:tr>
      <w:tr w:rsidR="003D2604" w14:paraId="408BFC04" w14:textId="77777777" w:rsidTr="009B563B">
        <w:trPr>
          <w:trHeight w:val="669"/>
        </w:trPr>
        <w:tc>
          <w:tcPr>
            <w:tcW w:w="1556" w:type="dxa"/>
          </w:tcPr>
          <w:p w14:paraId="10FDBDF8" w14:textId="77777777" w:rsidR="003D2604" w:rsidRPr="00B62A1E" w:rsidRDefault="003D2604" w:rsidP="009B563B">
            <w:pPr>
              <w:pStyle w:val="TableParagraph"/>
              <w:spacing w:before="18" w:line="240" w:lineRule="auto"/>
              <w:ind w:left="19" w:right="2"/>
              <w:rPr>
                <w:rFonts w:ascii="Microsoft Sans Serif" w:hAnsi="Microsoft Sans Serif" w:cs="Microsoft Sans Serif"/>
              </w:rPr>
            </w:pPr>
            <w:r w:rsidRPr="00B62A1E">
              <w:rPr>
                <w:rFonts w:ascii="Microsoft Sans Serif" w:hAnsi="Microsoft Sans Serif" w:cs="Microsoft Sans Serif"/>
                <w:rtl/>
              </w:rPr>
              <w:t>ﹻ</w:t>
            </w:r>
          </w:p>
        </w:tc>
        <w:tc>
          <w:tcPr>
            <w:tcW w:w="1563" w:type="dxa"/>
          </w:tcPr>
          <w:p w14:paraId="716D9D92" w14:textId="77777777" w:rsidR="003D2604" w:rsidRDefault="003D2604" w:rsidP="009B563B">
            <w:pPr>
              <w:pStyle w:val="TableParagraph"/>
              <w:spacing w:line="271" w:lineRule="exact"/>
              <w:ind w:left="9" w:right="3"/>
              <w:rPr>
                <w:sz w:val="24"/>
              </w:rPr>
            </w:pPr>
            <w:r>
              <w:rPr>
                <w:spacing w:val="-2"/>
                <w:sz w:val="24"/>
              </w:rPr>
              <w:t>Kasrah</w:t>
            </w:r>
          </w:p>
        </w:tc>
        <w:tc>
          <w:tcPr>
            <w:tcW w:w="2269" w:type="dxa"/>
          </w:tcPr>
          <w:p w14:paraId="1542D903" w14:textId="77777777" w:rsidR="003D2604" w:rsidRDefault="003D2604" w:rsidP="009B563B">
            <w:pPr>
              <w:pStyle w:val="TableParagraph"/>
              <w:spacing w:line="271" w:lineRule="exact"/>
              <w:ind w:left="16" w:right="5"/>
              <w:rPr>
                <w:sz w:val="24"/>
              </w:rPr>
            </w:pPr>
            <w:r>
              <w:rPr>
                <w:spacing w:val="-10"/>
                <w:sz w:val="24"/>
              </w:rPr>
              <w:t>I</w:t>
            </w:r>
          </w:p>
        </w:tc>
      </w:tr>
      <w:tr w:rsidR="003D2604" w14:paraId="1F391371" w14:textId="77777777" w:rsidTr="009B563B">
        <w:trPr>
          <w:trHeight w:val="671"/>
        </w:trPr>
        <w:tc>
          <w:tcPr>
            <w:tcW w:w="1556" w:type="dxa"/>
          </w:tcPr>
          <w:p w14:paraId="554FFA92" w14:textId="77777777" w:rsidR="003D2604" w:rsidRPr="00B62A1E" w:rsidRDefault="003D2604" w:rsidP="009B563B">
            <w:pPr>
              <w:pStyle w:val="TableParagraph"/>
              <w:spacing w:before="17" w:line="240" w:lineRule="auto"/>
              <w:ind w:left="19" w:right="2"/>
              <w:rPr>
                <w:rFonts w:ascii="Microsoft Sans Serif" w:hAnsi="Microsoft Sans Serif" w:cs="Microsoft Sans Serif"/>
              </w:rPr>
            </w:pPr>
            <w:r w:rsidRPr="00B62A1E">
              <w:rPr>
                <w:rFonts w:ascii="Microsoft Sans Serif" w:hAnsi="Microsoft Sans Serif" w:cs="Microsoft Sans Serif"/>
                <w:rtl/>
              </w:rPr>
              <w:t>ﹹ</w:t>
            </w:r>
          </w:p>
        </w:tc>
        <w:tc>
          <w:tcPr>
            <w:tcW w:w="1563" w:type="dxa"/>
          </w:tcPr>
          <w:p w14:paraId="784C9A10" w14:textId="77777777" w:rsidR="003D2604" w:rsidRDefault="003D2604" w:rsidP="009B563B">
            <w:pPr>
              <w:pStyle w:val="TableParagraph"/>
              <w:ind w:left="9" w:right="4"/>
              <w:rPr>
                <w:sz w:val="24"/>
              </w:rPr>
            </w:pPr>
            <w:r>
              <w:rPr>
                <w:spacing w:val="-2"/>
                <w:sz w:val="24"/>
              </w:rPr>
              <w:t>Dammah</w:t>
            </w:r>
          </w:p>
        </w:tc>
        <w:tc>
          <w:tcPr>
            <w:tcW w:w="2269" w:type="dxa"/>
          </w:tcPr>
          <w:p w14:paraId="2DBF4EA6" w14:textId="77777777" w:rsidR="003D2604" w:rsidRDefault="003D2604" w:rsidP="009B563B">
            <w:pPr>
              <w:pStyle w:val="TableParagraph"/>
              <w:ind w:left="16" w:right="5"/>
              <w:rPr>
                <w:sz w:val="24"/>
              </w:rPr>
            </w:pPr>
            <w:r>
              <w:rPr>
                <w:spacing w:val="-10"/>
                <w:sz w:val="24"/>
              </w:rPr>
              <w:t>U</w:t>
            </w:r>
          </w:p>
        </w:tc>
      </w:tr>
    </w:tbl>
    <w:p w14:paraId="1E9D7861" w14:textId="77777777" w:rsidR="003D2604" w:rsidRPr="003D2604" w:rsidRDefault="003D2604" w:rsidP="003D2604">
      <w:pPr>
        <w:spacing w:before="3" w:line="360" w:lineRule="auto"/>
        <w:ind w:right="980"/>
        <w:rPr>
          <w:rFonts w:asciiTheme="majorBidi" w:hAnsiTheme="majorBidi" w:cstheme="majorBidi"/>
          <w:bCs/>
          <w:spacing w:val="-4"/>
          <w:sz w:val="24"/>
          <w:szCs w:val="24"/>
          <w:lang w:val="pt-BR"/>
        </w:rPr>
      </w:pPr>
    </w:p>
    <w:p w14:paraId="5EC43715" w14:textId="2529735B" w:rsidR="00EC11E7" w:rsidRDefault="00EC11E7">
      <w:pPr>
        <w:pStyle w:val="ListParagraph"/>
        <w:numPr>
          <w:ilvl w:val="0"/>
          <w:numId w:val="27"/>
        </w:numPr>
        <w:spacing w:before="3" w:line="360" w:lineRule="auto"/>
        <w:ind w:right="980"/>
        <w:rPr>
          <w:rFonts w:asciiTheme="majorBidi" w:hAnsiTheme="majorBidi" w:cstheme="majorBidi"/>
          <w:bCs/>
          <w:spacing w:val="-4"/>
          <w:sz w:val="24"/>
          <w:szCs w:val="24"/>
          <w:lang w:val="pt-BR"/>
        </w:rPr>
      </w:pPr>
      <w:r>
        <w:rPr>
          <w:rFonts w:asciiTheme="majorBidi" w:hAnsiTheme="majorBidi" w:cstheme="majorBidi"/>
          <w:bCs/>
          <w:spacing w:val="-4"/>
          <w:sz w:val="24"/>
          <w:szCs w:val="24"/>
          <w:lang w:val="pt-BR"/>
        </w:rPr>
        <w:t>Difton</w:t>
      </w:r>
      <w:r w:rsidR="0002426D">
        <w:rPr>
          <w:rFonts w:asciiTheme="majorBidi" w:hAnsiTheme="majorBidi" w:cstheme="majorBidi"/>
          <w:bCs/>
          <w:spacing w:val="-4"/>
          <w:sz w:val="24"/>
          <w:szCs w:val="24"/>
          <w:lang w:val="pt-BR"/>
        </w:rPr>
        <w:t>g</w:t>
      </w:r>
    </w:p>
    <w:tbl>
      <w:tblPr>
        <w:tblW w:w="0" w:type="auto"/>
        <w:tblInd w:w="1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2410"/>
        <w:gridCol w:w="1870"/>
      </w:tblGrid>
      <w:tr w:rsidR="003D2604" w14:paraId="5D00E1D4" w14:textId="77777777" w:rsidTr="009B563B">
        <w:trPr>
          <w:trHeight w:val="453"/>
        </w:trPr>
        <w:tc>
          <w:tcPr>
            <w:tcW w:w="1556" w:type="dxa"/>
          </w:tcPr>
          <w:p w14:paraId="792F5F82" w14:textId="77777777" w:rsidR="003D2604" w:rsidRDefault="003D2604" w:rsidP="009B563B">
            <w:pPr>
              <w:pStyle w:val="TableParagraph"/>
              <w:ind w:left="165"/>
              <w:jc w:val="left"/>
              <w:rPr>
                <w:b/>
                <w:sz w:val="24"/>
              </w:rPr>
            </w:pPr>
            <w:r>
              <w:rPr>
                <w:b/>
                <w:sz w:val="24"/>
              </w:rPr>
              <w:t>Huruf</w:t>
            </w:r>
            <w:r>
              <w:rPr>
                <w:b/>
                <w:spacing w:val="-1"/>
                <w:sz w:val="24"/>
              </w:rPr>
              <w:t xml:space="preserve"> </w:t>
            </w:r>
            <w:r>
              <w:rPr>
                <w:b/>
                <w:spacing w:val="-4"/>
                <w:sz w:val="24"/>
              </w:rPr>
              <w:t>Arab</w:t>
            </w:r>
          </w:p>
        </w:tc>
        <w:tc>
          <w:tcPr>
            <w:tcW w:w="2410" w:type="dxa"/>
          </w:tcPr>
          <w:p w14:paraId="296FE52E" w14:textId="77777777" w:rsidR="003D2604" w:rsidRDefault="003D2604" w:rsidP="009B563B">
            <w:pPr>
              <w:pStyle w:val="TableParagraph"/>
              <w:ind w:left="11"/>
              <w:rPr>
                <w:b/>
                <w:sz w:val="24"/>
              </w:rPr>
            </w:pPr>
            <w:r>
              <w:rPr>
                <w:b/>
                <w:spacing w:val="-4"/>
                <w:sz w:val="24"/>
              </w:rPr>
              <w:t>Nama</w:t>
            </w:r>
          </w:p>
        </w:tc>
        <w:tc>
          <w:tcPr>
            <w:tcW w:w="1870" w:type="dxa"/>
          </w:tcPr>
          <w:p w14:paraId="44B7DF5E" w14:textId="77777777" w:rsidR="003D2604" w:rsidRDefault="003D2604" w:rsidP="009B563B">
            <w:pPr>
              <w:pStyle w:val="TableParagraph"/>
              <w:ind w:left="19" w:right="2"/>
              <w:rPr>
                <w:b/>
                <w:sz w:val="24"/>
              </w:rPr>
            </w:pPr>
            <w:r>
              <w:rPr>
                <w:b/>
                <w:sz w:val="24"/>
              </w:rPr>
              <w:t>Huruf</w:t>
            </w:r>
            <w:r>
              <w:rPr>
                <w:b/>
                <w:spacing w:val="-1"/>
                <w:sz w:val="24"/>
              </w:rPr>
              <w:t xml:space="preserve"> </w:t>
            </w:r>
            <w:r>
              <w:rPr>
                <w:b/>
                <w:spacing w:val="-2"/>
                <w:sz w:val="24"/>
              </w:rPr>
              <w:t>Latin</w:t>
            </w:r>
          </w:p>
        </w:tc>
      </w:tr>
      <w:tr w:rsidR="003D2604" w14:paraId="181DD2C0" w14:textId="77777777" w:rsidTr="009B563B">
        <w:trPr>
          <w:trHeight w:val="599"/>
        </w:trPr>
        <w:tc>
          <w:tcPr>
            <w:tcW w:w="1556" w:type="dxa"/>
          </w:tcPr>
          <w:p w14:paraId="05E46334" w14:textId="77777777" w:rsidR="003D2604" w:rsidRPr="00B62A1E" w:rsidRDefault="003D2604" w:rsidP="009B563B">
            <w:pPr>
              <w:pStyle w:val="TableParagraph"/>
              <w:bidi/>
              <w:spacing w:line="409" w:lineRule="exact"/>
              <w:ind w:left="249"/>
              <w:jc w:val="left"/>
              <w:rPr>
                <w:rFonts w:ascii="Simplified Arabic" w:hAnsi="Simplified Arabic" w:cs="Simplified Arabic"/>
                <w:sz w:val="36"/>
                <w:szCs w:val="36"/>
              </w:rPr>
            </w:pPr>
            <w:r w:rsidRPr="00B62A1E">
              <w:rPr>
                <w:rFonts w:ascii="Simplified Arabic" w:hAnsi="Simplified Arabic" w:cs="Simplified Arabic"/>
                <w:w w:val="97"/>
                <w:sz w:val="36"/>
                <w:szCs w:val="36"/>
              </w:rPr>
              <w:t>.....</w:t>
            </w:r>
            <w:r w:rsidRPr="00B62A1E">
              <w:rPr>
                <w:rFonts w:ascii="Simplified Arabic" w:hAnsi="Simplified Arabic" w:cs="Simplified Arabic"/>
                <w:spacing w:val="8"/>
                <w:sz w:val="36"/>
                <w:szCs w:val="36"/>
                <w:rtl/>
              </w:rPr>
              <w:t xml:space="preserve"> </w:t>
            </w:r>
            <w:r w:rsidRPr="00B62A1E">
              <w:rPr>
                <w:rFonts w:ascii="Simplified Arabic" w:hAnsi="Simplified Arabic" w:cs="Simplified Arabic"/>
                <w:w w:val="97"/>
                <w:sz w:val="36"/>
                <w:szCs w:val="36"/>
                <w:rtl/>
              </w:rPr>
              <w:t>ﹷي</w:t>
            </w:r>
          </w:p>
        </w:tc>
        <w:tc>
          <w:tcPr>
            <w:tcW w:w="2410" w:type="dxa"/>
          </w:tcPr>
          <w:p w14:paraId="25BE658F" w14:textId="77777777" w:rsidR="003D2604" w:rsidRDefault="003D2604" w:rsidP="009B563B">
            <w:pPr>
              <w:pStyle w:val="TableParagraph"/>
              <w:ind w:left="11" w:right="9"/>
              <w:rPr>
                <w:sz w:val="24"/>
              </w:rPr>
            </w:pPr>
            <w:r>
              <w:rPr>
                <w:sz w:val="24"/>
              </w:rPr>
              <w:t>Fathah</w:t>
            </w:r>
            <w:r>
              <w:rPr>
                <w:spacing w:val="-5"/>
                <w:sz w:val="24"/>
              </w:rPr>
              <w:t xml:space="preserve"> </w:t>
            </w:r>
            <w:r>
              <w:rPr>
                <w:sz w:val="24"/>
              </w:rPr>
              <w:t>dan</w:t>
            </w:r>
            <w:r>
              <w:rPr>
                <w:spacing w:val="5"/>
                <w:sz w:val="24"/>
              </w:rPr>
              <w:t xml:space="preserve"> </w:t>
            </w:r>
            <w:r>
              <w:rPr>
                <w:spacing w:val="-5"/>
                <w:sz w:val="24"/>
              </w:rPr>
              <w:t>ya</w:t>
            </w:r>
          </w:p>
        </w:tc>
        <w:tc>
          <w:tcPr>
            <w:tcW w:w="1870" w:type="dxa"/>
          </w:tcPr>
          <w:p w14:paraId="144AE41C" w14:textId="77777777" w:rsidR="003D2604" w:rsidRDefault="003D2604" w:rsidP="009B563B">
            <w:pPr>
              <w:pStyle w:val="TableParagraph"/>
              <w:ind w:left="19" w:right="9"/>
              <w:rPr>
                <w:sz w:val="24"/>
              </w:rPr>
            </w:pPr>
            <w:r>
              <w:rPr>
                <w:spacing w:val="-5"/>
                <w:sz w:val="24"/>
              </w:rPr>
              <w:t>Ai</w:t>
            </w:r>
          </w:p>
        </w:tc>
      </w:tr>
      <w:tr w:rsidR="003D2604" w14:paraId="0A847DD7" w14:textId="77777777" w:rsidTr="009B563B">
        <w:trPr>
          <w:trHeight w:val="676"/>
        </w:trPr>
        <w:tc>
          <w:tcPr>
            <w:tcW w:w="1556" w:type="dxa"/>
          </w:tcPr>
          <w:p w14:paraId="4B2ADBA7" w14:textId="77777777" w:rsidR="003D2604" w:rsidRPr="00B62A1E" w:rsidRDefault="003D2604" w:rsidP="009B563B">
            <w:pPr>
              <w:pStyle w:val="TableParagraph"/>
              <w:bidi/>
              <w:spacing w:line="406" w:lineRule="exact"/>
              <w:ind w:left="418"/>
              <w:jc w:val="left"/>
              <w:rPr>
                <w:rFonts w:ascii="Simplified Arabic" w:hAnsi="Simplified Arabic" w:cs="Simplified Arabic"/>
                <w:sz w:val="36"/>
                <w:szCs w:val="36"/>
              </w:rPr>
            </w:pPr>
            <w:r w:rsidRPr="00B62A1E">
              <w:rPr>
                <w:rFonts w:ascii="Simplified Arabic" w:hAnsi="Simplified Arabic" w:cs="Simplified Arabic"/>
                <w:w w:val="92"/>
                <w:sz w:val="36"/>
                <w:szCs w:val="36"/>
                <w:rtl/>
              </w:rPr>
              <w:t>و</w:t>
            </w:r>
            <w:r w:rsidRPr="00B62A1E">
              <w:rPr>
                <w:rFonts w:ascii="Simplified Arabic" w:hAnsi="Simplified Arabic" w:cs="Simplified Arabic"/>
                <w:spacing w:val="62"/>
                <w:sz w:val="36"/>
                <w:szCs w:val="36"/>
                <w:rtl/>
              </w:rPr>
              <w:t xml:space="preserve">   </w:t>
            </w:r>
            <w:r w:rsidRPr="00B62A1E">
              <w:rPr>
                <w:rFonts w:ascii="Simplified Arabic" w:hAnsi="Simplified Arabic" w:cs="Simplified Arabic"/>
                <w:w w:val="92"/>
                <w:sz w:val="36"/>
                <w:szCs w:val="36"/>
                <w:rtl/>
              </w:rPr>
              <w:t>ﹷ</w:t>
            </w:r>
          </w:p>
        </w:tc>
        <w:tc>
          <w:tcPr>
            <w:tcW w:w="2410" w:type="dxa"/>
          </w:tcPr>
          <w:p w14:paraId="46396F95" w14:textId="77777777" w:rsidR="003D2604" w:rsidRDefault="003D2604" w:rsidP="009B563B">
            <w:pPr>
              <w:pStyle w:val="TableParagraph"/>
              <w:ind w:left="11" w:right="1"/>
              <w:rPr>
                <w:sz w:val="24"/>
              </w:rPr>
            </w:pPr>
            <w:r>
              <w:rPr>
                <w:sz w:val="24"/>
              </w:rPr>
              <w:t>Fathah</w:t>
            </w:r>
            <w:r>
              <w:rPr>
                <w:spacing w:val="-4"/>
                <w:sz w:val="24"/>
              </w:rPr>
              <w:t xml:space="preserve"> </w:t>
            </w:r>
            <w:r>
              <w:rPr>
                <w:sz w:val="24"/>
              </w:rPr>
              <w:t>dan</w:t>
            </w:r>
            <w:r>
              <w:rPr>
                <w:spacing w:val="-4"/>
                <w:sz w:val="24"/>
              </w:rPr>
              <w:t xml:space="preserve"> </w:t>
            </w:r>
            <w:r>
              <w:rPr>
                <w:spacing w:val="-5"/>
                <w:sz w:val="24"/>
              </w:rPr>
              <w:t>wau</w:t>
            </w:r>
          </w:p>
        </w:tc>
        <w:tc>
          <w:tcPr>
            <w:tcW w:w="1870" w:type="dxa"/>
          </w:tcPr>
          <w:p w14:paraId="247A7FC5" w14:textId="77777777" w:rsidR="003D2604" w:rsidRDefault="003D2604" w:rsidP="009B563B">
            <w:pPr>
              <w:pStyle w:val="TableParagraph"/>
              <w:ind w:left="19" w:right="9"/>
              <w:rPr>
                <w:sz w:val="24"/>
              </w:rPr>
            </w:pPr>
            <w:r>
              <w:rPr>
                <w:spacing w:val="-5"/>
                <w:sz w:val="24"/>
              </w:rPr>
              <w:t>Au</w:t>
            </w:r>
          </w:p>
        </w:tc>
      </w:tr>
    </w:tbl>
    <w:p w14:paraId="4491E6AF" w14:textId="77777777" w:rsidR="003D2604" w:rsidRDefault="003D2604" w:rsidP="003D2604">
      <w:pPr>
        <w:spacing w:before="3" w:line="360" w:lineRule="auto"/>
        <w:ind w:right="980"/>
        <w:rPr>
          <w:rFonts w:asciiTheme="majorBidi" w:hAnsiTheme="majorBidi" w:cstheme="majorBidi"/>
          <w:bCs/>
          <w:spacing w:val="-4"/>
          <w:sz w:val="24"/>
          <w:szCs w:val="24"/>
          <w:lang w:val="pt-BR"/>
        </w:rPr>
      </w:pPr>
    </w:p>
    <w:p w14:paraId="1A93440C" w14:textId="77777777" w:rsidR="003D2604" w:rsidRDefault="003D2604" w:rsidP="003D2604">
      <w:pPr>
        <w:spacing w:before="3" w:line="360" w:lineRule="auto"/>
        <w:ind w:right="980"/>
        <w:rPr>
          <w:rFonts w:asciiTheme="majorBidi" w:hAnsiTheme="majorBidi" w:cstheme="majorBidi"/>
          <w:bCs/>
          <w:spacing w:val="-4"/>
          <w:sz w:val="24"/>
          <w:szCs w:val="24"/>
          <w:lang w:val="pt-BR"/>
        </w:rPr>
      </w:pPr>
    </w:p>
    <w:p w14:paraId="5DA2AAA4" w14:textId="77777777" w:rsidR="003D2604" w:rsidRPr="003D2604" w:rsidRDefault="003D2604" w:rsidP="003D2604">
      <w:pPr>
        <w:spacing w:before="3" w:line="360" w:lineRule="auto"/>
        <w:ind w:right="980"/>
        <w:rPr>
          <w:rFonts w:asciiTheme="majorBidi" w:hAnsiTheme="majorBidi" w:cstheme="majorBidi"/>
          <w:bCs/>
          <w:spacing w:val="-4"/>
          <w:sz w:val="24"/>
          <w:szCs w:val="24"/>
          <w:rtl/>
          <w:lang w:val="pt-BR"/>
        </w:rPr>
      </w:pPr>
    </w:p>
    <w:p w14:paraId="7848C341" w14:textId="77777777" w:rsidR="00872403" w:rsidRPr="00B62A1E" w:rsidRDefault="00EC11E7">
      <w:pPr>
        <w:pStyle w:val="ListParagraph"/>
        <w:widowControl w:val="0"/>
        <w:numPr>
          <w:ilvl w:val="0"/>
          <w:numId w:val="27"/>
        </w:numPr>
        <w:tabs>
          <w:tab w:val="left" w:pos="850"/>
        </w:tabs>
        <w:autoSpaceDE w:val="0"/>
        <w:autoSpaceDN w:val="0"/>
        <w:spacing w:before="90" w:after="0" w:line="240" w:lineRule="auto"/>
        <w:rPr>
          <w:sz w:val="24"/>
          <w:szCs w:val="24"/>
        </w:rPr>
      </w:pPr>
      <w:r w:rsidRPr="00B62A1E">
        <w:rPr>
          <w:rFonts w:asciiTheme="majorBidi" w:hAnsiTheme="majorBidi" w:cstheme="majorBidi"/>
          <w:bCs/>
          <w:spacing w:val="-4"/>
          <w:sz w:val="24"/>
          <w:szCs w:val="24"/>
          <w:lang w:val="pt-BR"/>
        </w:rPr>
        <w:lastRenderedPageBreak/>
        <w:t>Syahaddah</w:t>
      </w:r>
      <w:r w:rsidR="003D2604" w:rsidRPr="00B62A1E">
        <w:rPr>
          <w:rFonts w:asciiTheme="majorBidi" w:hAnsiTheme="majorBidi" w:cstheme="majorBidi"/>
          <w:bCs/>
          <w:spacing w:val="-4"/>
          <w:sz w:val="24"/>
          <w:szCs w:val="24"/>
          <w:lang w:val="pt-BR"/>
        </w:rPr>
        <w:t xml:space="preserve"> </w:t>
      </w:r>
      <w:r w:rsidR="00872403" w:rsidRPr="00B62A1E">
        <w:rPr>
          <w:sz w:val="24"/>
          <w:szCs w:val="24"/>
        </w:rPr>
        <w:t>(</w:t>
      </w:r>
      <w:r w:rsidR="00872403" w:rsidRPr="00B62A1E">
        <w:rPr>
          <w:rFonts w:ascii="Microsoft Sans Serif" w:hAnsi="Microsoft Sans Serif" w:cs="Microsoft Sans Serif"/>
          <w:spacing w:val="117"/>
          <w:sz w:val="24"/>
          <w:szCs w:val="24"/>
        </w:rPr>
        <w:t xml:space="preserve"> </w:t>
      </w:r>
      <w:r w:rsidR="00872403" w:rsidRPr="00B62A1E">
        <w:rPr>
          <w:rFonts w:ascii="Simplified Arabic" w:hAnsi="Simplified Arabic" w:cs="Simplified Arabic"/>
          <w:w w:val="40"/>
          <w:sz w:val="24"/>
          <w:szCs w:val="24"/>
          <w:rtl/>
        </w:rPr>
        <w:t>ََ</w:t>
      </w:r>
      <w:r w:rsidR="00872403" w:rsidRPr="00B62A1E">
        <w:rPr>
          <w:rFonts w:ascii="Simplified Arabic" w:hAnsi="Simplified Arabic" w:cs="Simplified Arabic"/>
          <w:spacing w:val="-3"/>
          <w:sz w:val="24"/>
          <w:szCs w:val="24"/>
        </w:rPr>
        <w:t xml:space="preserve"> </w:t>
      </w:r>
      <w:r w:rsidR="00872403" w:rsidRPr="00B62A1E">
        <w:rPr>
          <w:rFonts w:ascii="Simplified Arabic" w:hAnsi="Simplified Arabic" w:cs="Simplified Arabic"/>
          <w:sz w:val="24"/>
          <w:szCs w:val="24"/>
        </w:rPr>
        <w:t>-</w:t>
      </w:r>
      <w:r w:rsidR="00872403" w:rsidRPr="00B62A1E">
        <w:rPr>
          <w:rFonts w:ascii="Microsoft Sans Serif" w:hAnsi="Microsoft Sans Serif" w:cs="Microsoft Sans Serif"/>
          <w:spacing w:val="1"/>
          <w:sz w:val="24"/>
          <w:szCs w:val="24"/>
        </w:rPr>
        <w:t xml:space="preserve"> </w:t>
      </w:r>
      <w:r w:rsidR="00872403" w:rsidRPr="00B62A1E">
        <w:rPr>
          <w:spacing w:val="-10"/>
          <w:sz w:val="24"/>
          <w:szCs w:val="24"/>
        </w:rPr>
        <w:t>)</w:t>
      </w:r>
    </w:p>
    <w:p w14:paraId="51AD8971" w14:textId="7855BBF1" w:rsidR="003D2604" w:rsidRPr="00B62A1E" w:rsidRDefault="00872403" w:rsidP="00872403">
      <w:pPr>
        <w:widowControl w:val="0"/>
        <w:tabs>
          <w:tab w:val="left" w:pos="850"/>
        </w:tabs>
        <w:autoSpaceDE w:val="0"/>
        <w:autoSpaceDN w:val="0"/>
        <w:spacing w:before="90" w:after="0" w:line="240" w:lineRule="auto"/>
        <w:ind w:left="851"/>
        <w:rPr>
          <w:sz w:val="24"/>
          <w:szCs w:val="24"/>
        </w:rPr>
      </w:pPr>
      <w:r w:rsidRPr="00B62A1E">
        <w:rPr>
          <w:rFonts w:asciiTheme="majorBidi" w:hAnsiTheme="majorBidi" w:cstheme="majorBidi"/>
          <w:bCs/>
          <w:spacing w:val="-4"/>
          <w:sz w:val="24"/>
          <w:szCs w:val="24"/>
          <w:lang w:val="sv-SE"/>
        </w:rPr>
        <w:t xml:space="preserve">Syaddah dilambangkan dengan konsonan ganda, misalnya </w:t>
      </w:r>
      <w:r w:rsidRPr="00B62A1E">
        <w:rPr>
          <w:rFonts w:ascii="Microsoft Sans Serif" w:cs="Microsoft Sans Serif"/>
          <w:w w:val="90"/>
          <w:sz w:val="24"/>
          <w:szCs w:val="24"/>
          <w:rtl/>
        </w:rPr>
        <w:t>الطب</w:t>
      </w:r>
      <w:r w:rsidRPr="00B62A1E">
        <w:rPr>
          <w:rFonts w:ascii="Microsoft Sans Serif" w:cs="Microsoft Sans Serif"/>
          <w:spacing w:val="4"/>
          <w:sz w:val="24"/>
          <w:szCs w:val="24"/>
        </w:rPr>
        <w:t xml:space="preserve"> </w:t>
      </w:r>
      <w:r w:rsidRPr="00B62A1E">
        <w:rPr>
          <w:w w:val="90"/>
          <w:sz w:val="24"/>
          <w:szCs w:val="24"/>
        </w:rPr>
        <w:t>=</w:t>
      </w:r>
      <w:r w:rsidRPr="00B62A1E">
        <w:rPr>
          <w:spacing w:val="2"/>
          <w:sz w:val="24"/>
          <w:szCs w:val="24"/>
        </w:rPr>
        <w:t xml:space="preserve"> </w:t>
      </w:r>
      <w:r w:rsidRPr="00B62A1E">
        <w:rPr>
          <w:w w:val="90"/>
          <w:sz w:val="24"/>
          <w:szCs w:val="24"/>
        </w:rPr>
        <w:t>al-</w:t>
      </w:r>
      <w:r w:rsidRPr="00B62A1E">
        <w:rPr>
          <w:spacing w:val="2"/>
          <w:sz w:val="24"/>
          <w:szCs w:val="24"/>
        </w:rPr>
        <w:t xml:space="preserve"> </w:t>
      </w:r>
      <w:r w:rsidRPr="00B62A1E">
        <w:rPr>
          <w:spacing w:val="-2"/>
          <w:w w:val="90"/>
          <w:sz w:val="24"/>
          <w:szCs w:val="24"/>
        </w:rPr>
        <w:t>thibb.</w:t>
      </w:r>
    </w:p>
    <w:p w14:paraId="0EA5FCC8" w14:textId="77777777" w:rsidR="00872403" w:rsidRPr="00872403" w:rsidRDefault="00872403" w:rsidP="00872403">
      <w:pPr>
        <w:widowControl w:val="0"/>
        <w:tabs>
          <w:tab w:val="left" w:pos="850"/>
        </w:tabs>
        <w:autoSpaceDE w:val="0"/>
        <w:autoSpaceDN w:val="0"/>
        <w:spacing w:before="90" w:after="0" w:line="240" w:lineRule="auto"/>
        <w:ind w:left="851"/>
        <w:rPr>
          <w:sz w:val="24"/>
          <w:szCs w:val="24"/>
        </w:rPr>
      </w:pPr>
    </w:p>
    <w:p w14:paraId="034620B7" w14:textId="3F9338DC" w:rsidR="00EC11E7" w:rsidRPr="00B62A1E" w:rsidRDefault="00EC11E7">
      <w:pPr>
        <w:pStyle w:val="ListParagraph"/>
        <w:numPr>
          <w:ilvl w:val="0"/>
          <w:numId w:val="27"/>
        </w:numPr>
        <w:spacing w:after="0" w:line="360" w:lineRule="auto"/>
        <w:ind w:right="980"/>
        <w:rPr>
          <w:sz w:val="24"/>
          <w:szCs w:val="24"/>
        </w:rPr>
      </w:pPr>
      <w:r w:rsidRPr="00B62A1E">
        <w:rPr>
          <w:sz w:val="24"/>
          <w:szCs w:val="24"/>
        </w:rPr>
        <w:t>Kata Sandang</w:t>
      </w:r>
      <w:r w:rsidR="00872403" w:rsidRPr="00B62A1E">
        <w:rPr>
          <w:sz w:val="24"/>
          <w:szCs w:val="24"/>
        </w:rPr>
        <w:t xml:space="preserve"> ( ... </w:t>
      </w:r>
      <w:r w:rsidR="00872403" w:rsidRPr="00B62A1E">
        <w:rPr>
          <w:sz w:val="24"/>
          <w:szCs w:val="24"/>
          <w:rtl/>
        </w:rPr>
        <w:t>لا</w:t>
      </w:r>
      <w:r w:rsidR="00872403" w:rsidRPr="00B62A1E">
        <w:rPr>
          <w:sz w:val="24"/>
          <w:szCs w:val="24"/>
        </w:rPr>
        <w:t xml:space="preserve"> )</w:t>
      </w:r>
    </w:p>
    <w:p w14:paraId="436189D7" w14:textId="1C6074E7" w:rsidR="00872403" w:rsidRPr="00B62A1E" w:rsidRDefault="00872403" w:rsidP="00B62A1E">
      <w:pPr>
        <w:pStyle w:val="BodyText"/>
        <w:spacing w:line="360" w:lineRule="auto"/>
        <w:ind w:left="949"/>
        <w:rPr>
          <w:sz w:val="24"/>
          <w:szCs w:val="24"/>
        </w:rPr>
      </w:pPr>
      <w:r w:rsidRPr="00B62A1E">
        <w:rPr>
          <w:sz w:val="24"/>
          <w:szCs w:val="24"/>
        </w:rPr>
        <w:t xml:space="preserve">Kata sandang </w:t>
      </w:r>
      <w:r w:rsidR="00B62A1E" w:rsidRPr="00B62A1E">
        <w:rPr>
          <w:sz w:val="24"/>
          <w:szCs w:val="24"/>
        </w:rPr>
        <w:t>(</w:t>
      </w:r>
      <w:r w:rsidRPr="00B62A1E">
        <w:rPr>
          <w:sz w:val="24"/>
          <w:szCs w:val="24"/>
        </w:rPr>
        <w:t xml:space="preserve">... </w:t>
      </w:r>
      <w:r w:rsidRPr="00B62A1E">
        <w:rPr>
          <w:sz w:val="24"/>
          <w:szCs w:val="24"/>
          <w:rtl/>
        </w:rPr>
        <w:t>لا</w:t>
      </w:r>
      <w:r w:rsidRPr="00B62A1E">
        <w:rPr>
          <w:sz w:val="24"/>
          <w:szCs w:val="24"/>
        </w:rPr>
        <w:t xml:space="preserve"> ) ditulis dengan al-…. Misalnya </w:t>
      </w:r>
      <w:r w:rsidRPr="00B62A1E">
        <w:rPr>
          <w:sz w:val="24"/>
          <w:szCs w:val="24"/>
          <w:rtl/>
        </w:rPr>
        <w:t>غة</w:t>
      </w:r>
      <w:r w:rsidRPr="00B62A1E">
        <w:rPr>
          <w:sz w:val="24"/>
          <w:szCs w:val="24"/>
        </w:rPr>
        <w:t xml:space="preserve"> </w:t>
      </w:r>
      <w:r w:rsidRPr="00B62A1E">
        <w:rPr>
          <w:sz w:val="24"/>
          <w:szCs w:val="24"/>
          <w:rtl/>
        </w:rPr>
        <w:t>الصنا</w:t>
      </w:r>
      <w:r w:rsidRPr="00B62A1E">
        <w:rPr>
          <w:sz w:val="24"/>
          <w:szCs w:val="24"/>
        </w:rPr>
        <w:t xml:space="preserve"> =</w:t>
      </w:r>
      <w:r w:rsidR="00B62A1E" w:rsidRPr="00B62A1E">
        <w:rPr>
          <w:sz w:val="24"/>
          <w:szCs w:val="24"/>
        </w:rPr>
        <w:t xml:space="preserve"> </w:t>
      </w:r>
      <w:r w:rsidRPr="00B62A1E">
        <w:rPr>
          <w:sz w:val="24"/>
          <w:szCs w:val="24"/>
        </w:rPr>
        <w:t xml:space="preserve"> al-shina ‘ah. Al- ditulis dengan huruf kecil kecuali jika terletak pada permulaan kalimat.</w:t>
      </w:r>
    </w:p>
    <w:p w14:paraId="6DCAB8E2" w14:textId="77777777" w:rsidR="00872403" w:rsidRPr="00B62A1E" w:rsidRDefault="00872403" w:rsidP="00872403">
      <w:pPr>
        <w:pStyle w:val="BodyText"/>
        <w:spacing w:before="136" w:line="360" w:lineRule="auto"/>
        <w:ind w:left="949"/>
        <w:rPr>
          <w:sz w:val="24"/>
          <w:szCs w:val="24"/>
        </w:rPr>
      </w:pPr>
    </w:p>
    <w:p w14:paraId="1C949805" w14:textId="7AE97BD4" w:rsidR="00872403" w:rsidRPr="00B62A1E" w:rsidRDefault="00EC11E7">
      <w:pPr>
        <w:pStyle w:val="ListParagraph"/>
        <w:numPr>
          <w:ilvl w:val="0"/>
          <w:numId w:val="27"/>
        </w:numPr>
        <w:spacing w:before="3" w:line="360" w:lineRule="auto"/>
        <w:ind w:right="980"/>
        <w:rPr>
          <w:sz w:val="24"/>
          <w:szCs w:val="24"/>
        </w:rPr>
      </w:pPr>
      <w:r w:rsidRPr="00B62A1E">
        <w:rPr>
          <w:sz w:val="24"/>
          <w:szCs w:val="24"/>
        </w:rPr>
        <w:t>Ta’Marbuthah</w:t>
      </w:r>
      <w:r w:rsidR="00872403" w:rsidRPr="00B62A1E">
        <w:rPr>
          <w:sz w:val="24"/>
          <w:szCs w:val="24"/>
        </w:rPr>
        <w:t xml:space="preserve"> ( </w:t>
      </w:r>
      <w:r w:rsidR="00872403" w:rsidRPr="00B62A1E">
        <w:rPr>
          <w:sz w:val="24"/>
          <w:szCs w:val="24"/>
          <w:rtl/>
        </w:rPr>
        <w:t>ة</w:t>
      </w:r>
      <w:r w:rsidR="00872403" w:rsidRPr="00B62A1E">
        <w:rPr>
          <w:sz w:val="24"/>
          <w:szCs w:val="24"/>
        </w:rPr>
        <w:t xml:space="preserve"> )</w:t>
      </w:r>
    </w:p>
    <w:p w14:paraId="51ECC745" w14:textId="10D37DFA" w:rsidR="00872403" w:rsidRPr="00B62A1E" w:rsidRDefault="00872403" w:rsidP="00872403">
      <w:pPr>
        <w:pStyle w:val="ListParagraph"/>
        <w:spacing w:before="3" w:line="360" w:lineRule="auto"/>
        <w:ind w:left="949" w:right="980"/>
        <w:rPr>
          <w:sz w:val="24"/>
          <w:szCs w:val="24"/>
        </w:rPr>
      </w:pPr>
      <w:r w:rsidRPr="00B62A1E">
        <w:rPr>
          <w:sz w:val="24"/>
          <w:szCs w:val="24"/>
        </w:rPr>
        <w:t xml:space="preserve">Setiap ta’ marbuthah ditulis dengan “h” Misalnya </w:t>
      </w:r>
      <w:r w:rsidRPr="00B62A1E">
        <w:rPr>
          <w:sz w:val="24"/>
          <w:szCs w:val="24"/>
          <w:rtl/>
        </w:rPr>
        <w:t>الطبىعىة</w:t>
      </w:r>
      <w:r w:rsidRPr="00B62A1E">
        <w:rPr>
          <w:sz w:val="24"/>
          <w:szCs w:val="24"/>
        </w:rPr>
        <w:t xml:space="preserve"> </w:t>
      </w:r>
      <w:r w:rsidRPr="00B62A1E">
        <w:rPr>
          <w:sz w:val="24"/>
          <w:szCs w:val="24"/>
          <w:rtl/>
        </w:rPr>
        <w:t>المعىشة</w:t>
      </w:r>
      <w:r w:rsidRPr="00B62A1E">
        <w:rPr>
          <w:sz w:val="24"/>
          <w:szCs w:val="24"/>
        </w:rPr>
        <w:t xml:space="preserve"> = al-ma‘isyah al- thabi‘iyyah.</w:t>
      </w:r>
    </w:p>
    <w:p w14:paraId="15DF0278" w14:textId="77777777" w:rsidR="00872403" w:rsidRDefault="00872403" w:rsidP="00872403">
      <w:pPr>
        <w:pStyle w:val="ListParagraph"/>
        <w:spacing w:before="3" w:line="360" w:lineRule="auto"/>
        <w:ind w:left="949" w:right="980"/>
        <w:rPr>
          <w:rFonts w:asciiTheme="majorBidi" w:hAnsiTheme="majorBidi" w:cstheme="majorBidi"/>
          <w:bCs/>
          <w:spacing w:val="-4"/>
          <w:sz w:val="24"/>
          <w:szCs w:val="24"/>
          <w:lang w:val="pt-BR"/>
        </w:rPr>
      </w:pPr>
    </w:p>
    <w:p w14:paraId="739AC366"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2798DB07"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531C1800"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3E087473"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6AC7B072"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7FCC916F"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6A030F8C"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2E9C6A96"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59A1644A"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24ACCBDF"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27012906"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06C6DB86"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5C931326"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23107519" w14:textId="77777777" w:rsidR="0002426D" w:rsidRDefault="0002426D" w:rsidP="0002426D">
      <w:pPr>
        <w:spacing w:before="3" w:line="360" w:lineRule="auto"/>
        <w:ind w:right="980"/>
        <w:rPr>
          <w:rFonts w:asciiTheme="majorBidi" w:hAnsiTheme="majorBidi" w:cstheme="majorBidi"/>
          <w:bCs/>
          <w:spacing w:val="-4"/>
          <w:sz w:val="24"/>
          <w:szCs w:val="24"/>
          <w:lang w:val="pt-BR"/>
        </w:rPr>
      </w:pPr>
    </w:p>
    <w:p w14:paraId="3941E8F2" w14:textId="77777777" w:rsidR="00482FE5" w:rsidRDefault="00482FE5" w:rsidP="0002426D">
      <w:pPr>
        <w:spacing w:before="3" w:line="360" w:lineRule="auto"/>
        <w:ind w:right="980"/>
        <w:rPr>
          <w:rFonts w:asciiTheme="majorBidi" w:hAnsiTheme="majorBidi" w:cstheme="majorBidi"/>
          <w:bCs/>
          <w:spacing w:val="-4"/>
          <w:sz w:val="24"/>
          <w:szCs w:val="24"/>
          <w:lang w:val="pt-BR"/>
        </w:rPr>
      </w:pPr>
    </w:p>
    <w:p w14:paraId="7A2E5C1A" w14:textId="77777777" w:rsidR="00482FE5" w:rsidRDefault="00482FE5" w:rsidP="0002426D">
      <w:pPr>
        <w:spacing w:before="3" w:line="360" w:lineRule="auto"/>
        <w:ind w:right="980"/>
        <w:rPr>
          <w:rFonts w:asciiTheme="majorBidi" w:hAnsiTheme="majorBidi" w:cstheme="majorBidi"/>
          <w:bCs/>
          <w:spacing w:val="-4"/>
          <w:sz w:val="24"/>
          <w:szCs w:val="24"/>
          <w:lang w:val="pt-BR"/>
        </w:rPr>
      </w:pPr>
    </w:p>
    <w:p w14:paraId="5D8AA1A2" w14:textId="69770CC1" w:rsidR="0002426D" w:rsidRPr="00A42616" w:rsidRDefault="0002426D" w:rsidP="00A42616">
      <w:pPr>
        <w:pStyle w:val="Heading1"/>
        <w:jc w:val="center"/>
        <w:rPr>
          <w:rFonts w:asciiTheme="majorBidi" w:hAnsiTheme="majorBidi"/>
          <w:b/>
          <w:bCs/>
          <w:color w:val="auto"/>
          <w:sz w:val="24"/>
          <w:szCs w:val="24"/>
          <w:lang w:val="pt-BR"/>
        </w:rPr>
      </w:pPr>
      <w:bookmarkStart w:id="6" w:name="_Toc201063291"/>
      <w:r w:rsidRPr="00A42616">
        <w:rPr>
          <w:rFonts w:asciiTheme="majorBidi" w:hAnsiTheme="majorBidi"/>
          <w:b/>
          <w:bCs/>
          <w:color w:val="auto"/>
          <w:sz w:val="24"/>
          <w:szCs w:val="24"/>
          <w:lang w:val="pt-BR"/>
        </w:rPr>
        <w:lastRenderedPageBreak/>
        <w:t>ABSTRACT</w:t>
      </w:r>
      <w:bookmarkEnd w:id="6"/>
    </w:p>
    <w:p w14:paraId="7907D88A" w14:textId="77777777" w:rsidR="0002426D" w:rsidRDefault="0002426D" w:rsidP="0002426D">
      <w:pPr>
        <w:spacing w:before="3" w:line="360" w:lineRule="auto"/>
        <w:ind w:right="980"/>
        <w:jc w:val="center"/>
        <w:rPr>
          <w:rFonts w:asciiTheme="majorBidi" w:hAnsiTheme="majorBidi" w:cstheme="majorBidi"/>
          <w:b/>
          <w:spacing w:val="-4"/>
          <w:sz w:val="24"/>
          <w:szCs w:val="24"/>
          <w:lang w:val="pt-BR"/>
        </w:rPr>
      </w:pPr>
    </w:p>
    <w:p w14:paraId="5D88D224" w14:textId="77777777" w:rsidR="00FD3B66" w:rsidRPr="00FD3B66" w:rsidRDefault="00FD3B66" w:rsidP="00273CF6">
      <w:pPr>
        <w:spacing w:before="3" w:line="360" w:lineRule="auto"/>
        <w:ind w:right="-2" w:firstLine="720"/>
        <w:jc w:val="both"/>
        <w:rPr>
          <w:rFonts w:asciiTheme="majorBidi" w:hAnsiTheme="majorBidi" w:cstheme="majorBidi"/>
          <w:bCs/>
          <w:spacing w:val="-4"/>
          <w:sz w:val="24"/>
          <w:szCs w:val="24"/>
        </w:rPr>
      </w:pPr>
      <w:r w:rsidRPr="00FD3B66">
        <w:rPr>
          <w:rFonts w:asciiTheme="majorBidi" w:hAnsiTheme="majorBidi" w:cstheme="majorBidi"/>
          <w:bCs/>
          <w:spacing w:val="-4"/>
          <w:sz w:val="24"/>
          <w:szCs w:val="24"/>
        </w:rPr>
        <w:t>This study aims to analyze the effect of financing risk (Non-Performing Financing/NPF), liquidity risk (Financing to Deposit Ratio/FDR), and profit-sharing ratio on mudharabah deposits at Bank Muamalat Indonesia for the period 2017–2024. The research uses a quantitative approach with multiple linear regression analysis. The data used are secondary data obtained from the quarterly financial reports of Bank Muamalat Indonesia. The results show that partially, financing risk (NPF) and the profit-sharing ratio do not have a significant effect on mudharabah deposits. Meanwhile, liquidity risk (FDR) has a significantly negative effect on mudharabah deposits. Simultaneously, the three independent variables have a significant effect on mudharabah deposits. These findings are expected to serve as a consideration for Islamic banks in managing risk and determining appropriate profit-sharing policies to attract customer interest.</w:t>
      </w:r>
    </w:p>
    <w:p w14:paraId="64F28E89" w14:textId="77777777" w:rsidR="00FD3B66" w:rsidRPr="00FD3B66" w:rsidRDefault="00FD3B66" w:rsidP="00273CF6">
      <w:pPr>
        <w:spacing w:before="3" w:line="360" w:lineRule="auto"/>
        <w:ind w:right="-2"/>
        <w:jc w:val="both"/>
        <w:rPr>
          <w:rFonts w:asciiTheme="majorBidi" w:hAnsiTheme="majorBidi" w:cstheme="majorBidi"/>
          <w:b/>
          <w:spacing w:val="-4"/>
          <w:sz w:val="24"/>
          <w:szCs w:val="24"/>
        </w:rPr>
      </w:pPr>
      <w:r w:rsidRPr="00FD3B66">
        <w:rPr>
          <w:rFonts w:asciiTheme="majorBidi" w:hAnsiTheme="majorBidi" w:cstheme="majorBidi"/>
          <w:b/>
          <w:bCs/>
          <w:spacing w:val="-4"/>
          <w:sz w:val="24"/>
          <w:szCs w:val="24"/>
        </w:rPr>
        <w:t>Keywords:</w:t>
      </w:r>
      <w:r w:rsidRPr="00FD3B66">
        <w:rPr>
          <w:rFonts w:asciiTheme="majorBidi" w:hAnsiTheme="majorBidi" w:cstheme="majorBidi"/>
          <w:b/>
          <w:spacing w:val="-4"/>
          <w:sz w:val="24"/>
          <w:szCs w:val="24"/>
        </w:rPr>
        <w:t xml:space="preserve"> Financing Risk, Liquidity Risk, Profit-Sharing Ratio, Mudharabah Deposit, Bank Muamalat Indonesia.</w:t>
      </w:r>
    </w:p>
    <w:p w14:paraId="70BBF81F" w14:textId="77777777" w:rsidR="0002426D" w:rsidRPr="00FD3B66" w:rsidRDefault="0002426D" w:rsidP="00273CF6">
      <w:pPr>
        <w:spacing w:before="3" w:line="360" w:lineRule="auto"/>
        <w:ind w:right="-2"/>
        <w:rPr>
          <w:rFonts w:asciiTheme="majorBidi" w:hAnsiTheme="majorBidi" w:cstheme="majorBidi"/>
          <w:b/>
          <w:spacing w:val="-4"/>
          <w:sz w:val="24"/>
          <w:szCs w:val="24"/>
        </w:rPr>
      </w:pPr>
    </w:p>
    <w:p w14:paraId="618AE65A"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1A0819C9"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6A765918"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4290DD9E"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7B06DFF4"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61CAABE8"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0C3F2845"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76007A4F"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28798288"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5AA898F8"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796D5A16"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10F7D41F" w14:textId="77777777" w:rsidR="0002426D" w:rsidRPr="00FD3B66" w:rsidRDefault="0002426D" w:rsidP="00273CF6">
      <w:pPr>
        <w:spacing w:before="3" w:line="360" w:lineRule="auto"/>
        <w:ind w:right="-2"/>
        <w:jc w:val="center"/>
        <w:rPr>
          <w:rFonts w:asciiTheme="majorBidi" w:hAnsiTheme="majorBidi" w:cstheme="majorBidi"/>
          <w:b/>
          <w:spacing w:val="-4"/>
          <w:sz w:val="24"/>
          <w:szCs w:val="24"/>
        </w:rPr>
      </w:pPr>
    </w:p>
    <w:p w14:paraId="735C961F" w14:textId="77777777" w:rsidR="0002426D" w:rsidRPr="00FD3B66" w:rsidRDefault="0002426D" w:rsidP="00273CF6">
      <w:pPr>
        <w:spacing w:before="3" w:line="360" w:lineRule="auto"/>
        <w:ind w:right="-2"/>
        <w:rPr>
          <w:rFonts w:asciiTheme="majorBidi" w:hAnsiTheme="majorBidi" w:cstheme="majorBidi"/>
          <w:b/>
          <w:spacing w:val="-4"/>
          <w:sz w:val="24"/>
          <w:szCs w:val="24"/>
        </w:rPr>
      </w:pPr>
    </w:p>
    <w:p w14:paraId="5814E414" w14:textId="4E4F7935" w:rsidR="0002426D" w:rsidRPr="00BB72E7" w:rsidRDefault="0002426D" w:rsidP="00273CF6">
      <w:pPr>
        <w:pStyle w:val="Heading1"/>
        <w:ind w:right="-2"/>
        <w:jc w:val="center"/>
        <w:rPr>
          <w:rFonts w:asciiTheme="majorBidi" w:hAnsiTheme="majorBidi"/>
          <w:b/>
          <w:bCs/>
          <w:color w:val="auto"/>
          <w:sz w:val="24"/>
          <w:szCs w:val="24"/>
        </w:rPr>
      </w:pPr>
      <w:bookmarkStart w:id="7" w:name="_Toc201063292"/>
      <w:r w:rsidRPr="00BB72E7">
        <w:rPr>
          <w:rFonts w:asciiTheme="majorBidi" w:hAnsiTheme="majorBidi"/>
          <w:b/>
          <w:bCs/>
          <w:color w:val="auto"/>
          <w:sz w:val="24"/>
          <w:szCs w:val="24"/>
        </w:rPr>
        <w:lastRenderedPageBreak/>
        <w:t>ABSTRAK</w:t>
      </w:r>
      <w:bookmarkEnd w:id="7"/>
    </w:p>
    <w:p w14:paraId="7F9AA1A8" w14:textId="77777777" w:rsidR="00A42616" w:rsidRPr="00BB72E7" w:rsidRDefault="00A42616" w:rsidP="00273CF6">
      <w:pPr>
        <w:ind w:right="-2"/>
      </w:pPr>
    </w:p>
    <w:p w14:paraId="321EFF7F" w14:textId="5439E2DD" w:rsidR="00FD3B66" w:rsidRPr="00FD3B66" w:rsidRDefault="00FD3B66" w:rsidP="00273CF6">
      <w:pPr>
        <w:pStyle w:val="ListParagraph"/>
        <w:spacing w:before="3" w:line="360" w:lineRule="auto"/>
        <w:ind w:left="0" w:right="-2" w:firstLine="709"/>
        <w:jc w:val="both"/>
        <w:rPr>
          <w:rFonts w:asciiTheme="majorBidi" w:hAnsiTheme="majorBidi" w:cstheme="majorBidi"/>
          <w:bCs/>
          <w:spacing w:val="-4"/>
          <w:sz w:val="24"/>
          <w:szCs w:val="24"/>
          <w:lang w:val="pt-BR"/>
        </w:rPr>
      </w:pPr>
      <w:r w:rsidRPr="00BB72E7">
        <w:rPr>
          <w:rFonts w:asciiTheme="majorBidi" w:hAnsiTheme="majorBidi" w:cstheme="majorBidi"/>
          <w:bCs/>
          <w:spacing w:val="-4"/>
          <w:sz w:val="24"/>
          <w:szCs w:val="24"/>
        </w:rPr>
        <w:t xml:space="preserve">Penelitian ini bertujuan untuk menganalisis pengaruh risiko pembiayaan (Non Performing Financing/NPF), risiko likuiditas (Financing to Deposit Ratio/FDR), dan nisbah bagi hasil terhadap deposito mudharabah pada Bank Muamalat Indonesia periode 2017–2024. </w:t>
      </w:r>
      <w:r w:rsidRPr="00FD3B66">
        <w:rPr>
          <w:rFonts w:asciiTheme="majorBidi" w:hAnsiTheme="majorBidi" w:cstheme="majorBidi"/>
          <w:bCs/>
          <w:spacing w:val="-4"/>
          <w:sz w:val="24"/>
          <w:szCs w:val="24"/>
          <w:lang w:val="sv-SE"/>
        </w:rPr>
        <w:t xml:space="preserve">Metode yang digunakan adalah pendekatan kuantitatif dengan teknik analisis regresi linier berganda. Data yang digunakan merupakan data sekunder yang diperoleh dari laporan keuangan triwulanan Bank Muamalat Indonesia. Hasil penelitian menunjukkan bahwa secara parsial, risiko pembiayaan (NPF) dan nisbah bagi hasil tidak berpengaruh signifikan terhadap deposito mudharabah. </w:t>
      </w:r>
      <w:r w:rsidRPr="00FD3B66">
        <w:rPr>
          <w:rFonts w:asciiTheme="majorBidi" w:hAnsiTheme="majorBidi" w:cstheme="majorBidi"/>
          <w:bCs/>
          <w:spacing w:val="-4"/>
          <w:sz w:val="24"/>
          <w:szCs w:val="24"/>
          <w:lang w:val="pt-BR"/>
        </w:rPr>
        <w:t>Sementara itu, risiko likuiditas (FDR) berpengaruh negatif signifikan terhadap deposito mudharabah. Secara simultan, ketiga variabel tersebut berpengaruh signifikan terhadap deposito mudharabah. Hasil penelitian ini diharapkan dapat menjadi pertimbangan bagi perbankan syariah dalam mengelola risiko dan menetapkan kebijakan nisbah bagi hasil untuk menarik minat nasabah.</w:t>
      </w:r>
    </w:p>
    <w:p w14:paraId="6A3C72B1" w14:textId="77777777" w:rsidR="00FD3B66" w:rsidRPr="00A42616" w:rsidRDefault="00FD3B66" w:rsidP="00273CF6">
      <w:pPr>
        <w:spacing w:before="3" w:line="360" w:lineRule="auto"/>
        <w:ind w:right="-2"/>
        <w:jc w:val="both"/>
        <w:rPr>
          <w:rFonts w:asciiTheme="majorBidi" w:hAnsiTheme="majorBidi" w:cstheme="majorBidi"/>
          <w:b/>
          <w:spacing w:val="-4"/>
          <w:sz w:val="24"/>
          <w:szCs w:val="24"/>
          <w:lang w:val="pt-BR"/>
        </w:rPr>
      </w:pPr>
      <w:r w:rsidRPr="00A42616">
        <w:rPr>
          <w:rFonts w:asciiTheme="majorBidi" w:hAnsiTheme="majorBidi" w:cstheme="majorBidi"/>
          <w:b/>
          <w:spacing w:val="-4"/>
          <w:sz w:val="24"/>
          <w:szCs w:val="24"/>
          <w:lang w:val="pt-BR"/>
        </w:rPr>
        <w:t>Kata Kunci: Risiko Pembiayaan, Risiko Likuiditas, Nisbah Bagi Hasil, Deposito Mudharabah, Bank Muamalat Indonesia.</w:t>
      </w:r>
    </w:p>
    <w:p w14:paraId="5399E3DB" w14:textId="77777777" w:rsidR="00EC11E7" w:rsidRPr="00F03CA5" w:rsidRDefault="00EC11E7" w:rsidP="00EC11E7">
      <w:pPr>
        <w:pStyle w:val="ListParagraph"/>
        <w:spacing w:before="3" w:line="360" w:lineRule="auto"/>
        <w:ind w:left="949" w:right="980"/>
        <w:rPr>
          <w:rFonts w:asciiTheme="majorBidi" w:hAnsiTheme="majorBidi" w:cstheme="majorBidi"/>
          <w:bCs/>
          <w:spacing w:val="-4"/>
          <w:sz w:val="24"/>
          <w:szCs w:val="24"/>
          <w:lang w:val="pt-BR"/>
        </w:rPr>
      </w:pPr>
    </w:p>
    <w:p w14:paraId="36EA8B69" w14:textId="77777777" w:rsidR="00F03CA5" w:rsidRDefault="00F03CA5" w:rsidP="00B51544">
      <w:pPr>
        <w:spacing w:before="3" w:line="360" w:lineRule="auto"/>
        <w:ind w:left="589" w:right="980"/>
        <w:jc w:val="center"/>
        <w:rPr>
          <w:rFonts w:asciiTheme="majorBidi" w:hAnsiTheme="majorBidi" w:cstheme="majorBidi"/>
          <w:b/>
          <w:spacing w:val="-4"/>
          <w:sz w:val="24"/>
          <w:szCs w:val="24"/>
          <w:lang w:val="pt-BR"/>
        </w:rPr>
      </w:pPr>
    </w:p>
    <w:p w14:paraId="675B7F37"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09ADE6E2"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7DAB82C0"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735C1B1D"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3745A358"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39B0DCC4"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3D0D6C3C"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198F650F"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70FC74EA"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4084DA9B" w14:textId="77777777" w:rsidR="0002426D" w:rsidRDefault="0002426D" w:rsidP="00B51544">
      <w:pPr>
        <w:spacing w:before="3" w:line="360" w:lineRule="auto"/>
        <w:ind w:left="589" w:right="980"/>
        <w:jc w:val="center"/>
        <w:rPr>
          <w:rFonts w:asciiTheme="majorBidi" w:hAnsiTheme="majorBidi" w:cstheme="majorBidi"/>
          <w:b/>
          <w:spacing w:val="-4"/>
          <w:sz w:val="24"/>
          <w:szCs w:val="24"/>
          <w:lang w:val="pt-BR"/>
        </w:rPr>
      </w:pPr>
    </w:p>
    <w:p w14:paraId="042E5886" w14:textId="77777777" w:rsidR="00A42616" w:rsidRDefault="00A42616" w:rsidP="00A42616">
      <w:pPr>
        <w:spacing w:before="3" w:line="360" w:lineRule="auto"/>
        <w:ind w:right="980"/>
        <w:rPr>
          <w:rFonts w:asciiTheme="majorBidi" w:hAnsiTheme="majorBidi" w:cstheme="majorBidi"/>
          <w:b/>
          <w:spacing w:val="-4"/>
          <w:sz w:val="24"/>
          <w:szCs w:val="24"/>
          <w:lang w:val="pt-BR"/>
        </w:rPr>
      </w:pPr>
    </w:p>
    <w:p w14:paraId="06815337" w14:textId="30C054B4" w:rsidR="0002426D" w:rsidRDefault="0002426D" w:rsidP="00A42616">
      <w:pPr>
        <w:pStyle w:val="Heading1"/>
        <w:jc w:val="center"/>
        <w:rPr>
          <w:rFonts w:asciiTheme="majorBidi" w:hAnsiTheme="majorBidi"/>
          <w:b/>
          <w:bCs/>
          <w:color w:val="auto"/>
          <w:sz w:val="24"/>
          <w:szCs w:val="24"/>
          <w:lang w:val="pt-BR"/>
        </w:rPr>
      </w:pPr>
      <w:bookmarkStart w:id="8" w:name="_Toc201063293"/>
      <w:r w:rsidRPr="00A42616">
        <w:rPr>
          <w:rFonts w:asciiTheme="majorBidi" w:hAnsiTheme="majorBidi"/>
          <w:b/>
          <w:bCs/>
          <w:color w:val="auto"/>
          <w:sz w:val="24"/>
          <w:szCs w:val="24"/>
          <w:lang w:val="pt-BR"/>
        </w:rPr>
        <w:lastRenderedPageBreak/>
        <w:t>KATA PENGANTAR</w:t>
      </w:r>
      <w:bookmarkEnd w:id="8"/>
    </w:p>
    <w:p w14:paraId="7A76D6AB" w14:textId="77777777" w:rsidR="00A42616" w:rsidRPr="00A42616" w:rsidRDefault="00A42616" w:rsidP="00A42616">
      <w:pPr>
        <w:rPr>
          <w:lang w:val="pt-BR"/>
        </w:rPr>
      </w:pPr>
    </w:p>
    <w:p w14:paraId="580C86EF" w14:textId="1BE1C668" w:rsidR="00F03CA5" w:rsidRDefault="00DA2D10" w:rsidP="00F143CE">
      <w:pPr>
        <w:spacing w:before="3" w:line="360" w:lineRule="auto"/>
        <w:ind w:right="980"/>
        <w:jc w:val="both"/>
        <w:rPr>
          <w:rFonts w:asciiTheme="majorBidi" w:hAnsiTheme="majorBidi" w:cstheme="majorBidi"/>
          <w:bCs/>
          <w:i/>
          <w:iCs/>
          <w:spacing w:val="-4"/>
          <w:sz w:val="24"/>
          <w:szCs w:val="24"/>
          <w:lang w:val="pt-BR"/>
        </w:rPr>
      </w:pPr>
      <w:r w:rsidRPr="00DA2D10">
        <w:rPr>
          <w:rFonts w:asciiTheme="majorBidi" w:hAnsiTheme="majorBidi" w:cstheme="majorBidi"/>
          <w:bCs/>
          <w:i/>
          <w:iCs/>
          <w:spacing w:val="-4"/>
          <w:sz w:val="24"/>
          <w:szCs w:val="24"/>
          <w:lang w:val="pt-BR"/>
        </w:rPr>
        <w:t>Assalamualaikum Wr.Wb</w:t>
      </w:r>
      <w:r w:rsidR="00F143CE">
        <w:rPr>
          <w:rFonts w:asciiTheme="majorBidi" w:hAnsiTheme="majorBidi" w:cstheme="majorBidi"/>
          <w:bCs/>
          <w:i/>
          <w:iCs/>
          <w:spacing w:val="-4"/>
          <w:sz w:val="24"/>
          <w:szCs w:val="24"/>
          <w:lang w:val="pt-BR"/>
        </w:rPr>
        <w:t>.</w:t>
      </w:r>
    </w:p>
    <w:p w14:paraId="21435A92" w14:textId="77777777" w:rsidR="00F143CE" w:rsidRDefault="00DA2D10" w:rsidP="00ED5418">
      <w:pPr>
        <w:spacing w:before="3" w:line="360" w:lineRule="auto"/>
        <w:ind w:right="-2" w:firstLine="720"/>
        <w:jc w:val="both"/>
        <w:rPr>
          <w:rFonts w:asciiTheme="majorBidi" w:hAnsiTheme="majorBidi" w:cstheme="majorBidi"/>
          <w:bCs/>
          <w:spacing w:val="-4"/>
          <w:sz w:val="24"/>
          <w:szCs w:val="24"/>
          <w:lang w:val="pt-BR"/>
        </w:rPr>
      </w:pPr>
      <w:r w:rsidRPr="00DA2D10">
        <w:rPr>
          <w:rFonts w:asciiTheme="majorBidi" w:hAnsiTheme="majorBidi" w:cstheme="majorBidi"/>
          <w:bCs/>
          <w:spacing w:val="-4"/>
          <w:sz w:val="24"/>
          <w:szCs w:val="24"/>
          <w:lang w:val="pt-BR"/>
        </w:rPr>
        <w:t>Puji syukur kehadirat Allah SWT, Tuhan Yang Maha pengasih lagi Maha</w:t>
      </w:r>
      <w:r>
        <w:rPr>
          <w:rFonts w:asciiTheme="majorBidi" w:hAnsiTheme="majorBidi" w:cstheme="majorBidi"/>
          <w:bCs/>
          <w:spacing w:val="-4"/>
          <w:sz w:val="24"/>
          <w:szCs w:val="24"/>
          <w:lang w:val="pt-BR"/>
        </w:rPr>
        <w:t xml:space="preserve"> Penyanyang. </w:t>
      </w:r>
      <w:r w:rsidRPr="00DA2D10">
        <w:rPr>
          <w:rFonts w:asciiTheme="majorBidi" w:hAnsiTheme="majorBidi" w:cstheme="majorBidi"/>
          <w:bCs/>
          <w:spacing w:val="-4"/>
          <w:sz w:val="24"/>
          <w:szCs w:val="24"/>
          <w:lang w:val="pt-BR"/>
        </w:rPr>
        <w:t>Berkat rahmat dan karunia-Nya penulis bisa menyelesaikan skripsi ini guna memenuhi tugas akhir dan persyaratan memperoleh gelar Sarjana Strata (S.1) program studi Perbankan Syariah Fakultas Ekonomi dan Bisnis Islam Universitas islam</w:t>
      </w:r>
      <w:r>
        <w:rPr>
          <w:rFonts w:asciiTheme="majorBidi" w:hAnsiTheme="majorBidi" w:cstheme="majorBidi"/>
          <w:bCs/>
          <w:spacing w:val="-4"/>
          <w:sz w:val="24"/>
          <w:szCs w:val="24"/>
          <w:lang w:val="pt-BR"/>
        </w:rPr>
        <w:t xml:space="preserve"> Negeri Walisongo Semarang. Shalawat dan salam senantiasa tercurahkan kepada baginda Nabi besar Muhammad SAW. </w:t>
      </w:r>
      <w:r w:rsidRPr="00DA2D10">
        <w:rPr>
          <w:rFonts w:asciiTheme="majorBidi" w:hAnsiTheme="majorBidi" w:cstheme="majorBidi"/>
          <w:bCs/>
          <w:spacing w:val="-4"/>
          <w:sz w:val="24"/>
          <w:szCs w:val="24"/>
          <w:lang w:val="pt-BR"/>
        </w:rPr>
        <w:t>Berkat anugerah tersebut, penulis dapat menyelsaikan penyusunan skripsi yang berjudul ”Pengaruh Ananlis</w:t>
      </w:r>
      <w:r>
        <w:rPr>
          <w:rFonts w:asciiTheme="majorBidi" w:hAnsiTheme="majorBidi" w:cstheme="majorBidi"/>
          <w:bCs/>
          <w:spacing w:val="-4"/>
          <w:sz w:val="24"/>
          <w:szCs w:val="24"/>
          <w:lang w:val="pt-BR"/>
        </w:rPr>
        <w:t>is Risiko Pembiayaan, Risiko Likuiditas Dan Nisbah Bagi Hasil Terhadap Deposito Mudharabah Di Bank Muamalat Indonesia Periode 2017 – 2024”.</w:t>
      </w:r>
    </w:p>
    <w:p w14:paraId="2BADA8B6" w14:textId="748EB1AE" w:rsidR="00DA2D10" w:rsidRDefault="00DA2D10" w:rsidP="00ED5418">
      <w:pPr>
        <w:spacing w:before="3" w:line="360" w:lineRule="auto"/>
        <w:ind w:right="-2" w:firstLine="720"/>
        <w:jc w:val="both"/>
        <w:rPr>
          <w:rFonts w:asciiTheme="majorBidi" w:hAnsiTheme="majorBidi" w:cstheme="majorBidi"/>
          <w:bCs/>
          <w:spacing w:val="-4"/>
          <w:sz w:val="24"/>
          <w:szCs w:val="24"/>
          <w:lang w:val="pt-BR"/>
        </w:rPr>
      </w:pPr>
      <w:r w:rsidRPr="00DA2D10">
        <w:rPr>
          <w:rFonts w:asciiTheme="majorBidi" w:hAnsiTheme="majorBidi" w:cstheme="majorBidi"/>
          <w:bCs/>
          <w:spacing w:val="-4"/>
          <w:sz w:val="24"/>
          <w:szCs w:val="24"/>
          <w:lang w:val="pt-BR"/>
        </w:rPr>
        <w:t>Penulis menyadari sepenuhnya bahwa proses penyusunan hingga peny</w:t>
      </w:r>
      <w:r>
        <w:rPr>
          <w:rFonts w:asciiTheme="majorBidi" w:hAnsiTheme="majorBidi" w:cstheme="majorBidi"/>
          <w:bCs/>
          <w:spacing w:val="-4"/>
          <w:sz w:val="24"/>
          <w:szCs w:val="24"/>
          <w:lang w:val="pt-BR"/>
        </w:rPr>
        <w:t xml:space="preserve">elesaian skripsi ini bukanlah hal yang mudah. Namun, terdapat pihak-pihak dibalik layar yang selalu memberikan inspirasi, dukungan baik fisik maupun non fisik, motivasi, bimbingan, saran, dan doa. </w:t>
      </w:r>
      <w:r w:rsidRPr="00DA2D10">
        <w:rPr>
          <w:rFonts w:asciiTheme="majorBidi" w:hAnsiTheme="majorBidi" w:cstheme="majorBidi"/>
          <w:bCs/>
          <w:spacing w:val="-4"/>
          <w:sz w:val="24"/>
          <w:szCs w:val="24"/>
          <w:lang w:val="pt-BR"/>
        </w:rPr>
        <w:t>Oleh karena itu, atas terselesaikannya tugas akhir ini, penulis ingin mengucpakan terima kasih yang sebesar-besarnya kepada berbaga</w:t>
      </w:r>
      <w:r>
        <w:rPr>
          <w:rFonts w:asciiTheme="majorBidi" w:hAnsiTheme="majorBidi" w:cstheme="majorBidi"/>
          <w:bCs/>
          <w:spacing w:val="-4"/>
          <w:sz w:val="24"/>
          <w:szCs w:val="24"/>
          <w:lang w:val="pt-BR"/>
        </w:rPr>
        <w:t>i pihak, di antaranya :</w:t>
      </w:r>
    </w:p>
    <w:p w14:paraId="5575A945" w14:textId="2F7FAB7C" w:rsidR="00DA2D10" w:rsidRDefault="00DA2D10">
      <w:pPr>
        <w:pStyle w:val="ListParagraph"/>
        <w:numPr>
          <w:ilvl w:val="0"/>
          <w:numId w:val="28"/>
        </w:numPr>
        <w:spacing w:before="3" w:line="360" w:lineRule="auto"/>
        <w:ind w:right="-2"/>
        <w:jc w:val="both"/>
        <w:rPr>
          <w:rFonts w:asciiTheme="majorBidi" w:hAnsiTheme="majorBidi" w:cstheme="majorBidi"/>
          <w:bCs/>
          <w:spacing w:val="-4"/>
          <w:sz w:val="24"/>
          <w:szCs w:val="24"/>
          <w:lang w:val="pt-BR"/>
        </w:rPr>
      </w:pPr>
      <w:r w:rsidRPr="00481EE6">
        <w:rPr>
          <w:rFonts w:asciiTheme="majorBidi" w:hAnsiTheme="majorBidi" w:cstheme="majorBidi"/>
          <w:bCs/>
          <w:spacing w:val="-4"/>
          <w:sz w:val="24"/>
          <w:szCs w:val="24"/>
          <w:lang w:val="pt-BR"/>
        </w:rPr>
        <w:t>Prof. Dr. H. Nizar, M. Ag</w:t>
      </w:r>
      <w:r w:rsidR="00481EE6" w:rsidRPr="00481EE6">
        <w:rPr>
          <w:rFonts w:asciiTheme="majorBidi" w:hAnsiTheme="majorBidi" w:cstheme="majorBidi"/>
          <w:bCs/>
          <w:spacing w:val="-4"/>
          <w:sz w:val="24"/>
          <w:szCs w:val="24"/>
          <w:lang w:val="pt-BR"/>
        </w:rPr>
        <w:t>., selaku Rektor Universitas Islam Negeri Walisongo Sem</w:t>
      </w:r>
      <w:r w:rsidR="00481EE6">
        <w:rPr>
          <w:rFonts w:asciiTheme="majorBidi" w:hAnsiTheme="majorBidi" w:cstheme="majorBidi"/>
          <w:bCs/>
          <w:spacing w:val="-4"/>
          <w:sz w:val="24"/>
          <w:szCs w:val="24"/>
          <w:lang w:val="pt-BR"/>
        </w:rPr>
        <w:t>arang.</w:t>
      </w:r>
    </w:p>
    <w:p w14:paraId="3D0EC151" w14:textId="26085DEF" w:rsidR="00481EE6" w:rsidRDefault="00481EE6">
      <w:pPr>
        <w:pStyle w:val="ListParagraph"/>
        <w:numPr>
          <w:ilvl w:val="0"/>
          <w:numId w:val="28"/>
        </w:numPr>
        <w:spacing w:before="3" w:line="360" w:lineRule="auto"/>
        <w:ind w:right="-2"/>
        <w:jc w:val="both"/>
        <w:rPr>
          <w:rFonts w:asciiTheme="majorBidi" w:hAnsiTheme="majorBidi" w:cstheme="majorBidi"/>
          <w:bCs/>
          <w:spacing w:val="-4"/>
          <w:sz w:val="24"/>
          <w:szCs w:val="24"/>
          <w:lang w:val="sv-SE"/>
        </w:rPr>
      </w:pPr>
      <w:r w:rsidRPr="00481EE6">
        <w:rPr>
          <w:rFonts w:asciiTheme="majorBidi" w:hAnsiTheme="majorBidi" w:cstheme="majorBidi"/>
          <w:bCs/>
          <w:spacing w:val="-4"/>
          <w:sz w:val="24"/>
          <w:szCs w:val="24"/>
          <w:lang w:val="sv-SE"/>
        </w:rPr>
        <w:t>Dr. H. Nur Fatoni, M. Ag., se</w:t>
      </w:r>
      <w:r>
        <w:rPr>
          <w:rFonts w:asciiTheme="majorBidi" w:hAnsiTheme="majorBidi" w:cstheme="majorBidi"/>
          <w:bCs/>
          <w:spacing w:val="-4"/>
          <w:sz w:val="24"/>
          <w:szCs w:val="24"/>
          <w:lang w:val="sv-SE"/>
        </w:rPr>
        <w:t>laku Dekan Fakultas Ekonomi dan Bisnis Islam UIN Walisongo Semarang.</w:t>
      </w:r>
    </w:p>
    <w:p w14:paraId="33FF105C" w14:textId="77777777" w:rsidR="00925216" w:rsidRDefault="00481EE6">
      <w:pPr>
        <w:pStyle w:val="ListParagraph"/>
        <w:numPr>
          <w:ilvl w:val="0"/>
          <w:numId w:val="28"/>
        </w:numPr>
        <w:spacing w:before="3" w:line="360" w:lineRule="auto"/>
        <w:ind w:right="-2"/>
        <w:jc w:val="both"/>
        <w:rPr>
          <w:rFonts w:asciiTheme="majorBidi" w:hAnsiTheme="majorBidi" w:cstheme="majorBidi"/>
          <w:bCs/>
          <w:spacing w:val="-4"/>
          <w:sz w:val="24"/>
          <w:szCs w:val="24"/>
          <w:lang w:val="sv-SE"/>
        </w:rPr>
      </w:pPr>
      <w:r>
        <w:rPr>
          <w:rFonts w:asciiTheme="majorBidi" w:hAnsiTheme="majorBidi" w:cstheme="majorBidi"/>
          <w:bCs/>
          <w:spacing w:val="-4"/>
          <w:sz w:val="24"/>
          <w:szCs w:val="24"/>
          <w:lang w:val="sv-SE"/>
        </w:rPr>
        <w:t xml:space="preserve">Bapak </w:t>
      </w:r>
      <w:r w:rsidRPr="00481EE6">
        <w:rPr>
          <w:rFonts w:asciiTheme="majorBidi" w:hAnsiTheme="majorBidi" w:cstheme="majorBidi"/>
          <w:bCs/>
          <w:spacing w:val="-4"/>
          <w:sz w:val="24"/>
          <w:szCs w:val="24"/>
          <w:lang w:val="sv-SE"/>
        </w:rPr>
        <w:t>Arif Afendi, S. E., M. Sc., selaku Ketua Prodi S1 Perbankan Syari</w:t>
      </w:r>
      <w:r>
        <w:rPr>
          <w:rFonts w:asciiTheme="majorBidi" w:hAnsiTheme="majorBidi" w:cstheme="majorBidi"/>
          <w:bCs/>
          <w:spacing w:val="-4"/>
          <w:sz w:val="24"/>
          <w:szCs w:val="24"/>
          <w:lang w:val="sv-SE"/>
        </w:rPr>
        <w:t>ah dan Ibu Mardhiyaturrositaningsih, S. E. Sy.,M. E., selaku sekretaris Prodi S1 Perbanka Syariah.</w:t>
      </w:r>
    </w:p>
    <w:p w14:paraId="02B6A8BB" w14:textId="62F14CF1" w:rsidR="00925216" w:rsidRPr="00925216" w:rsidRDefault="00925216">
      <w:pPr>
        <w:pStyle w:val="ListParagraph"/>
        <w:numPr>
          <w:ilvl w:val="0"/>
          <w:numId w:val="28"/>
        </w:numPr>
        <w:spacing w:before="3" w:line="360" w:lineRule="auto"/>
        <w:ind w:right="-2"/>
        <w:jc w:val="both"/>
        <w:rPr>
          <w:rFonts w:asciiTheme="majorBidi" w:hAnsiTheme="majorBidi" w:cstheme="majorBidi"/>
          <w:bCs/>
          <w:spacing w:val="-4"/>
          <w:sz w:val="24"/>
          <w:szCs w:val="24"/>
          <w:lang w:val="sv-SE"/>
        </w:rPr>
      </w:pPr>
      <w:r w:rsidRPr="00925216">
        <w:rPr>
          <w:rFonts w:asciiTheme="majorBidi" w:hAnsiTheme="majorBidi" w:cstheme="majorBidi"/>
          <w:bCs/>
          <w:sz w:val="24"/>
          <w:szCs w:val="24"/>
          <w:lang w:val="sv-SE"/>
        </w:rPr>
        <w:t>Prof. Dr. H. Muhlis, M.Si</w:t>
      </w:r>
      <w:r>
        <w:rPr>
          <w:rFonts w:asciiTheme="majorBidi" w:hAnsiTheme="majorBidi" w:cstheme="majorBidi"/>
          <w:bCs/>
          <w:sz w:val="24"/>
          <w:szCs w:val="24"/>
          <w:lang w:val="sv-SE"/>
        </w:rPr>
        <w:t>.,</w:t>
      </w:r>
      <w:r w:rsidRPr="00925216">
        <w:rPr>
          <w:rFonts w:asciiTheme="majorBidi" w:hAnsiTheme="majorBidi" w:cstheme="majorBidi"/>
          <w:bCs/>
          <w:sz w:val="24"/>
          <w:szCs w:val="24"/>
          <w:lang w:val="sv-SE"/>
        </w:rPr>
        <w:t xml:space="preserve"> selaku </w:t>
      </w:r>
      <w:r>
        <w:rPr>
          <w:rFonts w:asciiTheme="majorBidi" w:hAnsiTheme="majorBidi" w:cstheme="majorBidi"/>
          <w:bCs/>
          <w:sz w:val="24"/>
          <w:szCs w:val="24"/>
          <w:lang w:val="sv-SE"/>
        </w:rPr>
        <w:t>P</w:t>
      </w:r>
      <w:r w:rsidRPr="00925216">
        <w:rPr>
          <w:rFonts w:asciiTheme="majorBidi" w:hAnsiTheme="majorBidi" w:cstheme="majorBidi"/>
          <w:bCs/>
          <w:sz w:val="24"/>
          <w:szCs w:val="24"/>
          <w:lang w:val="sv-SE"/>
        </w:rPr>
        <w:t>embimbing I dan</w:t>
      </w:r>
      <w:r>
        <w:rPr>
          <w:rFonts w:asciiTheme="majorBidi" w:hAnsiTheme="majorBidi" w:cstheme="majorBidi"/>
          <w:bCs/>
          <w:sz w:val="24"/>
          <w:szCs w:val="24"/>
          <w:lang w:val="sv-SE"/>
        </w:rPr>
        <w:t xml:space="preserve"> Ibu </w:t>
      </w:r>
      <w:r w:rsidRPr="00925216">
        <w:rPr>
          <w:rFonts w:asciiTheme="majorBidi" w:hAnsiTheme="majorBidi" w:cstheme="majorBidi"/>
          <w:bCs/>
          <w:sz w:val="24"/>
          <w:szCs w:val="24"/>
          <w:lang w:val="sv-SE"/>
        </w:rPr>
        <w:t>Ana Zahrotun Nihayah, S.E., M.A.</w:t>
      </w:r>
      <w:r>
        <w:rPr>
          <w:rFonts w:asciiTheme="majorBidi" w:hAnsiTheme="majorBidi" w:cstheme="majorBidi"/>
          <w:bCs/>
          <w:sz w:val="24"/>
          <w:szCs w:val="24"/>
          <w:lang w:val="sv-SE"/>
        </w:rPr>
        <w:t>, selaku Pembimbing II, yang telah meluangkan waktu, tenaga, dan pikiran untuk memberikan arahan dan bimbingan kepada penulis dalam rangka penyusunan skripsi.</w:t>
      </w:r>
    </w:p>
    <w:p w14:paraId="6872D5A7" w14:textId="59508273" w:rsidR="00481EE6" w:rsidRDefault="00925216">
      <w:pPr>
        <w:pStyle w:val="ListParagraph"/>
        <w:numPr>
          <w:ilvl w:val="0"/>
          <w:numId w:val="28"/>
        </w:numPr>
        <w:spacing w:before="3" w:line="360" w:lineRule="auto"/>
        <w:ind w:right="-2"/>
        <w:jc w:val="both"/>
        <w:rPr>
          <w:rFonts w:asciiTheme="majorBidi" w:hAnsiTheme="majorBidi" w:cstheme="majorBidi"/>
          <w:bCs/>
          <w:spacing w:val="-4"/>
          <w:sz w:val="24"/>
          <w:szCs w:val="24"/>
          <w:lang w:val="sv-SE"/>
        </w:rPr>
      </w:pPr>
      <w:r w:rsidRPr="00925216">
        <w:rPr>
          <w:rFonts w:asciiTheme="majorBidi" w:hAnsiTheme="majorBidi" w:cstheme="majorBidi"/>
          <w:bCs/>
          <w:spacing w:val="-4"/>
          <w:sz w:val="24"/>
          <w:szCs w:val="24"/>
          <w:lang w:val="sv-SE"/>
        </w:rPr>
        <w:t>Ibu Heny Yuningrum, SE., MM., selaku Wali Dosen yang sel</w:t>
      </w:r>
      <w:r>
        <w:rPr>
          <w:rFonts w:asciiTheme="majorBidi" w:hAnsiTheme="majorBidi" w:cstheme="majorBidi"/>
          <w:bCs/>
          <w:spacing w:val="-4"/>
          <w:sz w:val="24"/>
          <w:szCs w:val="24"/>
          <w:lang w:val="sv-SE"/>
        </w:rPr>
        <w:t>alu memberikan dukungan dan nasihat.</w:t>
      </w:r>
    </w:p>
    <w:p w14:paraId="7D3D3117" w14:textId="4C62AC2F" w:rsidR="00925216" w:rsidRDefault="00925216">
      <w:pPr>
        <w:pStyle w:val="ListParagraph"/>
        <w:numPr>
          <w:ilvl w:val="0"/>
          <w:numId w:val="28"/>
        </w:numPr>
        <w:spacing w:before="3" w:line="360" w:lineRule="auto"/>
        <w:ind w:right="-2"/>
        <w:jc w:val="both"/>
        <w:rPr>
          <w:rFonts w:asciiTheme="majorBidi" w:hAnsiTheme="majorBidi" w:cstheme="majorBidi"/>
          <w:bCs/>
          <w:spacing w:val="-4"/>
          <w:sz w:val="24"/>
          <w:szCs w:val="24"/>
          <w:lang w:val="sv-SE"/>
        </w:rPr>
      </w:pPr>
      <w:r w:rsidRPr="00925216">
        <w:rPr>
          <w:rFonts w:asciiTheme="majorBidi" w:hAnsiTheme="majorBidi" w:cstheme="majorBidi"/>
          <w:bCs/>
          <w:spacing w:val="-4"/>
          <w:sz w:val="24"/>
          <w:szCs w:val="24"/>
          <w:lang w:val="sv-SE"/>
        </w:rPr>
        <w:t>Seluruh dosen, Staff Karyawan, dan Civitas Akademik</w:t>
      </w:r>
      <w:r>
        <w:rPr>
          <w:rFonts w:asciiTheme="majorBidi" w:hAnsiTheme="majorBidi" w:cstheme="majorBidi"/>
          <w:bCs/>
          <w:spacing w:val="-4"/>
          <w:sz w:val="24"/>
          <w:szCs w:val="24"/>
          <w:lang w:val="sv-SE"/>
        </w:rPr>
        <w:t>a Fakultas Ekonomi dan Bisnis Islam UIN Walisongo Semarang yang telah memberi ilmu, pengetahuan, dan motivasi sehingga penulis mampu menyelesaikan penulisan skripsi ini.</w:t>
      </w:r>
    </w:p>
    <w:p w14:paraId="0A8050A7" w14:textId="073D1DF8" w:rsidR="00925216" w:rsidRDefault="00925216">
      <w:pPr>
        <w:pStyle w:val="ListParagraph"/>
        <w:numPr>
          <w:ilvl w:val="0"/>
          <w:numId w:val="28"/>
        </w:numPr>
        <w:spacing w:before="3" w:line="360" w:lineRule="auto"/>
        <w:ind w:right="-2"/>
        <w:jc w:val="both"/>
        <w:rPr>
          <w:rFonts w:asciiTheme="majorBidi" w:hAnsiTheme="majorBidi" w:cstheme="majorBidi"/>
          <w:bCs/>
          <w:spacing w:val="-4"/>
          <w:sz w:val="24"/>
          <w:szCs w:val="24"/>
          <w:lang w:val="sv-SE"/>
        </w:rPr>
      </w:pPr>
      <w:r>
        <w:rPr>
          <w:rFonts w:asciiTheme="majorBidi" w:hAnsiTheme="majorBidi" w:cstheme="majorBidi"/>
          <w:bCs/>
          <w:spacing w:val="-4"/>
          <w:sz w:val="24"/>
          <w:szCs w:val="24"/>
          <w:lang w:val="sv-SE"/>
        </w:rPr>
        <w:t>Semua pihak yang tidak dapat penulis sebutkan satu persatu yang telah membantu dalam penyusuna</w:t>
      </w:r>
      <w:r w:rsidR="00991A8D">
        <w:rPr>
          <w:rFonts w:asciiTheme="majorBidi" w:hAnsiTheme="majorBidi" w:cstheme="majorBidi"/>
          <w:bCs/>
          <w:spacing w:val="-4"/>
          <w:sz w:val="24"/>
          <w:szCs w:val="24"/>
          <w:lang w:val="sv-SE"/>
        </w:rPr>
        <w:t>n</w:t>
      </w:r>
      <w:r>
        <w:rPr>
          <w:rFonts w:asciiTheme="majorBidi" w:hAnsiTheme="majorBidi" w:cstheme="majorBidi"/>
          <w:bCs/>
          <w:spacing w:val="-4"/>
          <w:sz w:val="24"/>
          <w:szCs w:val="24"/>
          <w:lang w:val="sv-SE"/>
        </w:rPr>
        <w:t xml:space="preserve"> skripsi ini dan penulis percaya bahwa skripsi ini masih jauh dari kata sempurna, sehingga </w:t>
      </w:r>
      <w:r w:rsidR="00710303">
        <w:rPr>
          <w:rFonts w:asciiTheme="majorBidi" w:hAnsiTheme="majorBidi" w:cstheme="majorBidi"/>
          <w:bCs/>
          <w:spacing w:val="-4"/>
          <w:sz w:val="24"/>
          <w:szCs w:val="24"/>
          <w:lang w:val="sv-SE"/>
        </w:rPr>
        <w:t>penulis akan sangat berterima kasih atas adanya kritik dan saran yang bersifat membangun guna penyempurnaan skripsi ini.</w:t>
      </w:r>
    </w:p>
    <w:p w14:paraId="40FCD3F1" w14:textId="77777777" w:rsidR="00EF3499" w:rsidRDefault="0005736F" w:rsidP="00ED5418">
      <w:pPr>
        <w:spacing w:before="3" w:line="360" w:lineRule="auto"/>
        <w:ind w:right="-2" w:firstLine="709"/>
        <w:jc w:val="both"/>
        <w:rPr>
          <w:rFonts w:asciiTheme="majorBidi" w:hAnsiTheme="majorBidi" w:cstheme="majorBidi"/>
          <w:bCs/>
          <w:spacing w:val="-4"/>
          <w:sz w:val="24"/>
          <w:szCs w:val="24"/>
          <w:lang w:val="sv-SE"/>
        </w:rPr>
      </w:pPr>
      <w:r w:rsidRPr="0005736F">
        <w:rPr>
          <w:rFonts w:asciiTheme="majorBidi" w:hAnsiTheme="majorBidi" w:cstheme="majorBidi"/>
          <w:bCs/>
          <w:spacing w:val="-4"/>
          <w:sz w:val="24"/>
          <w:szCs w:val="24"/>
          <w:lang w:val="sv-SE"/>
        </w:rPr>
        <w:lastRenderedPageBreak/>
        <w:t>Dengan semua kebaikan yang telah diterima, penulis merasa tidak mampu membalas satu per satu dan hanya bisa mengucapkan terima kasih yang mendalam. Semoga segala bantuan dan dukungan yang diberikan mendapatkan imbalan dari Allah SWT.</w:t>
      </w:r>
    </w:p>
    <w:p w14:paraId="0276FC83" w14:textId="342D17F5" w:rsidR="0005736F" w:rsidRDefault="0005736F" w:rsidP="00ED5418">
      <w:pPr>
        <w:spacing w:before="3" w:line="360" w:lineRule="auto"/>
        <w:ind w:right="-2" w:firstLine="709"/>
        <w:jc w:val="both"/>
        <w:rPr>
          <w:rFonts w:asciiTheme="majorBidi" w:hAnsiTheme="majorBidi" w:cstheme="majorBidi"/>
          <w:bCs/>
          <w:spacing w:val="-4"/>
          <w:sz w:val="24"/>
          <w:szCs w:val="24"/>
          <w:lang w:val="sv-SE"/>
        </w:rPr>
      </w:pPr>
      <w:r w:rsidRPr="0005736F">
        <w:rPr>
          <w:rFonts w:asciiTheme="majorBidi" w:hAnsiTheme="majorBidi" w:cstheme="majorBidi"/>
          <w:bCs/>
          <w:spacing w:val="-4"/>
          <w:sz w:val="24"/>
          <w:szCs w:val="24"/>
          <w:lang w:val="sv-SE"/>
        </w:rPr>
        <w:t>Penulis menyadari bahwa skripsi ini masih jauh dari kesempurnaan, baik dari sisi konten, bahasa, maupun penulisannya. Oleh karena itu, saran dan kritik sangat diperlukan agar skripsi ini dapat diperbaiki di masa depan. Penulis berharap skripsi ini bisa memberikan manfaat, menjadi tambahan referensi, dan memberikan kontribusi positif, terutama bagi penulis sendiri dan para pembaca.</w:t>
      </w:r>
    </w:p>
    <w:p w14:paraId="2AB2972B" w14:textId="7BEB06F6" w:rsidR="00EA3D07" w:rsidRPr="00F143CE" w:rsidRDefault="00F143CE" w:rsidP="00ED5418">
      <w:pPr>
        <w:spacing w:before="3" w:line="360" w:lineRule="auto"/>
        <w:ind w:right="-2"/>
        <w:jc w:val="both"/>
        <w:rPr>
          <w:rFonts w:asciiTheme="majorBidi" w:hAnsiTheme="majorBidi" w:cstheme="majorBidi"/>
          <w:bCs/>
          <w:i/>
          <w:iCs/>
          <w:spacing w:val="-4"/>
          <w:sz w:val="24"/>
          <w:szCs w:val="24"/>
          <w:lang w:val="sv-SE"/>
        </w:rPr>
      </w:pPr>
      <w:r w:rsidRPr="00F143CE">
        <w:rPr>
          <w:rFonts w:asciiTheme="majorBidi" w:hAnsiTheme="majorBidi" w:cstheme="majorBidi"/>
          <w:bCs/>
          <w:i/>
          <w:iCs/>
          <w:spacing w:val="-4"/>
          <w:sz w:val="24"/>
          <w:szCs w:val="24"/>
          <w:lang w:val="sv-SE"/>
        </w:rPr>
        <w:t>Wassalamu’alaikum Wr.Wb.</w:t>
      </w:r>
    </w:p>
    <w:tbl>
      <w:tblPr>
        <w:tblStyle w:val="TableGrid"/>
        <w:tblpPr w:leftFromText="180" w:rightFromText="180" w:vertAnchor="text" w:horzAnchor="margin" w:tblpXSpec="right" w:tblpY="4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3"/>
      </w:tblGrid>
      <w:tr w:rsidR="00EA3D07" w14:paraId="1372DEB3" w14:textId="77777777" w:rsidTr="00EA3D07">
        <w:trPr>
          <w:trHeight w:val="408"/>
        </w:trPr>
        <w:tc>
          <w:tcPr>
            <w:tcW w:w="3613" w:type="dxa"/>
          </w:tcPr>
          <w:p w14:paraId="2D3CE03A" w14:textId="77777777" w:rsidR="00EA3D07" w:rsidRPr="00EA3D07" w:rsidRDefault="00EA3D07" w:rsidP="00EA3D07">
            <w:pPr>
              <w:spacing w:before="3" w:line="360" w:lineRule="auto"/>
              <w:ind w:right="980"/>
              <w:rPr>
                <w:rFonts w:asciiTheme="majorBidi" w:hAnsiTheme="majorBidi" w:cstheme="majorBidi"/>
                <w:bCs/>
                <w:spacing w:val="-4"/>
                <w:sz w:val="24"/>
                <w:szCs w:val="24"/>
                <w:lang w:val="sv-SE"/>
              </w:rPr>
            </w:pPr>
            <w:r w:rsidRPr="00EA3D07">
              <w:rPr>
                <w:rFonts w:asciiTheme="majorBidi" w:hAnsiTheme="majorBidi" w:cstheme="majorBidi"/>
                <w:bCs/>
                <w:spacing w:val="-4"/>
                <w:sz w:val="24"/>
                <w:szCs w:val="24"/>
                <w:lang w:val="sv-SE"/>
              </w:rPr>
              <w:t>Semarang, 16 Juni 2025</w:t>
            </w:r>
          </w:p>
        </w:tc>
      </w:tr>
      <w:tr w:rsidR="00EA3D07" w14:paraId="0C7E96A4" w14:textId="77777777" w:rsidTr="00EA3D07">
        <w:trPr>
          <w:trHeight w:val="423"/>
        </w:trPr>
        <w:tc>
          <w:tcPr>
            <w:tcW w:w="3613" w:type="dxa"/>
          </w:tcPr>
          <w:p w14:paraId="38D63366" w14:textId="74A30E2C" w:rsidR="00EA3D07" w:rsidRPr="00EA3D07" w:rsidRDefault="00EA3D07" w:rsidP="00EA3D07">
            <w:pPr>
              <w:spacing w:before="3" w:line="360" w:lineRule="auto"/>
              <w:ind w:right="980"/>
              <w:rPr>
                <w:rFonts w:asciiTheme="majorBidi" w:hAnsiTheme="majorBidi" w:cstheme="majorBidi"/>
                <w:bCs/>
                <w:spacing w:val="-4"/>
                <w:sz w:val="24"/>
                <w:szCs w:val="24"/>
                <w:lang w:val="sv-SE"/>
              </w:rPr>
            </w:pPr>
            <w:r w:rsidRPr="00EA3D07">
              <w:rPr>
                <w:rFonts w:asciiTheme="majorBidi" w:hAnsiTheme="majorBidi" w:cstheme="majorBidi"/>
                <w:bCs/>
                <w:spacing w:val="-4"/>
                <w:sz w:val="24"/>
                <w:szCs w:val="24"/>
                <w:lang w:val="sv-SE"/>
              </w:rPr>
              <w:t>Penulis</w:t>
            </w:r>
          </w:p>
        </w:tc>
      </w:tr>
      <w:tr w:rsidR="00EA3D07" w14:paraId="2EE0B4C7" w14:textId="77777777" w:rsidTr="00EA3D07">
        <w:trPr>
          <w:trHeight w:val="408"/>
        </w:trPr>
        <w:tc>
          <w:tcPr>
            <w:tcW w:w="3613" w:type="dxa"/>
          </w:tcPr>
          <w:p w14:paraId="6F65C919" w14:textId="16624BCC" w:rsidR="00EA3D07" w:rsidRPr="00EA3D07" w:rsidRDefault="00EA3D07" w:rsidP="00EA3D07">
            <w:pPr>
              <w:spacing w:before="3" w:line="360" w:lineRule="auto"/>
              <w:ind w:right="980"/>
              <w:rPr>
                <w:rFonts w:asciiTheme="majorBidi" w:hAnsiTheme="majorBidi" w:cstheme="majorBidi"/>
                <w:bCs/>
                <w:spacing w:val="-4"/>
                <w:sz w:val="24"/>
                <w:szCs w:val="24"/>
                <w:lang w:val="sv-SE"/>
              </w:rPr>
            </w:pPr>
          </w:p>
        </w:tc>
      </w:tr>
      <w:tr w:rsidR="00EA3D07" w14:paraId="49BFEFD3" w14:textId="77777777" w:rsidTr="00EA3D07">
        <w:trPr>
          <w:trHeight w:val="423"/>
        </w:trPr>
        <w:tc>
          <w:tcPr>
            <w:tcW w:w="3613" w:type="dxa"/>
          </w:tcPr>
          <w:p w14:paraId="7D83F0F5" w14:textId="60CE1AA9" w:rsidR="00EA3D07" w:rsidRPr="00EA3D07" w:rsidRDefault="00EA3D07" w:rsidP="00EA3D07">
            <w:pPr>
              <w:spacing w:before="3" w:line="360" w:lineRule="auto"/>
              <w:ind w:right="980"/>
              <w:rPr>
                <w:rFonts w:asciiTheme="majorBidi" w:hAnsiTheme="majorBidi" w:cstheme="majorBidi"/>
                <w:bCs/>
                <w:spacing w:val="-4"/>
                <w:sz w:val="24"/>
                <w:szCs w:val="24"/>
                <w:lang w:val="sv-SE"/>
              </w:rPr>
            </w:pPr>
          </w:p>
        </w:tc>
      </w:tr>
      <w:tr w:rsidR="00EA3D07" w14:paraId="7E6587A7" w14:textId="77777777" w:rsidTr="00EA3D07">
        <w:trPr>
          <w:trHeight w:val="408"/>
        </w:trPr>
        <w:tc>
          <w:tcPr>
            <w:tcW w:w="3613" w:type="dxa"/>
          </w:tcPr>
          <w:p w14:paraId="63603F34" w14:textId="1FDA2299" w:rsidR="00EA3D07" w:rsidRDefault="00EA3D07" w:rsidP="00EA3D07">
            <w:pPr>
              <w:spacing w:before="3" w:line="360" w:lineRule="auto"/>
              <w:ind w:right="980"/>
              <w:rPr>
                <w:rFonts w:asciiTheme="majorBidi" w:hAnsiTheme="majorBidi" w:cstheme="majorBidi"/>
                <w:b/>
                <w:spacing w:val="-4"/>
                <w:sz w:val="24"/>
                <w:szCs w:val="24"/>
                <w:lang w:val="sv-SE"/>
              </w:rPr>
            </w:pPr>
          </w:p>
        </w:tc>
      </w:tr>
      <w:tr w:rsidR="00EA3D07" w14:paraId="05FFC3E3" w14:textId="77777777" w:rsidTr="00EA3D07">
        <w:trPr>
          <w:trHeight w:val="423"/>
        </w:trPr>
        <w:tc>
          <w:tcPr>
            <w:tcW w:w="3613" w:type="dxa"/>
          </w:tcPr>
          <w:p w14:paraId="181202BD" w14:textId="5F53AEF6" w:rsidR="00EA3D07" w:rsidRPr="00EA3D07" w:rsidRDefault="00EA3D07" w:rsidP="00EA3D07">
            <w:pPr>
              <w:spacing w:before="3" w:line="360" w:lineRule="auto"/>
              <w:ind w:right="980"/>
              <w:rPr>
                <w:rFonts w:asciiTheme="majorBidi" w:hAnsiTheme="majorBidi" w:cstheme="majorBidi"/>
                <w:b/>
                <w:spacing w:val="-4"/>
                <w:sz w:val="24"/>
                <w:szCs w:val="24"/>
                <w:u w:val="single"/>
                <w:lang w:val="sv-SE"/>
              </w:rPr>
            </w:pPr>
            <w:r w:rsidRPr="00EA3D07">
              <w:rPr>
                <w:rFonts w:asciiTheme="majorBidi" w:hAnsiTheme="majorBidi" w:cstheme="majorBidi"/>
                <w:b/>
                <w:spacing w:val="-4"/>
                <w:sz w:val="24"/>
                <w:szCs w:val="24"/>
                <w:u w:val="single"/>
                <w:lang w:val="sv-SE"/>
              </w:rPr>
              <w:t>Asna Suraya</w:t>
            </w:r>
          </w:p>
        </w:tc>
      </w:tr>
      <w:tr w:rsidR="00EA3D07" w14:paraId="6F59EDE3" w14:textId="77777777" w:rsidTr="00EA3D07">
        <w:trPr>
          <w:trHeight w:val="408"/>
        </w:trPr>
        <w:tc>
          <w:tcPr>
            <w:tcW w:w="3613" w:type="dxa"/>
          </w:tcPr>
          <w:p w14:paraId="400A89EC" w14:textId="77777777" w:rsidR="00EA3D07" w:rsidRDefault="00EA3D07" w:rsidP="00EA3D07">
            <w:pPr>
              <w:spacing w:before="3" w:line="360" w:lineRule="auto"/>
              <w:ind w:right="980"/>
              <w:rPr>
                <w:rFonts w:asciiTheme="majorBidi" w:hAnsiTheme="majorBidi" w:cstheme="majorBidi"/>
                <w:b/>
                <w:spacing w:val="-4"/>
                <w:sz w:val="24"/>
                <w:szCs w:val="24"/>
                <w:lang w:val="sv-SE"/>
              </w:rPr>
            </w:pPr>
            <w:r>
              <w:rPr>
                <w:rFonts w:asciiTheme="majorBidi" w:hAnsiTheme="majorBidi" w:cstheme="majorBidi"/>
                <w:b/>
                <w:spacing w:val="-4"/>
                <w:sz w:val="24"/>
                <w:szCs w:val="24"/>
                <w:lang w:val="sv-SE"/>
              </w:rPr>
              <w:t>NIM 2105036016</w:t>
            </w:r>
          </w:p>
        </w:tc>
      </w:tr>
    </w:tbl>
    <w:p w14:paraId="1453EF93"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5C434819" w14:textId="741CA81D" w:rsidR="00F03CA5" w:rsidRPr="00925216" w:rsidRDefault="00F03CA5" w:rsidP="00EA3D07">
      <w:pPr>
        <w:spacing w:before="3" w:line="360" w:lineRule="auto"/>
        <w:ind w:right="980"/>
        <w:rPr>
          <w:rFonts w:asciiTheme="majorBidi" w:hAnsiTheme="majorBidi" w:cstheme="majorBidi"/>
          <w:b/>
          <w:spacing w:val="-4"/>
          <w:sz w:val="24"/>
          <w:szCs w:val="24"/>
          <w:lang w:val="sv-SE"/>
        </w:rPr>
      </w:pPr>
    </w:p>
    <w:p w14:paraId="3FE4BFD1" w14:textId="2E639A2F" w:rsidR="00F03CA5" w:rsidRPr="00925216" w:rsidRDefault="00991A8D" w:rsidP="00B51544">
      <w:pPr>
        <w:spacing w:before="3" w:line="360" w:lineRule="auto"/>
        <w:ind w:left="589" w:right="980"/>
        <w:jc w:val="center"/>
        <w:rPr>
          <w:rFonts w:asciiTheme="majorBidi" w:hAnsiTheme="majorBidi" w:cstheme="majorBidi"/>
          <w:b/>
          <w:spacing w:val="-4"/>
          <w:sz w:val="24"/>
          <w:szCs w:val="24"/>
          <w:lang w:val="sv-SE"/>
        </w:rPr>
      </w:pPr>
      <w:r w:rsidRPr="00991A8D">
        <w:rPr>
          <w:rFonts w:asciiTheme="majorBidi" w:hAnsiTheme="majorBidi" w:cstheme="majorBidi"/>
          <w:b/>
          <w:noProof/>
          <w:spacing w:val="-4"/>
          <w:sz w:val="24"/>
          <w:szCs w:val="24"/>
        </w:rPr>
        <w:drawing>
          <wp:anchor distT="0" distB="0" distL="114300" distR="114300" simplePos="0" relativeHeight="251787264" behindDoc="1" locked="0" layoutInCell="1" allowOverlap="1" wp14:anchorId="31224140" wp14:editId="2F71F3BF">
            <wp:simplePos x="0" y="0"/>
            <wp:positionH relativeFrom="column">
              <wp:posOffset>3376295</wp:posOffset>
            </wp:positionH>
            <wp:positionV relativeFrom="paragraph">
              <wp:posOffset>21590</wp:posOffset>
            </wp:positionV>
            <wp:extent cx="1498600" cy="1161415"/>
            <wp:effectExtent l="0" t="0" r="6350" b="635"/>
            <wp:wrapNone/>
            <wp:docPr id="60352750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8600" cy="1161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15AAD5" w14:textId="54346BE8"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0A2E118A" w14:textId="5AB13B0B" w:rsidR="00991A8D" w:rsidRPr="00991A8D" w:rsidRDefault="00991A8D" w:rsidP="00991A8D">
      <w:pPr>
        <w:spacing w:before="3" w:line="360" w:lineRule="auto"/>
        <w:ind w:left="589" w:right="980"/>
        <w:jc w:val="center"/>
        <w:rPr>
          <w:rFonts w:asciiTheme="majorBidi" w:hAnsiTheme="majorBidi" w:cstheme="majorBidi"/>
          <w:b/>
          <w:spacing w:val="-4"/>
          <w:sz w:val="24"/>
          <w:szCs w:val="24"/>
        </w:rPr>
      </w:pPr>
    </w:p>
    <w:p w14:paraId="20810D10"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2D166878"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100F96DD"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52875E37"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71E2F37A"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5C6D3FF7"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1E62C6B0"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46D9314F" w14:textId="77777777" w:rsidR="00F03CA5" w:rsidRPr="00925216" w:rsidRDefault="00F03CA5" w:rsidP="00B51544">
      <w:pPr>
        <w:spacing w:before="3" w:line="360" w:lineRule="auto"/>
        <w:ind w:left="589" w:right="980"/>
        <w:jc w:val="center"/>
        <w:rPr>
          <w:rFonts w:asciiTheme="majorBidi" w:hAnsiTheme="majorBidi" w:cstheme="majorBidi"/>
          <w:b/>
          <w:spacing w:val="-4"/>
          <w:sz w:val="24"/>
          <w:szCs w:val="24"/>
          <w:lang w:val="sv-SE"/>
        </w:rPr>
      </w:pPr>
    </w:p>
    <w:p w14:paraId="524CE486" w14:textId="77777777" w:rsidR="00F03CA5" w:rsidRDefault="00F03CA5" w:rsidP="00EF3499">
      <w:pPr>
        <w:spacing w:before="3" w:line="360" w:lineRule="auto"/>
        <w:ind w:right="980"/>
        <w:rPr>
          <w:rFonts w:asciiTheme="majorBidi" w:hAnsiTheme="majorBidi" w:cstheme="majorBidi"/>
          <w:b/>
          <w:spacing w:val="-4"/>
          <w:sz w:val="24"/>
          <w:szCs w:val="24"/>
          <w:lang w:val="sv-SE"/>
        </w:rPr>
      </w:pPr>
    </w:p>
    <w:p w14:paraId="0B7FB8A8" w14:textId="77777777" w:rsidR="00ED5418" w:rsidRDefault="00ED5418" w:rsidP="00EF3499">
      <w:pPr>
        <w:spacing w:before="3" w:line="360" w:lineRule="auto"/>
        <w:ind w:right="980"/>
        <w:rPr>
          <w:rFonts w:asciiTheme="majorBidi" w:hAnsiTheme="majorBidi" w:cstheme="majorBidi"/>
          <w:b/>
          <w:spacing w:val="-4"/>
          <w:sz w:val="24"/>
          <w:szCs w:val="24"/>
          <w:lang w:val="sv-SE"/>
        </w:rPr>
      </w:pPr>
    </w:p>
    <w:p w14:paraId="30B54B3D" w14:textId="77777777" w:rsidR="00ED5418" w:rsidRDefault="00ED5418" w:rsidP="00EF3499">
      <w:pPr>
        <w:spacing w:before="3" w:line="360" w:lineRule="auto"/>
        <w:ind w:right="980"/>
        <w:rPr>
          <w:rFonts w:asciiTheme="majorBidi" w:hAnsiTheme="majorBidi" w:cstheme="majorBidi"/>
          <w:b/>
          <w:spacing w:val="-4"/>
          <w:sz w:val="24"/>
          <w:szCs w:val="24"/>
          <w:lang w:val="sv-SE"/>
        </w:rPr>
      </w:pPr>
    </w:p>
    <w:p w14:paraId="20C2E560" w14:textId="77777777" w:rsidR="00ED5418" w:rsidRDefault="00ED5418" w:rsidP="00EF3499">
      <w:pPr>
        <w:spacing w:before="3" w:line="360" w:lineRule="auto"/>
        <w:ind w:right="980"/>
        <w:rPr>
          <w:rFonts w:asciiTheme="majorBidi" w:hAnsiTheme="majorBidi" w:cstheme="majorBidi"/>
          <w:b/>
          <w:spacing w:val="-4"/>
          <w:sz w:val="24"/>
          <w:szCs w:val="24"/>
          <w:lang w:val="sv-SE"/>
        </w:rPr>
      </w:pPr>
    </w:p>
    <w:p w14:paraId="2FF0E73F" w14:textId="77777777" w:rsidR="00ED5418" w:rsidRPr="00925216" w:rsidRDefault="00ED5418" w:rsidP="00EF3499">
      <w:pPr>
        <w:spacing w:before="3" w:line="360" w:lineRule="auto"/>
        <w:ind w:right="980"/>
        <w:rPr>
          <w:rFonts w:asciiTheme="majorBidi" w:hAnsiTheme="majorBidi" w:cstheme="majorBidi"/>
          <w:b/>
          <w:spacing w:val="-4"/>
          <w:sz w:val="24"/>
          <w:szCs w:val="24"/>
          <w:lang w:val="sv-SE"/>
        </w:rPr>
      </w:pPr>
    </w:p>
    <w:p w14:paraId="787CC336" w14:textId="198C9270" w:rsidR="007F7C0B" w:rsidRPr="00A42616" w:rsidRDefault="007F7C0B" w:rsidP="00A42616">
      <w:pPr>
        <w:pStyle w:val="Heading1"/>
        <w:jc w:val="center"/>
        <w:rPr>
          <w:rFonts w:asciiTheme="majorBidi" w:hAnsiTheme="majorBidi"/>
          <w:b/>
          <w:bCs/>
          <w:color w:val="auto"/>
          <w:sz w:val="24"/>
          <w:szCs w:val="24"/>
          <w:lang w:val="sv-SE"/>
        </w:rPr>
      </w:pPr>
      <w:bookmarkStart w:id="9" w:name="_Toc201063294"/>
      <w:r w:rsidRPr="00A42616">
        <w:rPr>
          <w:rFonts w:asciiTheme="majorBidi" w:hAnsiTheme="majorBidi"/>
          <w:b/>
          <w:bCs/>
          <w:color w:val="auto"/>
          <w:sz w:val="24"/>
          <w:szCs w:val="24"/>
          <w:lang w:val="sv-SE"/>
        </w:rPr>
        <w:lastRenderedPageBreak/>
        <w:t>DAFTAR ISI</w:t>
      </w:r>
      <w:bookmarkEnd w:id="9"/>
    </w:p>
    <w:p w14:paraId="1BF7B84F" w14:textId="77777777" w:rsidR="007F7C0B" w:rsidRPr="00F03CA5" w:rsidRDefault="007F7C0B" w:rsidP="00B51544">
      <w:pPr>
        <w:spacing w:before="3" w:line="360" w:lineRule="auto"/>
        <w:ind w:left="589" w:right="980"/>
        <w:jc w:val="center"/>
        <w:rPr>
          <w:rFonts w:asciiTheme="majorBidi" w:hAnsiTheme="majorBidi" w:cstheme="majorBidi"/>
          <w:b/>
          <w:spacing w:val="-4"/>
          <w:sz w:val="24"/>
          <w:szCs w:val="24"/>
          <w:lang w:val="sv-SE"/>
        </w:rPr>
      </w:pPr>
    </w:p>
    <w:sdt>
      <w:sdtPr>
        <w:rPr>
          <w:rFonts w:asciiTheme="minorHAnsi" w:eastAsiaTheme="minorHAnsi" w:hAnsiTheme="minorHAnsi" w:cstheme="minorBidi"/>
          <w:color w:val="auto"/>
          <w:kern w:val="2"/>
          <w:sz w:val="22"/>
          <w:szCs w:val="22"/>
          <w:lang w:val="en-ID"/>
          <w14:ligatures w14:val="standardContextual"/>
        </w:rPr>
        <w:id w:val="-1260985252"/>
        <w:docPartObj>
          <w:docPartGallery w:val="Table of Contents"/>
          <w:docPartUnique/>
        </w:docPartObj>
      </w:sdtPr>
      <w:sdtEndPr>
        <w:rPr>
          <w:rFonts w:asciiTheme="majorBidi" w:hAnsiTheme="majorBidi" w:cstheme="majorBidi"/>
          <w:noProof/>
          <w:sz w:val="24"/>
          <w:szCs w:val="24"/>
        </w:rPr>
      </w:sdtEndPr>
      <w:sdtContent>
        <w:p w14:paraId="10236A66" w14:textId="7DBBFD3C" w:rsidR="007F7C0B" w:rsidRDefault="007F7C0B" w:rsidP="007F7C0B">
          <w:pPr>
            <w:pStyle w:val="TOCHeading"/>
          </w:pPr>
        </w:p>
        <w:p w14:paraId="4A26B0ED" w14:textId="69E7C515" w:rsidR="00482FE5" w:rsidRDefault="007F7C0B">
          <w:pPr>
            <w:pStyle w:val="TOC1"/>
            <w:tabs>
              <w:tab w:val="right" w:leader="dot" w:pos="9344"/>
            </w:tabs>
            <w:rPr>
              <w:rFonts w:eastAsiaTheme="minorEastAsia"/>
              <w:noProof/>
              <w:sz w:val="24"/>
              <w:szCs w:val="24"/>
              <w:lang w:eastAsia="en-ID"/>
            </w:rPr>
          </w:pPr>
          <w:r w:rsidRPr="00A42616">
            <w:rPr>
              <w:rFonts w:asciiTheme="majorBidi" w:hAnsiTheme="majorBidi" w:cstheme="majorBidi"/>
              <w:sz w:val="24"/>
              <w:szCs w:val="24"/>
            </w:rPr>
            <w:fldChar w:fldCharType="begin"/>
          </w:r>
          <w:r w:rsidRPr="00A42616">
            <w:rPr>
              <w:rFonts w:asciiTheme="majorBidi" w:hAnsiTheme="majorBidi" w:cstheme="majorBidi"/>
              <w:sz w:val="24"/>
              <w:szCs w:val="24"/>
            </w:rPr>
            <w:instrText xml:space="preserve"> TOC \o "1-3" \h \z \u </w:instrText>
          </w:r>
          <w:r w:rsidRPr="00A42616">
            <w:rPr>
              <w:rFonts w:asciiTheme="majorBidi" w:hAnsiTheme="majorBidi" w:cstheme="majorBidi"/>
              <w:sz w:val="24"/>
              <w:szCs w:val="24"/>
            </w:rPr>
            <w:fldChar w:fldCharType="separate"/>
          </w:r>
          <w:hyperlink w:anchor="_Toc201063286" w:history="1">
            <w:r w:rsidR="00482FE5" w:rsidRPr="007C03C9">
              <w:rPr>
                <w:rStyle w:val="Hyperlink"/>
                <w:rFonts w:asciiTheme="majorBidi" w:hAnsiTheme="majorBidi"/>
                <w:b/>
                <w:bCs/>
                <w:noProof/>
                <w:lang w:val="pt-BR"/>
              </w:rPr>
              <w:t>PERSETUJUAN PEMBIMBING</w:t>
            </w:r>
            <w:r w:rsidR="00482FE5">
              <w:rPr>
                <w:noProof/>
                <w:webHidden/>
              </w:rPr>
              <w:tab/>
            </w:r>
            <w:r w:rsidR="00482FE5">
              <w:rPr>
                <w:noProof/>
                <w:webHidden/>
              </w:rPr>
              <w:fldChar w:fldCharType="begin"/>
            </w:r>
            <w:r w:rsidR="00482FE5">
              <w:rPr>
                <w:noProof/>
                <w:webHidden/>
              </w:rPr>
              <w:instrText xml:space="preserve"> PAGEREF _Toc201063286 \h </w:instrText>
            </w:r>
            <w:r w:rsidR="00482FE5">
              <w:rPr>
                <w:noProof/>
                <w:webHidden/>
              </w:rPr>
            </w:r>
            <w:r w:rsidR="00482FE5">
              <w:rPr>
                <w:noProof/>
                <w:webHidden/>
              </w:rPr>
              <w:fldChar w:fldCharType="separate"/>
            </w:r>
            <w:r w:rsidR="00B8276F">
              <w:rPr>
                <w:noProof/>
                <w:webHidden/>
              </w:rPr>
              <w:t>ii</w:t>
            </w:r>
            <w:r w:rsidR="00482FE5">
              <w:rPr>
                <w:noProof/>
                <w:webHidden/>
              </w:rPr>
              <w:fldChar w:fldCharType="end"/>
            </w:r>
          </w:hyperlink>
        </w:p>
        <w:p w14:paraId="495E549B" w14:textId="342E87B3" w:rsidR="00482FE5" w:rsidRDefault="00482FE5">
          <w:pPr>
            <w:pStyle w:val="TOC1"/>
            <w:tabs>
              <w:tab w:val="right" w:leader="dot" w:pos="9344"/>
            </w:tabs>
            <w:rPr>
              <w:rFonts w:eastAsiaTheme="minorEastAsia"/>
              <w:noProof/>
              <w:sz w:val="24"/>
              <w:szCs w:val="24"/>
              <w:lang w:eastAsia="en-ID"/>
            </w:rPr>
          </w:pPr>
          <w:hyperlink w:anchor="_Toc201063287" w:history="1">
            <w:r w:rsidRPr="007C03C9">
              <w:rPr>
                <w:rStyle w:val="Hyperlink"/>
                <w:rFonts w:asciiTheme="majorBidi" w:hAnsiTheme="majorBidi"/>
                <w:b/>
                <w:bCs/>
                <w:noProof/>
                <w:lang w:val="pt-BR"/>
              </w:rPr>
              <w:t>MOTO</w:t>
            </w:r>
            <w:r>
              <w:rPr>
                <w:noProof/>
                <w:webHidden/>
              </w:rPr>
              <w:tab/>
            </w:r>
            <w:r>
              <w:rPr>
                <w:noProof/>
                <w:webHidden/>
              </w:rPr>
              <w:fldChar w:fldCharType="begin"/>
            </w:r>
            <w:r>
              <w:rPr>
                <w:noProof/>
                <w:webHidden/>
              </w:rPr>
              <w:instrText xml:space="preserve"> PAGEREF _Toc201063287 \h </w:instrText>
            </w:r>
            <w:r>
              <w:rPr>
                <w:noProof/>
                <w:webHidden/>
              </w:rPr>
            </w:r>
            <w:r>
              <w:rPr>
                <w:noProof/>
                <w:webHidden/>
              </w:rPr>
              <w:fldChar w:fldCharType="separate"/>
            </w:r>
            <w:r w:rsidR="00B8276F">
              <w:rPr>
                <w:noProof/>
                <w:webHidden/>
              </w:rPr>
              <w:t>iv</w:t>
            </w:r>
            <w:r>
              <w:rPr>
                <w:noProof/>
                <w:webHidden/>
              </w:rPr>
              <w:fldChar w:fldCharType="end"/>
            </w:r>
          </w:hyperlink>
        </w:p>
        <w:p w14:paraId="42E09659" w14:textId="67249363" w:rsidR="00482FE5" w:rsidRDefault="00482FE5">
          <w:pPr>
            <w:pStyle w:val="TOC1"/>
            <w:tabs>
              <w:tab w:val="right" w:leader="dot" w:pos="9344"/>
            </w:tabs>
            <w:rPr>
              <w:rFonts w:eastAsiaTheme="minorEastAsia"/>
              <w:noProof/>
              <w:sz w:val="24"/>
              <w:szCs w:val="24"/>
              <w:lang w:eastAsia="en-ID"/>
            </w:rPr>
          </w:pPr>
          <w:hyperlink w:anchor="_Toc201063288" w:history="1">
            <w:r w:rsidRPr="007C03C9">
              <w:rPr>
                <w:rStyle w:val="Hyperlink"/>
                <w:rFonts w:asciiTheme="majorBidi" w:hAnsiTheme="majorBidi"/>
                <w:b/>
                <w:bCs/>
                <w:noProof/>
                <w:lang w:val="sv-SE"/>
              </w:rPr>
              <w:t>PERSEMBAHAN</w:t>
            </w:r>
            <w:r>
              <w:rPr>
                <w:noProof/>
                <w:webHidden/>
              </w:rPr>
              <w:tab/>
            </w:r>
            <w:r>
              <w:rPr>
                <w:noProof/>
                <w:webHidden/>
              </w:rPr>
              <w:fldChar w:fldCharType="begin"/>
            </w:r>
            <w:r>
              <w:rPr>
                <w:noProof/>
                <w:webHidden/>
              </w:rPr>
              <w:instrText xml:space="preserve"> PAGEREF _Toc201063288 \h </w:instrText>
            </w:r>
            <w:r>
              <w:rPr>
                <w:noProof/>
                <w:webHidden/>
              </w:rPr>
            </w:r>
            <w:r>
              <w:rPr>
                <w:noProof/>
                <w:webHidden/>
              </w:rPr>
              <w:fldChar w:fldCharType="separate"/>
            </w:r>
            <w:r w:rsidR="00B8276F">
              <w:rPr>
                <w:noProof/>
                <w:webHidden/>
              </w:rPr>
              <w:t>v</w:t>
            </w:r>
            <w:r>
              <w:rPr>
                <w:noProof/>
                <w:webHidden/>
              </w:rPr>
              <w:fldChar w:fldCharType="end"/>
            </w:r>
          </w:hyperlink>
        </w:p>
        <w:p w14:paraId="3CF4BE95" w14:textId="3D88FF6F" w:rsidR="00482FE5" w:rsidRDefault="00482FE5">
          <w:pPr>
            <w:pStyle w:val="TOC1"/>
            <w:tabs>
              <w:tab w:val="right" w:leader="dot" w:pos="9344"/>
            </w:tabs>
            <w:rPr>
              <w:rFonts w:eastAsiaTheme="minorEastAsia"/>
              <w:noProof/>
              <w:sz w:val="24"/>
              <w:szCs w:val="24"/>
              <w:lang w:eastAsia="en-ID"/>
            </w:rPr>
          </w:pPr>
          <w:hyperlink w:anchor="_Toc201063289" w:history="1">
            <w:r w:rsidRPr="007C03C9">
              <w:rPr>
                <w:rStyle w:val="Hyperlink"/>
                <w:rFonts w:asciiTheme="majorBidi" w:hAnsiTheme="majorBidi"/>
                <w:b/>
                <w:bCs/>
                <w:noProof/>
                <w:lang w:val="sv-SE"/>
              </w:rPr>
              <w:t>DEKLARASI</w:t>
            </w:r>
            <w:r>
              <w:rPr>
                <w:noProof/>
                <w:webHidden/>
              </w:rPr>
              <w:tab/>
            </w:r>
            <w:r>
              <w:rPr>
                <w:noProof/>
                <w:webHidden/>
              </w:rPr>
              <w:fldChar w:fldCharType="begin"/>
            </w:r>
            <w:r>
              <w:rPr>
                <w:noProof/>
                <w:webHidden/>
              </w:rPr>
              <w:instrText xml:space="preserve"> PAGEREF _Toc201063289 \h </w:instrText>
            </w:r>
            <w:r>
              <w:rPr>
                <w:noProof/>
                <w:webHidden/>
              </w:rPr>
            </w:r>
            <w:r>
              <w:rPr>
                <w:noProof/>
                <w:webHidden/>
              </w:rPr>
              <w:fldChar w:fldCharType="separate"/>
            </w:r>
            <w:r w:rsidR="00B8276F">
              <w:rPr>
                <w:noProof/>
                <w:webHidden/>
              </w:rPr>
              <w:t>vii</w:t>
            </w:r>
            <w:r>
              <w:rPr>
                <w:noProof/>
                <w:webHidden/>
              </w:rPr>
              <w:fldChar w:fldCharType="end"/>
            </w:r>
          </w:hyperlink>
        </w:p>
        <w:p w14:paraId="14402356" w14:textId="0A5DB2E6" w:rsidR="00482FE5" w:rsidRDefault="00482FE5">
          <w:pPr>
            <w:pStyle w:val="TOC1"/>
            <w:tabs>
              <w:tab w:val="right" w:leader="dot" w:pos="9344"/>
            </w:tabs>
            <w:rPr>
              <w:rFonts w:eastAsiaTheme="minorEastAsia"/>
              <w:noProof/>
              <w:sz w:val="24"/>
              <w:szCs w:val="24"/>
              <w:lang w:eastAsia="en-ID"/>
            </w:rPr>
          </w:pPr>
          <w:hyperlink w:anchor="_Toc201063290" w:history="1">
            <w:r w:rsidRPr="007C03C9">
              <w:rPr>
                <w:rStyle w:val="Hyperlink"/>
                <w:rFonts w:asciiTheme="majorBidi" w:hAnsiTheme="majorBidi"/>
                <w:b/>
                <w:bCs/>
                <w:noProof/>
                <w:lang w:val="sv-SE"/>
              </w:rPr>
              <w:t>PEDOMAN TRANSLITERASI</w:t>
            </w:r>
            <w:r>
              <w:rPr>
                <w:noProof/>
                <w:webHidden/>
              </w:rPr>
              <w:tab/>
            </w:r>
            <w:r>
              <w:rPr>
                <w:noProof/>
                <w:webHidden/>
              </w:rPr>
              <w:fldChar w:fldCharType="begin"/>
            </w:r>
            <w:r>
              <w:rPr>
                <w:noProof/>
                <w:webHidden/>
              </w:rPr>
              <w:instrText xml:space="preserve"> PAGEREF _Toc201063290 \h </w:instrText>
            </w:r>
            <w:r>
              <w:rPr>
                <w:noProof/>
                <w:webHidden/>
              </w:rPr>
            </w:r>
            <w:r>
              <w:rPr>
                <w:noProof/>
                <w:webHidden/>
              </w:rPr>
              <w:fldChar w:fldCharType="separate"/>
            </w:r>
            <w:r w:rsidR="00B8276F">
              <w:rPr>
                <w:noProof/>
                <w:webHidden/>
              </w:rPr>
              <w:t>viii</w:t>
            </w:r>
            <w:r>
              <w:rPr>
                <w:noProof/>
                <w:webHidden/>
              </w:rPr>
              <w:fldChar w:fldCharType="end"/>
            </w:r>
          </w:hyperlink>
        </w:p>
        <w:p w14:paraId="7B985F79" w14:textId="199BC4EF" w:rsidR="00482FE5" w:rsidRDefault="00482FE5">
          <w:pPr>
            <w:pStyle w:val="TOC1"/>
            <w:tabs>
              <w:tab w:val="right" w:leader="dot" w:pos="9344"/>
            </w:tabs>
            <w:rPr>
              <w:rFonts w:eastAsiaTheme="minorEastAsia"/>
              <w:noProof/>
              <w:sz w:val="24"/>
              <w:szCs w:val="24"/>
              <w:lang w:eastAsia="en-ID"/>
            </w:rPr>
          </w:pPr>
          <w:hyperlink w:anchor="_Toc201063291" w:history="1">
            <w:r w:rsidRPr="007C03C9">
              <w:rPr>
                <w:rStyle w:val="Hyperlink"/>
                <w:rFonts w:asciiTheme="majorBidi" w:hAnsiTheme="majorBidi"/>
                <w:b/>
                <w:bCs/>
                <w:noProof/>
                <w:lang w:val="pt-BR"/>
              </w:rPr>
              <w:t>ABSTRACT</w:t>
            </w:r>
            <w:r>
              <w:rPr>
                <w:noProof/>
                <w:webHidden/>
              </w:rPr>
              <w:tab/>
            </w:r>
            <w:r>
              <w:rPr>
                <w:noProof/>
                <w:webHidden/>
              </w:rPr>
              <w:fldChar w:fldCharType="begin"/>
            </w:r>
            <w:r>
              <w:rPr>
                <w:noProof/>
                <w:webHidden/>
              </w:rPr>
              <w:instrText xml:space="preserve"> PAGEREF _Toc201063291 \h </w:instrText>
            </w:r>
            <w:r>
              <w:rPr>
                <w:noProof/>
                <w:webHidden/>
              </w:rPr>
            </w:r>
            <w:r>
              <w:rPr>
                <w:noProof/>
                <w:webHidden/>
              </w:rPr>
              <w:fldChar w:fldCharType="separate"/>
            </w:r>
            <w:r w:rsidR="00B8276F">
              <w:rPr>
                <w:noProof/>
                <w:webHidden/>
              </w:rPr>
              <w:t>x</w:t>
            </w:r>
            <w:r>
              <w:rPr>
                <w:noProof/>
                <w:webHidden/>
              </w:rPr>
              <w:fldChar w:fldCharType="end"/>
            </w:r>
          </w:hyperlink>
        </w:p>
        <w:p w14:paraId="1F939EDE" w14:textId="08E935C6" w:rsidR="00482FE5" w:rsidRDefault="00482FE5">
          <w:pPr>
            <w:pStyle w:val="TOC1"/>
            <w:tabs>
              <w:tab w:val="right" w:leader="dot" w:pos="9344"/>
            </w:tabs>
            <w:rPr>
              <w:rFonts w:eastAsiaTheme="minorEastAsia"/>
              <w:noProof/>
              <w:sz w:val="24"/>
              <w:szCs w:val="24"/>
              <w:lang w:eastAsia="en-ID"/>
            </w:rPr>
          </w:pPr>
          <w:hyperlink w:anchor="_Toc201063292" w:history="1">
            <w:r w:rsidRPr="007C03C9">
              <w:rPr>
                <w:rStyle w:val="Hyperlink"/>
                <w:rFonts w:asciiTheme="majorBidi" w:hAnsiTheme="majorBidi"/>
                <w:b/>
                <w:bCs/>
                <w:noProof/>
              </w:rPr>
              <w:t>ABSTRAK</w:t>
            </w:r>
            <w:r>
              <w:rPr>
                <w:noProof/>
                <w:webHidden/>
              </w:rPr>
              <w:tab/>
            </w:r>
            <w:r>
              <w:rPr>
                <w:noProof/>
                <w:webHidden/>
              </w:rPr>
              <w:fldChar w:fldCharType="begin"/>
            </w:r>
            <w:r>
              <w:rPr>
                <w:noProof/>
                <w:webHidden/>
              </w:rPr>
              <w:instrText xml:space="preserve"> PAGEREF _Toc201063292 \h </w:instrText>
            </w:r>
            <w:r>
              <w:rPr>
                <w:noProof/>
                <w:webHidden/>
              </w:rPr>
            </w:r>
            <w:r>
              <w:rPr>
                <w:noProof/>
                <w:webHidden/>
              </w:rPr>
              <w:fldChar w:fldCharType="separate"/>
            </w:r>
            <w:r w:rsidR="00B8276F">
              <w:rPr>
                <w:noProof/>
                <w:webHidden/>
              </w:rPr>
              <w:t>xi</w:t>
            </w:r>
            <w:r>
              <w:rPr>
                <w:noProof/>
                <w:webHidden/>
              </w:rPr>
              <w:fldChar w:fldCharType="end"/>
            </w:r>
          </w:hyperlink>
        </w:p>
        <w:p w14:paraId="7D427280" w14:textId="7AD65BF1" w:rsidR="00482FE5" w:rsidRDefault="00482FE5">
          <w:pPr>
            <w:pStyle w:val="TOC1"/>
            <w:tabs>
              <w:tab w:val="right" w:leader="dot" w:pos="9344"/>
            </w:tabs>
            <w:rPr>
              <w:rFonts w:eastAsiaTheme="minorEastAsia"/>
              <w:noProof/>
              <w:sz w:val="24"/>
              <w:szCs w:val="24"/>
              <w:lang w:eastAsia="en-ID"/>
            </w:rPr>
          </w:pPr>
          <w:hyperlink w:anchor="_Toc201063293" w:history="1">
            <w:r w:rsidRPr="007C03C9">
              <w:rPr>
                <w:rStyle w:val="Hyperlink"/>
                <w:rFonts w:asciiTheme="majorBidi" w:hAnsiTheme="majorBidi"/>
                <w:b/>
                <w:bCs/>
                <w:noProof/>
                <w:lang w:val="pt-BR"/>
              </w:rPr>
              <w:t>KATA PENGANTAR</w:t>
            </w:r>
            <w:r>
              <w:rPr>
                <w:noProof/>
                <w:webHidden/>
              </w:rPr>
              <w:tab/>
            </w:r>
            <w:r>
              <w:rPr>
                <w:noProof/>
                <w:webHidden/>
              </w:rPr>
              <w:fldChar w:fldCharType="begin"/>
            </w:r>
            <w:r>
              <w:rPr>
                <w:noProof/>
                <w:webHidden/>
              </w:rPr>
              <w:instrText xml:space="preserve"> PAGEREF _Toc201063293 \h </w:instrText>
            </w:r>
            <w:r>
              <w:rPr>
                <w:noProof/>
                <w:webHidden/>
              </w:rPr>
            </w:r>
            <w:r>
              <w:rPr>
                <w:noProof/>
                <w:webHidden/>
              </w:rPr>
              <w:fldChar w:fldCharType="separate"/>
            </w:r>
            <w:r w:rsidR="00B8276F">
              <w:rPr>
                <w:noProof/>
                <w:webHidden/>
              </w:rPr>
              <w:t>xii</w:t>
            </w:r>
            <w:r>
              <w:rPr>
                <w:noProof/>
                <w:webHidden/>
              </w:rPr>
              <w:fldChar w:fldCharType="end"/>
            </w:r>
          </w:hyperlink>
        </w:p>
        <w:p w14:paraId="792FA01E" w14:textId="5B845F9F" w:rsidR="00482FE5" w:rsidRDefault="00482FE5">
          <w:pPr>
            <w:pStyle w:val="TOC1"/>
            <w:tabs>
              <w:tab w:val="right" w:leader="dot" w:pos="9344"/>
            </w:tabs>
            <w:rPr>
              <w:rFonts w:eastAsiaTheme="minorEastAsia"/>
              <w:noProof/>
              <w:sz w:val="24"/>
              <w:szCs w:val="24"/>
              <w:lang w:eastAsia="en-ID"/>
            </w:rPr>
          </w:pPr>
          <w:hyperlink w:anchor="_Toc201063294" w:history="1">
            <w:r w:rsidRPr="007C03C9">
              <w:rPr>
                <w:rStyle w:val="Hyperlink"/>
                <w:rFonts w:asciiTheme="majorBidi" w:hAnsiTheme="majorBidi"/>
                <w:b/>
                <w:bCs/>
                <w:noProof/>
                <w:lang w:val="sv-SE"/>
              </w:rPr>
              <w:t>DAFTAR ISI</w:t>
            </w:r>
            <w:r>
              <w:rPr>
                <w:noProof/>
                <w:webHidden/>
              </w:rPr>
              <w:tab/>
            </w:r>
            <w:r>
              <w:rPr>
                <w:noProof/>
                <w:webHidden/>
              </w:rPr>
              <w:fldChar w:fldCharType="begin"/>
            </w:r>
            <w:r>
              <w:rPr>
                <w:noProof/>
                <w:webHidden/>
              </w:rPr>
              <w:instrText xml:space="preserve"> PAGEREF _Toc201063294 \h </w:instrText>
            </w:r>
            <w:r>
              <w:rPr>
                <w:noProof/>
                <w:webHidden/>
              </w:rPr>
            </w:r>
            <w:r>
              <w:rPr>
                <w:noProof/>
                <w:webHidden/>
              </w:rPr>
              <w:fldChar w:fldCharType="separate"/>
            </w:r>
            <w:r w:rsidR="00B8276F">
              <w:rPr>
                <w:noProof/>
                <w:webHidden/>
              </w:rPr>
              <w:t>xiv</w:t>
            </w:r>
            <w:r>
              <w:rPr>
                <w:noProof/>
                <w:webHidden/>
              </w:rPr>
              <w:fldChar w:fldCharType="end"/>
            </w:r>
          </w:hyperlink>
        </w:p>
        <w:p w14:paraId="331E9669" w14:textId="624CD20D" w:rsidR="00482FE5" w:rsidRDefault="00482FE5">
          <w:pPr>
            <w:pStyle w:val="TOC1"/>
            <w:tabs>
              <w:tab w:val="right" w:leader="dot" w:pos="9344"/>
            </w:tabs>
            <w:rPr>
              <w:rFonts w:eastAsiaTheme="minorEastAsia"/>
              <w:noProof/>
              <w:sz w:val="24"/>
              <w:szCs w:val="24"/>
              <w:lang w:eastAsia="en-ID"/>
            </w:rPr>
          </w:pPr>
          <w:hyperlink w:anchor="_Toc201063295" w:history="1">
            <w:r w:rsidRPr="007C03C9">
              <w:rPr>
                <w:rStyle w:val="Hyperlink"/>
                <w:rFonts w:asciiTheme="majorBidi" w:hAnsiTheme="majorBidi"/>
                <w:b/>
                <w:bCs/>
                <w:noProof/>
                <w:lang w:val="pt-BR"/>
              </w:rPr>
              <w:t>DAFTAR TABEL</w:t>
            </w:r>
            <w:r>
              <w:rPr>
                <w:noProof/>
                <w:webHidden/>
              </w:rPr>
              <w:tab/>
            </w:r>
            <w:r>
              <w:rPr>
                <w:noProof/>
                <w:webHidden/>
              </w:rPr>
              <w:fldChar w:fldCharType="begin"/>
            </w:r>
            <w:r>
              <w:rPr>
                <w:noProof/>
                <w:webHidden/>
              </w:rPr>
              <w:instrText xml:space="preserve"> PAGEREF _Toc201063295 \h </w:instrText>
            </w:r>
            <w:r>
              <w:rPr>
                <w:noProof/>
                <w:webHidden/>
              </w:rPr>
            </w:r>
            <w:r>
              <w:rPr>
                <w:noProof/>
                <w:webHidden/>
              </w:rPr>
              <w:fldChar w:fldCharType="separate"/>
            </w:r>
            <w:r w:rsidR="00B8276F">
              <w:rPr>
                <w:noProof/>
                <w:webHidden/>
              </w:rPr>
              <w:t>xvi</w:t>
            </w:r>
            <w:r>
              <w:rPr>
                <w:noProof/>
                <w:webHidden/>
              </w:rPr>
              <w:fldChar w:fldCharType="end"/>
            </w:r>
          </w:hyperlink>
        </w:p>
        <w:p w14:paraId="377D0932" w14:textId="37B7B4C1" w:rsidR="00482FE5" w:rsidRDefault="00482FE5">
          <w:pPr>
            <w:pStyle w:val="TOC1"/>
            <w:tabs>
              <w:tab w:val="right" w:leader="dot" w:pos="9344"/>
            </w:tabs>
            <w:rPr>
              <w:rFonts w:eastAsiaTheme="minorEastAsia"/>
              <w:noProof/>
              <w:sz w:val="24"/>
              <w:szCs w:val="24"/>
              <w:lang w:eastAsia="en-ID"/>
            </w:rPr>
          </w:pPr>
          <w:hyperlink w:anchor="_Toc201063296" w:history="1">
            <w:r w:rsidRPr="007C03C9">
              <w:rPr>
                <w:rStyle w:val="Hyperlink"/>
                <w:rFonts w:asciiTheme="majorBidi" w:hAnsiTheme="majorBidi"/>
                <w:b/>
                <w:bCs/>
                <w:noProof/>
              </w:rPr>
              <w:t>DAFTAR GAMBAR</w:t>
            </w:r>
            <w:r>
              <w:rPr>
                <w:noProof/>
                <w:webHidden/>
              </w:rPr>
              <w:tab/>
            </w:r>
            <w:r>
              <w:rPr>
                <w:noProof/>
                <w:webHidden/>
              </w:rPr>
              <w:fldChar w:fldCharType="begin"/>
            </w:r>
            <w:r>
              <w:rPr>
                <w:noProof/>
                <w:webHidden/>
              </w:rPr>
              <w:instrText xml:space="preserve"> PAGEREF _Toc201063296 \h </w:instrText>
            </w:r>
            <w:r>
              <w:rPr>
                <w:noProof/>
                <w:webHidden/>
              </w:rPr>
            </w:r>
            <w:r>
              <w:rPr>
                <w:noProof/>
                <w:webHidden/>
              </w:rPr>
              <w:fldChar w:fldCharType="separate"/>
            </w:r>
            <w:r w:rsidR="00B8276F">
              <w:rPr>
                <w:noProof/>
                <w:webHidden/>
              </w:rPr>
              <w:t>xvii</w:t>
            </w:r>
            <w:r>
              <w:rPr>
                <w:noProof/>
                <w:webHidden/>
              </w:rPr>
              <w:fldChar w:fldCharType="end"/>
            </w:r>
          </w:hyperlink>
        </w:p>
        <w:p w14:paraId="52D68ED7" w14:textId="594055DA" w:rsidR="00482FE5" w:rsidRDefault="00482FE5">
          <w:pPr>
            <w:pStyle w:val="TOC1"/>
            <w:tabs>
              <w:tab w:val="right" w:leader="dot" w:pos="9344"/>
            </w:tabs>
            <w:rPr>
              <w:rFonts w:eastAsiaTheme="minorEastAsia"/>
              <w:noProof/>
              <w:sz w:val="24"/>
              <w:szCs w:val="24"/>
              <w:lang w:eastAsia="en-ID"/>
            </w:rPr>
          </w:pPr>
          <w:hyperlink w:anchor="_Toc201063297" w:history="1">
            <w:r w:rsidRPr="007C03C9">
              <w:rPr>
                <w:rStyle w:val="Hyperlink"/>
                <w:rFonts w:asciiTheme="majorBidi" w:hAnsiTheme="majorBidi"/>
                <w:b/>
                <w:bCs/>
                <w:noProof/>
              </w:rPr>
              <w:t>BAB I  PENDAHULUAN</w:t>
            </w:r>
            <w:r>
              <w:rPr>
                <w:noProof/>
                <w:webHidden/>
              </w:rPr>
              <w:tab/>
            </w:r>
            <w:r>
              <w:rPr>
                <w:noProof/>
                <w:webHidden/>
              </w:rPr>
              <w:fldChar w:fldCharType="begin"/>
            </w:r>
            <w:r>
              <w:rPr>
                <w:noProof/>
                <w:webHidden/>
              </w:rPr>
              <w:instrText xml:space="preserve"> PAGEREF _Toc201063297 \h </w:instrText>
            </w:r>
            <w:r>
              <w:rPr>
                <w:noProof/>
                <w:webHidden/>
              </w:rPr>
            </w:r>
            <w:r>
              <w:rPr>
                <w:noProof/>
                <w:webHidden/>
              </w:rPr>
              <w:fldChar w:fldCharType="separate"/>
            </w:r>
            <w:r w:rsidR="00B8276F">
              <w:rPr>
                <w:noProof/>
                <w:webHidden/>
              </w:rPr>
              <w:t>1</w:t>
            </w:r>
            <w:r>
              <w:rPr>
                <w:noProof/>
                <w:webHidden/>
              </w:rPr>
              <w:fldChar w:fldCharType="end"/>
            </w:r>
          </w:hyperlink>
        </w:p>
        <w:p w14:paraId="0C32B97B" w14:textId="3C64F8BD" w:rsidR="00482FE5" w:rsidRPr="00482FE5" w:rsidRDefault="00482FE5">
          <w:pPr>
            <w:pStyle w:val="TOC2"/>
            <w:rPr>
              <w:rFonts w:asciiTheme="minorHAnsi" w:eastAsiaTheme="minorEastAsia" w:hAnsiTheme="minorHAnsi"/>
              <w:sz w:val="24"/>
              <w:szCs w:val="24"/>
              <w:lang w:val="en-ID" w:eastAsia="en-ID"/>
            </w:rPr>
          </w:pPr>
          <w:hyperlink w:anchor="_Toc201063298" w:history="1">
            <w:r w:rsidRPr="00482FE5">
              <w:rPr>
                <w:rStyle w:val="Hyperlink"/>
                <w:lang w:val="sv-SE"/>
              </w:rPr>
              <w:t>1.1</w:t>
            </w:r>
            <w:r w:rsidRPr="00482FE5">
              <w:rPr>
                <w:rFonts w:asciiTheme="minorHAnsi" w:eastAsiaTheme="minorEastAsia" w:hAnsiTheme="minorHAnsi"/>
                <w:sz w:val="24"/>
                <w:szCs w:val="24"/>
                <w:lang w:val="en-ID" w:eastAsia="en-ID"/>
              </w:rPr>
              <w:t xml:space="preserve"> </w:t>
            </w:r>
            <w:r w:rsidRPr="00482FE5">
              <w:rPr>
                <w:rStyle w:val="Hyperlink"/>
                <w:lang w:val="sv-SE"/>
              </w:rPr>
              <w:t>Latar Belakang</w:t>
            </w:r>
            <w:r w:rsidRPr="00482FE5">
              <w:rPr>
                <w:webHidden/>
              </w:rPr>
              <w:tab/>
            </w:r>
            <w:r w:rsidRPr="00482FE5">
              <w:rPr>
                <w:webHidden/>
              </w:rPr>
              <w:fldChar w:fldCharType="begin"/>
            </w:r>
            <w:r w:rsidRPr="00482FE5">
              <w:rPr>
                <w:webHidden/>
              </w:rPr>
              <w:instrText xml:space="preserve"> PAGEREF _Toc201063298 \h </w:instrText>
            </w:r>
            <w:r w:rsidRPr="00482FE5">
              <w:rPr>
                <w:webHidden/>
              </w:rPr>
            </w:r>
            <w:r w:rsidRPr="00482FE5">
              <w:rPr>
                <w:webHidden/>
              </w:rPr>
              <w:fldChar w:fldCharType="separate"/>
            </w:r>
            <w:r w:rsidR="00B8276F">
              <w:rPr>
                <w:webHidden/>
              </w:rPr>
              <w:t>1</w:t>
            </w:r>
            <w:r w:rsidRPr="00482FE5">
              <w:rPr>
                <w:webHidden/>
              </w:rPr>
              <w:fldChar w:fldCharType="end"/>
            </w:r>
          </w:hyperlink>
        </w:p>
        <w:p w14:paraId="11026254" w14:textId="155D4445" w:rsidR="00482FE5" w:rsidRPr="00482FE5" w:rsidRDefault="00482FE5">
          <w:pPr>
            <w:pStyle w:val="TOC2"/>
            <w:rPr>
              <w:rFonts w:asciiTheme="minorHAnsi" w:eastAsiaTheme="minorEastAsia" w:hAnsiTheme="minorHAnsi"/>
              <w:sz w:val="24"/>
              <w:szCs w:val="24"/>
              <w:lang w:val="en-ID" w:eastAsia="en-ID"/>
            </w:rPr>
          </w:pPr>
          <w:hyperlink w:anchor="_Toc201063299" w:history="1">
            <w:r w:rsidRPr="00482FE5">
              <w:rPr>
                <w:rStyle w:val="Hyperlink"/>
                <w:lang w:val="sv-SE"/>
              </w:rPr>
              <w:t>1.2</w:t>
            </w:r>
            <w:r w:rsidRPr="00482FE5">
              <w:rPr>
                <w:rFonts w:asciiTheme="minorHAnsi" w:eastAsiaTheme="minorEastAsia" w:hAnsiTheme="minorHAnsi"/>
                <w:sz w:val="24"/>
                <w:szCs w:val="24"/>
                <w:lang w:val="en-ID" w:eastAsia="en-ID"/>
              </w:rPr>
              <w:t xml:space="preserve"> </w:t>
            </w:r>
            <w:r w:rsidRPr="00482FE5">
              <w:rPr>
                <w:rStyle w:val="Hyperlink"/>
                <w:lang w:val="sv-SE"/>
              </w:rPr>
              <w:t>Rumusan Masalah</w:t>
            </w:r>
            <w:r w:rsidRPr="00482FE5">
              <w:rPr>
                <w:webHidden/>
              </w:rPr>
              <w:tab/>
            </w:r>
            <w:r w:rsidRPr="00482FE5">
              <w:rPr>
                <w:webHidden/>
              </w:rPr>
              <w:fldChar w:fldCharType="begin"/>
            </w:r>
            <w:r w:rsidRPr="00482FE5">
              <w:rPr>
                <w:webHidden/>
              </w:rPr>
              <w:instrText xml:space="preserve"> PAGEREF _Toc201063299 \h </w:instrText>
            </w:r>
            <w:r w:rsidRPr="00482FE5">
              <w:rPr>
                <w:webHidden/>
              </w:rPr>
            </w:r>
            <w:r w:rsidRPr="00482FE5">
              <w:rPr>
                <w:webHidden/>
              </w:rPr>
              <w:fldChar w:fldCharType="separate"/>
            </w:r>
            <w:r w:rsidR="00B8276F">
              <w:rPr>
                <w:webHidden/>
              </w:rPr>
              <w:t>12</w:t>
            </w:r>
            <w:r w:rsidRPr="00482FE5">
              <w:rPr>
                <w:webHidden/>
              </w:rPr>
              <w:fldChar w:fldCharType="end"/>
            </w:r>
          </w:hyperlink>
        </w:p>
        <w:p w14:paraId="2382DE4D" w14:textId="3A201B0B" w:rsidR="00482FE5" w:rsidRPr="00482FE5" w:rsidRDefault="00482FE5">
          <w:pPr>
            <w:pStyle w:val="TOC2"/>
            <w:rPr>
              <w:rFonts w:asciiTheme="minorHAnsi" w:eastAsiaTheme="minorEastAsia" w:hAnsiTheme="minorHAnsi"/>
              <w:sz w:val="24"/>
              <w:szCs w:val="24"/>
              <w:lang w:val="en-ID" w:eastAsia="en-ID"/>
            </w:rPr>
          </w:pPr>
          <w:hyperlink w:anchor="_Toc201063300" w:history="1">
            <w:r w:rsidRPr="00482FE5">
              <w:rPr>
                <w:rStyle w:val="Hyperlink"/>
              </w:rPr>
              <w:t>1.3 Tujuan</w:t>
            </w:r>
            <w:r w:rsidRPr="00482FE5">
              <w:rPr>
                <w:webHidden/>
              </w:rPr>
              <w:tab/>
            </w:r>
            <w:r w:rsidRPr="00482FE5">
              <w:rPr>
                <w:webHidden/>
              </w:rPr>
              <w:fldChar w:fldCharType="begin"/>
            </w:r>
            <w:r w:rsidRPr="00482FE5">
              <w:rPr>
                <w:webHidden/>
              </w:rPr>
              <w:instrText xml:space="preserve"> PAGEREF _Toc201063300 \h </w:instrText>
            </w:r>
            <w:r w:rsidRPr="00482FE5">
              <w:rPr>
                <w:webHidden/>
              </w:rPr>
            </w:r>
            <w:r w:rsidRPr="00482FE5">
              <w:rPr>
                <w:webHidden/>
              </w:rPr>
              <w:fldChar w:fldCharType="separate"/>
            </w:r>
            <w:r w:rsidR="00B8276F">
              <w:rPr>
                <w:webHidden/>
              </w:rPr>
              <w:t>12</w:t>
            </w:r>
            <w:r w:rsidRPr="00482FE5">
              <w:rPr>
                <w:webHidden/>
              </w:rPr>
              <w:fldChar w:fldCharType="end"/>
            </w:r>
          </w:hyperlink>
        </w:p>
        <w:p w14:paraId="6E96E2C6" w14:textId="0EA68500" w:rsidR="00482FE5" w:rsidRPr="00482FE5" w:rsidRDefault="00482FE5">
          <w:pPr>
            <w:pStyle w:val="TOC2"/>
            <w:rPr>
              <w:rFonts w:asciiTheme="minorHAnsi" w:eastAsiaTheme="minorEastAsia" w:hAnsiTheme="minorHAnsi"/>
              <w:sz w:val="24"/>
              <w:szCs w:val="24"/>
              <w:lang w:val="en-ID" w:eastAsia="en-ID"/>
            </w:rPr>
          </w:pPr>
          <w:hyperlink w:anchor="_Toc201063301" w:history="1">
            <w:r w:rsidRPr="00482FE5">
              <w:rPr>
                <w:rStyle w:val="Hyperlink"/>
                <w:lang w:val="sv-SE"/>
              </w:rPr>
              <w:t>1.4 Manfaat</w:t>
            </w:r>
            <w:r w:rsidRPr="00482FE5">
              <w:rPr>
                <w:webHidden/>
              </w:rPr>
              <w:tab/>
            </w:r>
            <w:r w:rsidRPr="00482FE5">
              <w:rPr>
                <w:webHidden/>
              </w:rPr>
              <w:fldChar w:fldCharType="begin"/>
            </w:r>
            <w:r w:rsidRPr="00482FE5">
              <w:rPr>
                <w:webHidden/>
              </w:rPr>
              <w:instrText xml:space="preserve"> PAGEREF _Toc201063301 \h </w:instrText>
            </w:r>
            <w:r w:rsidRPr="00482FE5">
              <w:rPr>
                <w:webHidden/>
              </w:rPr>
            </w:r>
            <w:r w:rsidRPr="00482FE5">
              <w:rPr>
                <w:webHidden/>
              </w:rPr>
              <w:fldChar w:fldCharType="separate"/>
            </w:r>
            <w:r w:rsidR="00B8276F">
              <w:rPr>
                <w:webHidden/>
              </w:rPr>
              <w:t>12</w:t>
            </w:r>
            <w:r w:rsidRPr="00482FE5">
              <w:rPr>
                <w:webHidden/>
              </w:rPr>
              <w:fldChar w:fldCharType="end"/>
            </w:r>
          </w:hyperlink>
        </w:p>
        <w:p w14:paraId="2D86A59D" w14:textId="7E574151" w:rsidR="00482FE5" w:rsidRDefault="00482FE5">
          <w:pPr>
            <w:pStyle w:val="TOC1"/>
            <w:tabs>
              <w:tab w:val="right" w:leader="dot" w:pos="9344"/>
            </w:tabs>
            <w:rPr>
              <w:rFonts w:eastAsiaTheme="minorEastAsia"/>
              <w:noProof/>
              <w:sz w:val="24"/>
              <w:szCs w:val="24"/>
              <w:lang w:eastAsia="en-ID"/>
            </w:rPr>
          </w:pPr>
          <w:hyperlink w:anchor="_Toc201063302" w:history="1">
            <w:r w:rsidRPr="007C03C9">
              <w:rPr>
                <w:rStyle w:val="Hyperlink"/>
                <w:rFonts w:asciiTheme="majorBidi" w:hAnsiTheme="majorBidi"/>
                <w:b/>
                <w:bCs/>
                <w:noProof/>
              </w:rPr>
              <w:t>BAB II KAJIAN TEORI</w:t>
            </w:r>
            <w:r>
              <w:rPr>
                <w:noProof/>
                <w:webHidden/>
              </w:rPr>
              <w:tab/>
            </w:r>
            <w:r>
              <w:rPr>
                <w:noProof/>
                <w:webHidden/>
              </w:rPr>
              <w:fldChar w:fldCharType="begin"/>
            </w:r>
            <w:r>
              <w:rPr>
                <w:noProof/>
                <w:webHidden/>
              </w:rPr>
              <w:instrText xml:space="preserve"> PAGEREF _Toc201063302 \h </w:instrText>
            </w:r>
            <w:r>
              <w:rPr>
                <w:noProof/>
                <w:webHidden/>
              </w:rPr>
            </w:r>
            <w:r>
              <w:rPr>
                <w:noProof/>
                <w:webHidden/>
              </w:rPr>
              <w:fldChar w:fldCharType="separate"/>
            </w:r>
            <w:r w:rsidR="00B8276F">
              <w:rPr>
                <w:noProof/>
                <w:webHidden/>
              </w:rPr>
              <w:t>14</w:t>
            </w:r>
            <w:r>
              <w:rPr>
                <w:noProof/>
                <w:webHidden/>
              </w:rPr>
              <w:fldChar w:fldCharType="end"/>
            </w:r>
          </w:hyperlink>
        </w:p>
        <w:p w14:paraId="218C503A" w14:textId="47DE55EE" w:rsidR="00482FE5" w:rsidRPr="00482FE5" w:rsidRDefault="00482FE5">
          <w:pPr>
            <w:pStyle w:val="TOC2"/>
            <w:rPr>
              <w:rFonts w:asciiTheme="minorHAnsi" w:eastAsiaTheme="minorEastAsia" w:hAnsiTheme="minorHAnsi"/>
              <w:sz w:val="24"/>
              <w:szCs w:val="24"/>
              <w:lang w:val="en-ID" w:eastAsia="en-ID"/>
            </w:rPr>
          </w:pPr>
          <w:hyperlink w:anchor="_Toc201063303" w:history="1">
            <w:r w:rsidRPr="00482FE5">
              <w:rPr>
                <w:rStyle w:val="Hyperlink"/>
              </w:rPr>
              <w:t>2.1 Theory Financial Intermediation</w:t>
            </w:r>
            <w:r w:rsidRPr="00482FE5">
              <w:rPr>
                <w:webHidden/>
              </w:rPr>
              <w:tab/>
            </w:r>
            <w:r w:rsidRPr="00482FE5">
              <w:rPr>
                <w:webHidden/>
              </w:rPr>
              <w:fldChar w:fldCharType="begin"/>
            </w:r>
            <w:r w:rsidRPr="00482FE5">
              <w:rPr>
                <w:webHidden/>
              </w:rPr>
              <w:instrText xml:space="preserve"> PAGEREF _Toc201063303 \h </w:instrText>
            </w:r>
            <w:r w:rsidRPr="00482FE5">
              <w:rPr>
                <w:webHidden/>
              </w:rPr>
            </w:r>
            <w:r w:rsidRPr="00482FE5">
              <w:rPr>
                <w:webHidden/>
              </w:rPr>
              <w:fldChar w:fldCharType="separate"/>
            </w:r>
            <w:r w:rsidR="00B8276F">
              <w:rPr>
                <w:webHidden/>
              </w:rPr>
              <w:t>14</w:t>
            </w:r>
            <w:r w:rsidRPr="00482FE5">
              <w:rPr>
                <w:webHidden/>
              </w:rPr>
              <w:fldChar w:fldCharType="end"/>
            </w:r>
          </w:hyperlink>
        </w:p>
        <w:p w14:paraId="1EEE92E5" w14:textId="2B99988B" w:rsidR="00482FE5" w:rsidRPr="00482FE5" w:rsidRDefault="00482FE5">
          <w:pPr>
            <w:pStyle w:val="TOC2"/>
            <w:rPr>
              <w:rFonts w:asciiTheme="minorHAnsi" w:eastAsiaTheme="minorEastAsia" w:hAnsiTheme="minorHAnsi"/>
              <w:sz w:val="24"/>
              <w:szCs w:val="24"/>
              <w:lang w:val="en-ID" w:eastAsia="en-ID"/>
            </w:rPr>
          </w:pPr>
          <w:hyperlink w:anchor="_Toc201063304" w:history="1">
            <w:r w:rsidRPr="00482FE5">
              <w:rPr>
                <w:rStyle w:val="Hyperlink"/>
                <w:lang w:val="sv-SE"/>
              </w:rPr>
              <w:t>2.2 Risiko Pembiayaan</w:t>
            </w:r>
            <w:r w:rsidRPr="00482FE5">
              <w:rPr>
                <w:webHidden/>
              </w:rPr>
              <w:tab/>
            </w:r>
            <w:r w:rsidRPr="00482FE5">
              <w:rPr>
                <w:webHidden/>
              </w:rPr>
              <w:fldChar w:fldCharType="begin"/>
            </w:r>
            <w:r w:rsidRPr="00482FE5">
              <w:rPr>
                <w:webHidden/>
              </w:rPr>
              <w:instrText xml:space="preserve"> PAGEREF _Toc201063304 \h </w:instrText>
            </w:r>
            <w:r w:rsidRPr="00482FE5">
              <w:rPr>
                <w:webHidden/>
              </w:rPr>
            </w:r>
            <w:r w:rsidRPr="00482FE5">
              <w:rPr>
                <w:webHidden/>
              </w:rPr>
              <w:fldChar w:fldCharType="separate"/>
            </w:r>
            <w:r w:rsidR="00B8276F">
              <w:rPr>
                <w:webHidden/>
              </w:rPr>
              <w:t>15</w:t>
            </w:r>
            <w:r w:rsidRPr="00482FE5">
              <w:rPr>
                <w:webHidden/>
              </w:rPr>
              <w:fldChar w:fldCharType="end"/>
            </w:r>
          </w:hyperlink>
        </w:p>
        <w:p w14:paraId="41861C28" w14:textId="7E3C8B72" w:rsidR="00482FE5" w:rsidRPr="00482FE5" w:rsidRDefault="00482FE5">
          <w:pPr>
            <w:pStyle w:val="TOC3"/>
            <w:tabs>
              <w:tab w:val="right" w:leader="dot" w:pos="9344"/>
            </w:tabs>
            <w:rPr>
              <w:rFonts w:eastAsiaTheme="minorEastAsia"/>
              <w:noProof/>
              <w:sz w:val="24"/>
              <w:szCs w:val="24"/>
              <w:lang w:eastAsia="en-ID"/>
            </w:rPr>
          </w:pPr>
          <w:hyperlink w:anchor="_Toc201063305" w:history="1">
            <w:r w:rsidRPr="00482FE5">
              <w:rPr>
                <w:rStyle w:val="Hyperlink"/>
                <w:rFonts w:asciiTheme="majorBidi" w:hAnsiTheme="majorBidi"/>
                <w:noProof/>
                <w:lang w:val="sv-SE"/>
              </w:rPr>
              <w:t>2.2.1 Pengertian Risiko Pembiayaan</w:t>
            </w:r>
            <w:r w:rsidRPr="00482FE5">
              <w:rPr>
                <w:noProof/>
                <w:webHidden/>
              </w:rPr>
              <w:tab/>
            </w:r>
            <w:r w:rsidRPr="00482FE5">
              <w:rPr>
                <w:noProof/>
                <w:webHidden/>
              </w:rPr>
              <w:fldChar w:fldCharType="begin"/>
            </w:r>
            <w:r w:rsidRPr="00482FE5">
              <w:rPr>
                <w:noProof/>
                <w:webHidden/>
              </w:rPr>
              <w:instrText xml:space="preserve"> PAGEREF _Toc201063305 \h </w:instrText>
            </w:r>
            <w:r w:rsidRPr="00482FE5">
              <w:rPr>
                <w:noProof/>
                <w:webHidden/>
              </w:rPr>
            </w:r>
            <w:r w:rsidRPr="00482FE5">
              <w:rPr>
                <w:noProof/>
                <w:webHidden/>
              </w:rPr>
              <w:fldChar w:fldCharType="separate"/>
            </w:r>
            <w:r w:rsidR="00B8276F">
              <w:rPr>
                <w:noProof/>
                <w:webHidden/>
              </w:rPr>
              <w:t>15</w:t>
            </w:r>
            <w:r w:rsidRPr="00482FE5">
              <w:rPr>
                <w:noProof/>
                <w:webHidden/>
              </w:rPr>
              <w:fldChar w:fldCharType="end"/>
            </w:r>
          </w:hyperlink>
        </w:p>
        <w:p w14:paraId="50F2F083" w14:textId="71CB3DF8" w:rsidR="00482FE5" w:rsidRPr="00482FE5" w:rsidRDefault="00482FE5">
          <w:pPr>
            <w:pStyle w:val="TOC3"/>
            <w:tabs>
              <w:tab w:val="right" w:leader="dot" w:pos="9344"/>
            </w:tabs>
            <w:rPr>
              <w:rFonts w:eastAsiaTheme="minorEastAsia"/>
              <w:noProof/>
              <w:sz w:val="24"/>
              <w:szCs w:val="24"/>
              <w:lang w:eastAsia="en-ID"/>
            </w:rPr>
          </w:pPr>
          <w:hyperlink w:anchor="_Toc201063306" w:history="1">
            <w:r w:rsidRPr="00482FE5">
              <w:rPr>
                <w:rStyle w:val="Hyperlink"/>
                <w:rFonts w:asciiTheme="majorBidi" w:hAnsiTheme="majorBidi"/>
                <w:noProof/>
                <w:lang w:val="sv-SE"/>
              </w:rPr>
              <w:t>2.2.2 Landasan Hukum Risiko</w:t>
            </w:r>
            <w:r w:rsidRPr="00482FE5">
              <w:rPr>
                <w:noProof/>
                <w:webHidden/>
              </w:rPr>
              <w:tab/>
            </w:r>
            <w:r w:rsidRPr="00482FE5">
              <w:rPr>
                <w:noProof/>
                <w:webHidden/>
              </w:rPr>
              <w:fldChar w:fldCharType="begin"/>
            </w:r>
            <w:r w:rsidRPr="00482FE5">
              <w:rPr>
                <w:noProof/>
                <w:webHidden/>
              </w:rPr>
              <w:instrText xml:space="preserve"> PAGEREF _Toc201063306 \h </w:instrText>
            </w:r>
            <w:r w:rsidRPr="00482FE5">
              <w:rPr>
                <w:noProof/>
                <w:webHidden/>
              </w:rPr>
            </w:r>
            <w:r w:rsidRPr="00482FE5">
              <w:rPr>
                <w:noProof/>
                <w:webHidden/>
              </w:rPr>
              <w:fldChar w:fldCharType="separate"/>
            </w:r>
            <w:r w:rsidR="00B8276F">
              <w:rPr>
                <w:noProof/>
                <w:webHidden/>
              </w:rPr>
              <w:t>17</w:t>
            </w:r>
            <w:r w:rsidRPr="00482FE5">
              <w:rPr>
                <w:noProof/>
                <w:webHidden/>
              </w:rPr>
              <w:fldChar w:fldCharType="end"/>
            </w:r>
          </w:hyperlink>
        </w:p>
        <w:p w14:paraId="1301C475" w14:textId="557164A2" w:rsidR="00482FE5" w:rsidRPr="00482FE5" w:rsidRDefault="00482FE5">
          <w:pPr>
            <w:pStyle w:val="TOC3"/>
            <w:tabs>
              <w:tab w:val="right" w:leader="dot" w:pos="9344"/>
            </w:tabs>
            <w:rPr>
              <w:rFonts w:eastAsiaTheme="minorEastAsia"/>
              <w:noProof/>
              <w:sz w:val="24"/>
              <w:szCs w:val="24"/>
              <w:lang w:eastAsia="en-ID"/>
            </w:rPr>
          </w:pPr>
          <w:hyperlink w:anchor="_Toc201063307" w:history="1">
            <w:r w:rsidRPr="00482FE5">
              <w:rPr>
                <w:rStyle w:val="Hyperlink"/>
                <w:rFonts w:asciiTheme="majorBidi" w:hAnsiTheme="majorBidi"/>
                <w:noProof/>
                <w:lang w:val="sv-SE"/>
              </w:rPr>
              <w:t>2.2.3 Jenis-Jenis Risiko Pada Bank</w:t>
            </w:r>
            <w:r w:rsidRPr="00482FE5">
              <w:rPr>
                <w:noProof/>
                <w:webHidden/>
              </w:rPr>
              <w:tab/>
            </w:r>
            <w:r w:rsidRPr="00482FE5">
              <w:rPr>
                <w:noProof/>
                <w:webHidden/>
              </w:rPr>
              <w:fldChar w:fldCharType="begin"/>
            </w:r>
            <w:r w:rsidRPr="00482FE5">
              <w:rPr>
                <w:noProof/>
                <w:webHidden/>
              </w:rPr>
              <w:instrText xml:space="preserve"> PAGEREF _Toc201063307 \h </w:instrText>
            </w:r>
            <w:r w:rsidRPr="00482FE5">
              <w:rPr>
                <w:noProof/>
                <w:webHidden/>
              </w:rPr>
            </w:r>
            <w:r w:rsidRPr="00482FE5">
              <w:rPr>
                <w:noProof/>
                <w:webHidden/>
              </w:rPr>
              <w:fldChar w:fldCharType="separate"/>
            </w:r>
            <w:r w:rsidR="00B8276F">
              <w:rPr>
                <w:noProof/>
                <w:webHidden/>
              </w:rPr>
              <w:t>18</w:t>
            </w:r>
            <w:r w:rsidRPr="00482FE5">
              <w:rPr>
                <w:noProof/>
                <w:webHidden/>
              </w:rPr>
              <w:fldChar w:fldCharType="end"/>
            </w:r>
          </w:hyperlink>
        </w:p>
        <w:p w14:paraId="45DA8170" w14:textId="638198FF" w:rsidR="00482FE5" w:rsidRPr="00482FE5" w:rsidRDefault="00482FE5">
          <w:pPr>
            <w:pStyle w:val="TOC3"/>
            <w:tabs>
              <w:tab w:val="right" w:leader="dot" w:pos="9344"/>
            </w:tabs>
            <w:rPr>
              <w:rFonts w:eastAsiaTheme="minorEastAsia"/>
              <w:noProof/>
              <w:sz w:val="24"/>
              <w:szCs w:val="24"/>
              <w:lang w:eastAsia="en-ID"/>
            </w:rPr>
          </w:pPr>
          <w:hyperlink w:anchor="_Toc201063308" w:history="1">
            <w:r w:rsidRPr="00482FE5">
              <w:rPr>
                <w:rStyle w:val="Hyperlink"/>
                <w:rFonts w:asciiTheme="majorBidi" w:hAnsiTheme="majorBidi"/>
                <w:noProof/>
                <w:lang w:val="sv-SE"/>
              </w:rPr>
              <w:t>2.2.4 Manajemen Risiko</w:t>
            </w:r>
            <w:r w:rsidRPr="00482FE5">
              <w:rPr>
                <w:noProof/>
                <w:webHidden/>
              </w:rPr>
              <w:tab/>
            </w:r>
            <w:r w:rsidRPr="00482FE5">
              <w:rPr>
                <w:noProof/>
                <w:webHidden/>
              </w:rPr>
              <w:fldChar w:fldCharType="begin"/>
            </w:r>
            <w:r w:rsidRPr="00482FE5">
              <w:rPr>
                <w:noProof/>
                <w:webHidden/>
              </w:rPr>
              <w:instrText xml:space="preserve"> PAGEREF _Toc201063308 \h </w:instrText>
            </w:r>
            <w:r w:rsidRPr="00482FE5">
              <w:rPr>
                <w:noProof/>
                <w:webHidden/>
              </w:rPr>
            </w:r>
            <w:r w:rsidRPr="00482FE5">
              <w:rPr>
                <w:noProof/>
                <w:webHidden/>
              </w:rPr>
              <w:fldChar w:fldCharType="separate"/>
            </w:r>
            <w:r w:rsidR="00B8276F">
              <w:rPr>
                <w:noProof/>
                <w:webHidden/>
              </w:rPr>
              <w:t>20</w:t>
            </w:r>
            <w:r w:rsidRPr="00482FE5">
              <w:rPr>
                <w:noProof/>
                <w:webHidden/>
              </w:rPr>
              <w:fldChar w:fldCharType="end"/>
            </w:r>
          </w:hyperlink>
        </w:p>
        <w:p w14:paraId="6AA483B8" w14:textId="4A00DF97" w:rsidR="00482FE5" w:rsidRPr="00482FE5" w:rsidRDefault="00482FE5">
          <w:pPr>
            <w:pStyle w:val="TOC3"/>
            <w:tabs>
              <w:tab w:val="right" w:leader="dot" w:pos="9344"/>
            </w:tabs>
            <w:rPr>
              <w:rFonts w:eastAsiaTheme="minorEastAsia"/>
              <w:noProof/>
              <w:sz w:val="24"/>
              <w:szCs w:val="24"/>
              <w:lang w:eastAsia="en-ID"/>
            </w:rPr>
          </w:pPr>
          <w:hyperlink w:anchor="_Toc201063309" w:history="1">
            <w:r w:rsidRPr="00482FE5">
              <w:rPr>
                <w:rStyle w:val="Hyperlink"/>
                <w:rFonts w:asciiTheme="majorBidi" w:hAnsiTheme="majorBidi"/>
                <w:noProof/>
                <w:lang w:val="sv-SE"/>
              </w:rPr>
              <w:t>2.2.5 Hipotesis Penelitian</w:t>
            </w:r>
            <w:r w:rsidRPr="00482FE5">
              <w:rPr>
                <w:noProof/>
                <w:webHidden/>
              </w:rPr>
              <w:tab/>
            </w:r>
            <w:r w:rsidRPr="00482FE5">
              <w:rPr>
                <w:noProof/>
                <w:webHidden/>
              </w:rPr>
              <w:fldChar w:fldCharType="begin"/>
            </w:r>
            <w:r w:rsidRPr="00482FE5">
              <w:rPr>
                <w:noProof/>
                <w:webHidden/>
              </w:rPr>
              <w:instrText xml:space="preserve"> PAGEREF _Toc201063309 \h </w:instrText>
            </w:r>
            <w:r w:rsidRPr="00482FE5">
              <w:rPr>
                <w:noProof/>
                <w:webHidden/>
              </w:rPr>
            </w:r>
            <w:r w:rsidRPr="00482FE5">
              <w:rPr>
                <w:noProof/>
                <w:webHidden/>
              </w:rPr>
              <w:fldChar w:fldCharType="separate"/>
            </w:r>
            <w:r w:rsidR="00B8276F">
              <w:rPr>
                <w:noProof/>
                <w:webHidden/>
              </w:rPr>
              <w:t>20</w:t>
            </w:r>
            <w:r w:rsidRPr="00482FE5">
              <w:rPr>
                <w:noProof/>
                <w:webHidden/>
              </w:rPr>
              <w:fldChar w:fldCharType="end"/>
            </w:r>
          </w:hyperlink>
        </w:p>
        <w:p w14:paraId="445E2879" w14:textId="5DDA4BEB" w:rsidR="00482FE5" w:rsidRPr="00482FE5" w:rsidRDefault="00482FE5">
          <w:pPr>
            <w:pStyle w:val="TOC2"/>
            <w:rPr>
              <w:rFonts w:asciiTheme="minorHAnsi" w:eastAsiaTheme="minorEastAsia" w:hAnsiTheme="minorHAnsi"/>
              <w:sz w:val="24"/>
              <w:szCs w:val="24"/>
              <w:lang w:val="en-ID" w:eastAsia="en-ID"/>
            </w:rPr>
          </w:pPr>
          <w:hyperlink w:anchor="_Toc201063310" w:history="1">
            <w:r w:rsidRPr="00482FE5">
              <w:rPr>
                <w:rStyle w:val="Hyperlink"/>
                <w:lang w:val="sv-SE"/>
              </w:rPr>
              <w:t>2.3 Risiko Likuiditas</w:t>
            </w:r>
            <w:r w:rsidRPr="00482FE5">
              <w:rPr>
                <w:webHidden/>
              </w:rPr>
              <w:tab/>
            </w:r>
            <w:r w:rsidRPr="00482FE5">
              <w:rPr>
                <w:webHidden/>
              </w:rPr>
              <w:fldChar w:fldCharType="begin"/>
            </w:r>
            <w:r w:rsidRPr="00482FE5">
              <w:rPr>
                <w:webHidden/>
              </w:rPr>
              <w:instrText xml:space="preserve"> PAGEREF _Toc201063310 \h </w:instrText>
            </w:r>
            <w:r w:rsidRPr="00482FE5">
              <w:rPr>
                <w:webHidden/>
              </w:rPr>
            </w:r>
            <w:r w:rsidRPr="00482FE5">
              <w:rPr>
                <w:webHidden/>
              </w:rPr>
              <w:fldChar w:fldCharType="separate"/>
            </w:r>
            <w:r w:rsidR="00B8276F">
              <w:rPr>
                <w:webHidden/>
              </w:rPr>
              <w:t>21</w:t>
            </w:r>
            <w:r w:rsidRPr="00482FE5">
              <w:rPr>
                <w:webHidden/>
              </w:rPr>
              <w:fldChar w:fldCharType="end"/>
            </w:r>
          </w:hyperlink>
        </w:p>
        <w:p w14:paraId="6B4382BF" w14:textId="6E112B10" w:rsidR="00482FE5" w:rsidRPr="00482FE5" w:rsidRDefault="00482FE5">
          <w:pPr>
            <w:pStyle w:val="TOC3"/>
            <w:tabs>
              <w:tab w:val="right" w:leader="dot" w:pos="9344"/>
            </w:tabs>
            <w:rPr>
              <w:rFonts w:eastAsiaTheme="minorEastAsia"/>
              <w:noProof/>
              <w:sz w:val="24"/>
              <w:szCs w:val="24"/>
              <w:lang w:eastAsia="en-ID"/>
            </w:rPr>
          </w:pPr>
          <w:hyperlink w:anchor="_Toc201063311" w:history="1">
            <w:r w:rsidRPr="00482FE5">
              <w:rPr>
                <w:rStyle w:val="Hyperlink"/>
                <w:rFonts w:asciiTheme="majorBidi" w:hAnsiTheme="majorBidi"/>
                <w:noProof/>
                <w:lang w:val="sv-SE"/>
              </w:rPr>
              <w:t>2.3.1 Pengertian Risiko Likuiditas</w:t>
            </w:r>
            <w:r w:rsidRPr="00482FE5">
              <w:rPr>
                <w:noProof/>
                <w:webHidden/>
              </w:rPr>
              <w:tab/>
            </w:r>
            <w:r w:rsidRPr="00482FE5">
              <w:rPr>
                <w:noProof/>
                <w:webHidden/>
              </w:rPr>
              <w:fldChar w:fldCharType="begin"/>
            </w:r>
            <w:r w:rsidRPr="00482FE5">
              <w:rPr>
                <w:noProof/>
                <w:webHidden/>
              </w:rPr>
              <w:instrText xml:space="preserve"> PAGEREF _Toc201063311 \h </w:instrText>
            </w:r>
            <w:r w:rsidRPr="00482FE5">
              <w:rPr>
                <w:noProof/>
                <w:webHidden/>
              </w:rPr>
            </w:r>
            <w:r w:rsidRPr="00482FE5">
              <w:rPr>
                <w:noProof/>
                <w:webHidden/>
              </w:rPr>
              <w:fldChar w:fldCharType="separate"/>
            </w:r>
            <w:r w:rsidR="00B8276F">
              <w:rPr>
                <w:noProof/>
                <w:webHidden/>
              </w:rPr>
              <w:t>21</w:t>
            </w:r>
            <w:r w:rsidRPr="00482FE5">
              <w:rPr>
                <w:noProof/>
                <w:webHidden/>
              </w:rPr>
              <w:fldChar w:fldCharType="end"/>
            </w:r>
          </w:hyperlink>
        </w:p>
        <w:p w14:paraId="17FBBC98" w14:textId="61407308" w:rsidR="00482FE5" w:rsidRPr="00482FE5" w:rsidRDefault="00482FE5">
          <w:pPr>
            <w:pStyle w:val="TOC3"/>
            <w:tabs>
              <w:tab w:val="right" w:leader="dot" w:pos="9344"/>
            </w:tabs>
            <w:rPr>
              <w:rFonts w:eastAsiaTheme="minorEastAsia"/>
              <w:noProof/>
              <w:sz w:val="24"/>
              <w:szCs w:val="24"/>
              <w:lang w:eastAsia="en-ID"/>
            </w:rPr>
          </w:pPr>
          <w:hyperlink w:anchor="_Toc201063312" w:history="1">
            <w:r w:rsidRPr="00482FE5">
              <w:rPr>
                <w:rStyle w:val="Hyperlink"/>
                <w:rFonts w:asciiTheme="majorBidi" w:hAnsiTheme="majorBidi"/>
                <w:noProof/>
                <w:lang w:val="sv-SE"/>
              </w:rPr>
              <w:t>2.3.2 Landasan Hukum Risiko Likuiditas</w:t>
            </w:r>
            <w:r w:rsidRPr="00482FE5">
              <w:rPr>
                <w:noProof/>
                <w:webHidden/>
              </w:rPr>
              <w:tab/>
            </w:r>
            <w:r w:rsidRPr="00482FE5">
              <w:rPr>
                <w:noProof/>
                <w:webHidden/>
              </w:rPr>
              <w:fldChar w:fldCharType="begin"/>
            </w:r>
            <w:r w:rsidRPr="00482FE5">
              <w:rPr>
                <w:noProof/>
                <w:webHidden/>
              </w:rPr>
              <w:instrText xml:space="preserve"> PAGEREF _Toc201063312 \h </w:instrText>
            </w:r>
            <w:r w:rsidRPr="00482FE5">
              <w:rPr>
                <w:noProof/>
                <w:webHidden/>
              </w:rPr>
            </w:r>
            <w:r w:rsidRPr="00482FE5">
              <w:rPr>
                <w:noProof/>
                <w:webHidden/>
              </w:rPr>
              <w:fldChar w:fldCharType="separate"/>
            </w:r>
            <w:r w:rsidR="00B8276F">
              <w:rPr>
                <w:noProof/>
                <w:webHidden/>
              </w:rPr>
              <w:t>24</w:t>
            </w:r>
            <w:r w:rsidRPr="00482FE5">
              <w:rPr>
                <w:noProof/>
                <w:webHidden/>
              </w:rPr>
              <w:fldChar w:fldCharType="end"/>
            </w:r>
          </w:hyperlink>
        </w:p>
        <w:p w14:paraId="2F7ED994" w14:textId="46AC0899" w:rsidR="00482FE5" w:rsidRPr="00482FE5" w:rsidRDefault="00482FE5">
          <w:pPr>
            <w:pStyle w:val="TOC3"/>
            <w:tabs>
              <w:tab w:val="right" w:leader="dot" w:pos="9344"/>
            </w:tabs>
            <w:rPr>
              <w:rFonts w:eastAsiaTheme="minorEastAsia"/>
              <w:noProof/>
              <w:sz w:val="24"/>
              <w:szCs w:val="24"/>
              <w:lang w:eastAsia="en-ID"/>
            </w:rPr>
          </w:pPr>
          <w:hyperlink w:anchor="_Toc201063313" w:history="1">
            <w:r w:rsidRPr="00482FE5">
              <w:rPr>
                <w:rStyle w:val="Hyperlink"/>
                <w:rFonts w:asciiTheme="majorBidi" w:hAnsiTheme="majorBidi"/>
                <w:noProof/>
                <w:lang w:val="sv-SE"/>
              </w:rPr>
              <w:t>2.3.3 Hipotesis Penelitian</w:t>
            </w:r>
            <w:r w:rsidRPr="00482FE5">
              <w:rPr>
                <w:noProof/>
                <w:webHidden/>
              </w:rPr>
              <w:tab/>
            </w:r>
            <w:r w:rsidRPr="00482FE5">
              <w:rPr>
                <w:noProof/>
                <w:webHidden/>
              </w:rPr>
              <w:fldChar w:fldCharType="begin"/>
            </w:r>
            <w:r w:rsidRPr="00482FE5">
              <w:rPr>
                <w:noProof/>
                <w:webHidden/>
              </w:rPr>
              <w:instrText xml:space="preserve"> PAGEREF _Toc201063313 \h </w:instrText>
            </w:r>
            <w:r w:rsidRPr="00482FE5">
              <w:rPr>
                <w:noProof/>
                <w:webHidden/>
              </w:rPr>
            </w:r>
            <w:r w:rsidRPr="00482FE5">
              <w:rPr>
                <w:noProof/>
                <w:webHidden/>
              </w:rPr>
              <w:fldChar w:fldCharType="separate"/>
            </w:r>
            <w:r w:rsidR="00B8276F">
              <w:rPr>
                <w:noProof/>
                <w:webHidden/>
              </w:rPr>
              <w:t>24</w:t>
            </w:r>
            <w:r w:rsidRPr="00482FE5">
              <w:rPr>
                <w:noProof/>
                <w:webHidden/>
              </w:rPr>
              <w:fldChar w:fldCharType="end"/>
            </w:r>
          </w:hyperlink>
        </w:p>
        <w:p w14:paraId="306DCBBF" w14:textId="3B1F9C36" w:rsidR="00482FE5" w:rsidRPr="00482FE5" w:rsidRDefault="00482FE5">
          <w:pPr>
            <w:pStyle w:val="TOC2"/>
            <w:rPr>
              <w:rFonts w:asciiTheme="minorHAnsi" w:eastAsiaTheme="minorEastAsia" w:hAnsiTheme="minorHAnsi"/>
              <w:sz w:val="24"/>
              <w:szCs w:val="24"/>
              <w:lang w:val="en-ID" w:eastAsia="en-ID"/>
            </w:rPr>
          </w:pPr>
          <w:hyperlink w:anchor="_Toc201063314" w:history="1">
            <w:r w:rsidRPr="00482FE5">
              <w:rPr>
                <w:rStyle w:val="Hyperlink"/>
                <w:lang w:val="sv-SE"/>
              </w:rPr>
              <w:t>2.4 Nisbah Bagi Hasil</w:t>
            </w:r>
            <w:r w:rsidRPr="00482FE5">
              <w:rPr>
                <w:webHidden/>
              </w:rPr>
              <w:tab/>
            </w:r>
            <w:r w:rsidRPr="00482FE5">
              <w:rPr>
                <w:webHidden/>
              </w:rPr>
              <w:fldChar w:fldCharType="begin"/>
            </w:r>
            <w:r w:rsidRPr="00482FE5">
              <w:rPr>
                <w:webHidden/>
              </w:rPr>
              <w:instrText xml:space="preserve"> PAGEREF _Toc201063314 \h </w:instrText>
            </w:r>
            <w:r w:rsidRPr="00482FE5">
              <w:rPr>
                <w:webHidden/>
              </w:rPr>
            </w:r>
            <w:r w:rsidRPr="00482FE5">
              <w:rPr>
                <w:webHidden/>
              </w:rPr>
              <w:fldChar w:fldCharType="separate"/>
            </w:r>
            <w:r w:rsidR="00B8276F">
              <w:rPr>
                <w:webHidden/>
              </w:rPr>
              <w:t>25</w:t>
            </w:r>
            <w:r w:rsidRPr="00482FE5">
              <w:rPr>
                <w:webHidden/>
              </w:rPr>
              <w:fldChar w:fldCharType="end"/>
            </w:r>
          </w:hyperlink>
        </w:p>
        <w:p w14:paraId="7F2E3513" w14:textId="31F674C4" w:rsidR="00482FE5" w:rsidRPr="00482FE5" w:rsidRDefault="00482FE5">
          <w:pPr>
            <w:pStyle w:val="TOC3"/>
            <w:tabs>
              <w:tab w:val="right" w:leader="dot" w:pos="9344"/>
            </w:tabs>
            <w:rPr>
              <w:rFonts w:eastAsiaTheme="minorEastAsia"/>
              <w:noProof/>
              <w:sz w:val="24"/>
              <w:szCs w:val="24"/>
              <w:lang w:eastAsia="en-ID"/>
            </w:rPr>
          </w:pPr>
          <w:hyperlink w:anchor="_Toc201063315" w:history="1">
            <w:r w:rsidRPr="00482FE5">
              <w:rPr>
                <w:rStyle w:val="Hyperlink"/>
                <w:rFonts w:asciiTheme="majorBidi" w:hAnsiTheme="majorBidi"/>
                <w:noProof/>
                <w:lang w:val="sv-SE"/>
              </w:rPr>
              <w:t>2.4.1 Pengertian Nisbah Bagi Hasil</w:t>
            </w:r>
            <w:r w:rsidRPr="00482FE5">
              <w:rPr>
                <w:noProof/>
                <w:webHidden/>
              </w:rPr>
              <w:tab/>
            </w:r>
            <w:r w:rsidRPr="00482FE5">
              <w:rPr>
                <w:noProof/>
                <w:webHidden/>
              </w:rPr>
              <w:fldChar w:fldCharType="begin"/>
            </w:r>
            <w:r w:rsidRPr="00482FE5">
              <w:rPr>
                <w:noProof/>
                <w:webHidden/>
              </w:rPr>
              <w:instrText xml:space="preserve"> PAGEREF _Toc201063315 \h </w:instrText>
            </w:r>
            <w:r w:rsidRPr="00482FE5">
              <w:rPr>
                <w:noProof/>
                <w:webHidden/>
              </w:rPr>
            </w:r>
            <w:r w:rsidRPr="00482FE5">
              <w:rPr>
                <w:noProof/>
                <w:webHidden/>
              </w:rPr>
              <w:fldChar w:fldCharType="separate"/>
            </w:r>
            <w:r w:rsidR="00B8276F">
              <w:rPr>
                <w:noProof/>
                <w:webHidden/>
              </w:rPr>
              <w:t>25</w:t>
            </w:r>
            <w:r w:rsidRPr="00482FE5">
              <w:rPr>
                <w:noProof/>
                <w:webHidden/>
              </w:rPr>
              <w:fldChar w:fldCharType="end"/>
            </w:r>
          </w:hyperlink>
        </w:p>
        <w:p w14:paraId="2AB7202D" w14:textId="75B01B4E" w:rsidR="00482FE5" w:rsidRPr="00482FE5" w:rsidRDefault="00482FE5">
          <w:pPr>
            <w:pStyle w:val="TOC3"/>
            <w:tabs>
              <w:tab w:val="right" w:leader="dot" w:pos="9344"/>
            </w:tabs>
            <w:rPr>
              <w:rFonts w:eastAsiaTheme="minorEastAsia"/>
              <w:noProof/>
              <w:sz w:val="24"/>
              <w:szCs w:val="24"/>
              <w:lang w:eastAsia="en-ID"/>
            </w:rPr>
          </w:pPr>
          <w:hyperlink w:anchor="_Toc201063316" w:history="1">
            <w:r w:rsidRPr="00482FE5">
              <w:rPr>
                <w:rStyle w:val="Hyperlink"/>
                <w:rFonts w:asciiTheme="majorBidi" w:hAnsiTheme="majorBidi"/>
                <w:noProof/>
                <w:lang w:val="pt-BR"/>
              </w:rPr>
              <w:t>2.4.2 Nisbah Bagi Hasil Dalam Pandangan Islam</w:t>
            </w:r>
            <w:r w:rsidRPr="00482FE5">
              <w:rPr>
                <w:noProof/>
                <w:webHidden/>
              </w:rPr>
              <w:tab/>
            </w:r>
            <w:r w:rsidRPr="00482FE5">
              <w:rPr>
                <w:noProof/>
                <w:webHidden/>
              </w:rPr>
              <w:fldChar w:fldCharType="begin"/>
            </w:r>
            <w:r w:rsidRPr="00482FE5">
              <w:rPr>
                <w:noProof/>
                <w:webHidden/>
              </w:rPr>
              <w:instrText xml:space="preserve"> PAGEREF _Toc201063316 \h </w:instrText>
            </w:r>
            <w:r w:rsidRPr="00482FE5">
              <w:rPr>
                <w:noProof/>
                <w:webHidden/>
              </w:rPr>
            </w:r>
            <w:r w:rsidRPr="00482FE5">
              <w:rPr>
                <w:noProof/>
                <w:webHidden/>
              </w:rPr>
              <w:fldChar w:fldCharType="separate"/>
            </w:r>
            <w:r w:rsidR="00B8276F">
              <w:rPr>
                <w:noProof/>
                <w:webHidden/>
              </w:rPr>
              <w:t>27</w:t>
            </w:r>
            <w:r w:rsidRPr="00482FE5">
              <w:rPr>
                <w:noProof/>
                <w:webHidden/>
              </w:rPr>
              <w:fldChar w:fldCharType="end"/>
            </w:r>
          </w:hyperlink>
        </w:p>
        <w:p w14:paraId="4E5A2501" w14:textId="2E1A1B1F" w:rsidR="00482FE5" w:rsidRPr="00482FE5" w:rsidRDefault="00482FE5">
          <w:pPr>
            <w:pStyle w:val="TOC3"/>
            <w:tabs>
              <w:tab w:val="right" w:leader="dot" w:pos="9344"/>
            </w:tabs>
            <w:rPr>
              <w:rFonts w:eastAsiaTheme="minorEastAsia"/>
              <w:noProof/>
              <w:sz w:val="24"/>
              <w:szCs w:val="24"/>
              <w:lang w:eastAsia="en-ID"/>
            </w:rPr>
          </w:pPr>
          <w:hyperlink w:anchor="_Toc201063317" w:history="1">
            <w:r w:rsidRPr="00482FE5">
              <w:rPr>
                <w:rStyle w:val="Hyperlink"/>
                <w:rFonts w:asciiTheme="majorBidi" w:hAnsiTheme="majorBidi"/>
                <w:noProof/>
                <w:lang w:val="sv-SE"/>
              </w:rPr>
              <w:t>2.4.3 Hipotesis Penelitian</w:t>
            </w:r>
            <w:r w:rsidRPr="00482FE5">
              <w:rPr>
                <w:noProof/>
                <w:webHidden/>
              </w:rPr>
              <w:tab/>
            </w:r>
            <w:r w:rsidRPr="00482FE5">
              <w:rPr>
                <w:noProof/>
                <w:webHidden/>
              </w:rPr>
              <w:fldChar w:fldCharType="begin"/>
            </w:r>
            <w:r w:rsidRPr="00482FE5">
              <w:rPr>
                <w:noProof/>
                <w:webHidden/>
              </w:rPr>
              <w:instrText xml:space="preserve"> PAGEREF _Toc201063317 \h </w:instrText>
            </w:r>
            <w:r w:rsidRPr="00482FE5">
              <w:rPr>
                <w:noProof/>
                <w:webHidden/>
              </w:rPr>
            </w:r>
            <w:r w:rsidRPr="00482FE5">
              <w:rPr>
                <w:noProof/>
                <w:webHidden/>
              </w:rPr>
              <w:fldChar w:fldCharType="separate"/>
            </w:r>
            <w:r w:rsidR="00B8276F">
              <w:rPr>
                <w:noProof/>
                <w:webHidden/>
              </w:rPr>
              <w:t>27</w:t>
            </w:r>
            <w:r w:rsidRPr="00482FE5">
              <w:rPr>
                <w:noProof/>
                <w:webHidden/>
              </w:rPr>
              <w:fldChar w:fldCharType="end"/>
            </w:r>
          </w:hyperlink>
        </w:p>
        <w:p w14:paraId="734A7C37" w14:textId="251ECCFE" w:rsidR="00482FE5" w:rsidRPr="00482FE5" w:rsidRDefault="00482FE5">
          <w:pPr>
            <w:pStyle w:val="TOC2"/>
            <w:rPr>
              <w:rFonts w:asciiTheme="minorHAnsi" w:eastAsiaTheme="minorEastAsia" w:hAnsiTheme="minorHAnsi"/>
              <w:sz w:val="24"/>
              <w:szCs w:val="24"/>
              <w:lang w:val="en-ID" w:eastAsia="en-ID"/>
            </w:rPr>
          </w:pPr>
          <w:hyperlink w:anchor="_Toc201063318" w:history="1">
            <w:r w:rsidRPr="00482FE5">
              <w:rPr>
                <w:rStyle w:val="Hyperlink"/>
                <w:lang w:val="sv-SE"/>
              </w:rPr>
              <w:t>2.5 Deposito Mudharabah</w:t>
            </w:r>
            <w:r w:rsidRPr="00482FE5">
              <w:rPr>
                <w:webHidden/>
              </w:rPr>
              <w:tab/>
            </w:r>
            <w:r w:rsidRPr="00482FE5">
              <w:rPr>
                <w:webHidden/>
              </w:rPr>
              <w:fldChar w:fldCharType="begin"/>
            </w:r>
            <w:r w:rsidRPr="00482FE5">
              <w:rPr>
                <w:webHidden/>
              </w:rPr>
              <w:instrText xml:space="preserve"> PAGEREF _Toc201063318 \h </w:instrText>
            </w:r>
            <w:r w:rsidRPr="00482FE5">
              <w:rPr>
                <w:webHidden/>
              </w:rPr>
            </w:r>
            <w:r w:rsidRPr="00482FE5">
              <w:rPr>
                <w:webHidden/>
              </w:rPr>
              <w:fldChar w:fldCharType="separate"/>
            </w:r>
            <w:r w:rsidR="00B8276F">
              <w:rPr>
                <w:webHidden/>
              </w:rPr>
              <w:t>28</w:t>
            </w:r>
            <w:r w:rsidRPr="00482FE5">
              <w:rPr>
                <w:webHidden/>
              </w:rPr>
              <w:fldChar w:fldCharType="end"/>
            </w:r>
          </w:hyperlink>
        </w:p>
        <w:p w14:paraId="0B8C368E" w14:textId="1C732D9F" w:rsidR="00482FE5" w:rsidRPr="00482FE5" w:rsidRDefault="00482FE5">
          <w:pPr>
            <w:pStyle w:val="TOC3"/>
            <w:tabs>
              <w:tab w:val="right" w:leader="dot" w:pos="9344"/>
            </w:tabs>
            <w:rPr>
              <w:rFonts w:eastAsiaTheme="minorEastAsia"/>
              <w:noProof/>
              <w:sz w:val="24"/>
              <w:szCs w:val="24"/>
              <w:lang w:eastAsia="en-ID"/>
            </w:rPr>
          </w:pPr>
          <w:hyperlink w:anchor="_Toc201063319" w:history="1">
            <w:r w:rsidRPr="00482FE5">
              <w:rPr>
                <w:rStyle w:val="Hyperlink"/>
                <w:rFonts w:asciiTheme="majorBidi" w:hAnsiTheme="majorBidi"/>
                <w:noProof/>
                <w:lang w:val="sv-SE"/>
              </w:rPr>
              <w:t>2.5.1 Pengertian Deposito Mudharabah</w:t>
            </w:r>
            <w:r w:rsidRPr="00482FE5">
              <w:rPr>
                <w:noProof/>
                <w:webHidden/>
              </w:rPr>
              <w:tab/>
            </w:r>
            <w:r w:rsidRPr="00482FE5">
              <w:rPr>
                <w:noProof/>
                <w:webHidden/>
              </w:rPr>
              <w:fldChar w:fldCharType="begin"/>
            </w:r>
            <w:r w:rsidRPr="00482FE5">
              <w:rPr>
                <w:noProof/>
                <w:webHidden/>
              </w:rPr>
              <w:instrText xml:space="preserve"> PAGEREF _Toc201063319 \h </w:instrText>
            </w:r>
            <w:r w:rsidRPr="00482FE5">
              <w:rPr>
                <w:noProof/>
                <w:webHidden/>
              </w:rPr>
            </w:r>
            <w:r w:rsidRPr="00482FE5">
              <w:rPr>
                <w:noProof/>
                <w:webHidden/>
              </w:rPr>
              <w:fldChar w:fldCharType="separate"/>
            </w:r>
            <w:r w:rsidR="00B8276F">
              <w:rPr>
                <w:noProof/>
                <w:webHidden/>
              </w:rPr>
              <w:t>28</w:t>
            </w:r>
            <w:r w:rsidRPr="00482FE5">
              <w:rPr>
                <w:noProof/>
                <w:webHidden/>
              </w:rPr>
              <w:fldChar w:fldCharType="end"/>
            </w:r>
          </w:hyperlink>
        </w:p>
        <w:p w14:paraId="1D15A0B5" w14:textId="57149E6C" w:rsidR="00482FE5" w:rsidRPr="00482FE5" w:rsidRDefault="00482FE5">
          <w:pPr>
            <w:pStyle w:val="TOC3"/>
            <w:tabs>
              <w:tab w:val="right" w:leader="dot" w:pos="9344"/>
            </w:tabs>
            <w:rPr>
              <w:rFonts w:eastAsiaTheme="minorEastAsia"/>
              <w:noProof/>
              <w:sz w:val="24"/>
              <w:szCs w:val="24"/>
              <w:lang w:eastAsia="en-ID"/>
            </w:rPr>
          </w:pPr>
          <w:hyperlink w:anchor="_Toc201063320" w:history="1">
            <w:r w:rsidRPr="00482FE5">
              <w:rPr>
                <w:rStyle w:val="Hyperlink"/>
                <w:rFonts w:asciiTheme="majorBidi" w:hAnsiTheme="majorBidi"/>
                <w:noProof/>
                <w:lang w:val="sv-SE"/>
              </w:rPr>
              <w:t>2.5.2 Konsep Akad Mudharabah</w:t>
            </w:r>
            <w:r w:rsidRPr="00482FE5">
              <w:rPr>
                <w:noProof/>
                <w:webHidden/>
              </w:rPr>
              <w:tab/>
            </w:r>
            <w:r w:rsidRPr="00482FE5">
              <w:rPr>
                <w:noProof/>
                <w:webHidden/>
              </w:rPr>
              <w:fldChar w:fldCharType="begin"/>
            </w:r>
            <w:r w:rsidRPr="00482FE5">
              <w:rPr>
                <w:noProof/>
                <w:webHidden/>
              </w:rPr>
              <w:instrText xml:space="preserve"> PAGEREF _Toc201063320 \h </w:instrText>
            </w:r>
            <w:r w:rsidRPr="00482FE5">
              <w:rPr>
                <w:noProof/>
                <w:webHidden/>
              </w:rPr>
            </w:r>
            <w:r w:rsidRPr="00482FE5">
              <w:rPr>
                <w:noProof/>
                <w:webHidden/>
              </w:rPr>
              <w:fldChar w:fldCharType="separate"/>
            </w:r>
            <w:r w:rsidR="00B8276F">
              <w:rPr>
                <w:noProof/>
                <w:webHidden/>
              </w:rPr>
              <w:t>29</w:t>
            </w:r>
            <w:r w:rsidRPr="00482FE5">
              <w:rPr>
                <w:noProof/>
                <w:webHidden/>
              </w:rPr>
              <w:fldChar w:fldCharType="end"/>
            </w:r>
          </w:hyperlink>
        </w:p>
        <w:p w14:paraId="61C2FF4B" w14:textId="40E9F97E" w:rsidR="00482FE5" w:rsidRPr="00482FE5" w:rsidRDefault="00482FE5">
          <w:pPr>
            <w:pStyle w:val="TOC3"/>
            <w:tabs>
              <w:tab w:val="right" w:leader="dot" w:pos="9344"/>
            </w:tabs>
            <w:rPr>
              <w:rFonts w:eastAsiaTheme="minorEastAsia"/>
              <w:noProof/>
              <w:sz w:val="24"/>
              <w:szCs w:val="24"/>
              <w:lang w:eastAsia="en-ID"/>
            </w:rPr>
          </w:pPr>
          <w:hyperlink w:anchor="_Toc201063321" w:history="1">
            <w:r w:rsidRPr="00482FE5">
              <w:rPr>
                <w:rStyle w:val="Hyperlink"/>
                <w:rFonts w:asciiTheme="majorBidi" w:hAnsiTheme="majorBidi"/>
                <w:noProof/>
                <w:lang w:val="sv-SE"/>
              </w:rPr>
              <w:t>2.5.3 Landasan Hukum Deposito Mudharabah</w:t>
            </w:r>
            <w:r w:rsidRPr="00482FE5">
              <w:rPr>
                <w:noProof/>
                <w:webHidden/>
              </w:rPr>
              <w:tab/>
            </w:r>
            <w:r w:rsidRPr="00482FE5">
              <w:rPr>
                <w:noProof/>
                <w:webHidden/>
              </w:rPr>
              <w:fldChar w:fldCharType="begin"/>
            </w:r>
            <w:r w:rsidRPr="00482FE5">
              <w:rPr>
                <w:noProof/>
                <w:webHidden/>
              </w:rPr>
              <w:instrText xml:space="preserve"> PAGEREF _Toc201063321 \h </w:instrText>
            </w:r>
            <w:r w:rsidRPr="00482FE5">
              <w:rPr>
                <w:noProof/>
                <w:webHidden/>
              </w:rPr>
            </w:r>
            <w:r w:rsidRPr="00482FE5">
              <w:rPr>
                <w:noProof/>
                <w:webHidden/>
              </w:rPr>
              <w:fldChar w:fldCharType="separate"/>
            </w:r>
            <w:r w:rsidR="00B8276F">
              <w:rPr>
                <w:noProof/>
                <w:webHidden/>
              </w:rPr>
              <w:t>32</w:t>
            </w:r>
            <w:r w:rsidRPr="00482FE5">
              <w:rPr>
                <w:noProof/>
                <w:webHidden/>
              </w:rPr>
              <w:fldChar w:fldCharType="end"/>
            </w:r>
          </w:hyperlink>
        </w:p>
        <w:p w14:paraId="10C8BB4A" w14:textId="2710A78B" w:rsidR="00482FE5" w:rsidRPr="00482FE5" w:rsidRDefault="00482FE5">
          <w:pPr>
            <w:pStyle w:val="TOC3"/>
            <w:tabs>
              <w:tab w:val="right" w:leader="dot" w:pos="9344"/>
            </w:tabs>
            <w:rPr>
              <w:rFonts w:eastAsiaTheme="minorEastAsia"/>
              <w:noProof/>
              <w:sz w:val="24"/>
              <w:szCs w:val="24"/>
              <w:lang w:eastAsia="en-ID"/>
            </w:rPr>
          </w:pPr>
          <w:hyperlink w:anchor="_Toc201063322" w:history="1">
            <w:r w:rsidRPr="00482FE5">
              <w:rPr>
                <w:rStyle w:val="Hyperlink"/>
                <w:rFonts w:asciiTheme="majorBidi" w:hAnsiTheme="majorBidi"/>
                <w:noProof/>
                <w:lang w:val="sv-SE"/>
              </w:rPr>
              <w:t>2.5.4 Jenis dan Skema Mudharabah</w:t>
            </w:r>
            <w:r w:rsidRPr="00482FE5">
              <w:rPr>
                <w:noProof/>
                <w:webHidden/>
              </w:rPr>
              <w:tab/>
            </w:r>
            <w:r w:rsidRPr="00482FE5">
              <w:rPr>
                <w:noProof/>
                <w:webHidden/>
              </w:rPr>
              <w:fldChar w:fldCharType="begin"/>
            </w:r>
            <w:r w:rsidRPr="00482FE5">
              <w:rPr>
                <w:noProof/>
                <w:webHidden/>
              </w:rPr>
              <w:instrText xml:space="preserve"> PAGEREF _Toc201063322 \h </w:instrText>
            </w:r>
            <w:r w:rsidRPr="00482FE5">
              <w:rPr>
                <w:noProof/>
                <w:webHidden/>
              </w:rPr>
            </w:r>
            <w:r w:rsidRPr="00482FE5">
              <w:rPr>
                <w:noProof/>
                <w:webHidden/>
              </w:rPr>
              <w:fldChar w:fldCharType="separate"/>
            </w:r>
            <w:r w:rsidR="00B8276F">
              <w:rPr>
                <w:noProof/>
                <w:webHidden/>
              </w:rPr>
              <w:t>33</w:t>
            </w:r>
            <w:r w:rsidRPr="00482FE5">
              <w:rPr>
                <w:noProof/>
                <w:webHidden/>
              </w:rPr>
              <w:fldChar w:fldCharType="end"/>
            </w:r>
          </w:hyperlink>
        </w:p>
        <w:p w14:paraId="7FC5AD97" w14:textId="06AA885E" w:rsidR="00482FE5" w:rsidRPr="00482FE5" w:rsidRDefault="00482FE5">
          <w:pPr>
            <w:pStyle w:val="TOC2"/>
            <w:rPr>
              <w:rFonts w:asciiTheme="minorHAnsi" w:eastAsiaTheme="minorEastAsia" w:hAnsiTheme="minorHAnsi"/>
              <w:sz w:val="24"/>
              <w:szCs w:val="24"/>
              <w:lang w:val="en-ID" w:eastAsia="en-ID"/>
            </w:rPr>
          </w:pPr>
          <w:hyperlink w:anchor="_Toc201063323" w:history="1">
            <w:r w:rsidRPr="00482FE5">
              <w:rPr>
                <w:rStyle w:val="Hyperlink"/>
                <w:lang w:val="sv-SE"/>
              </w:rPr>
              <w:t>2.7 Penelitian Terdahulu</w:t>
            </w:r>
            <w:r w:rsidRPr="00482FE5">
              <w:rPr>
                <w:webHidden/>
              </w:rPr>
              <w:tab/>
            </w:r>
            <w:r w:rsidRPr="00482FE5">
              <w:rPr>
                <w:webHidden/>
              </w:rPr>
              <w:fldChar w:fldCharType="begin"/>
            </w:r>
            <w:r w:rsidRPr="00482FE5">
              <w:rPr>
                <w:webHidden/>
              </w:rPr>
              <w:instrText xml:space="preserve"> PAGEREF _Toc201063323 \h </w:instrText>
            </w:r>
            <w:r w:rsidRPr="00482FE5">
              <w:rPr>
                <w:webHidden/>
              </w:rPr>
            </w:r>
            <w:r w:rsidRPr="00482FE5">
              <w:rPr>
                <w:webHidden/>
              </w:rPr>
              <w:fldChar w:fldCharType="separate"/>
            </w:r>
            <w:r w:rsidR="00B8276F">
              <w:rPr>
                <w:webHidden/>
              </w:rPr>
              <w:t>35</w:t>
            </w:r>
            <w:r w:rsidRPr="00482FE5">
              <w:rPr>
                <w:webHidden/>
              </w:rPr>
              <w:fldChar w:fldCharType="end"/>
            </w:r>
          </w:hyperlink>
        </w:p>
        <w:p w14:paraId="5DA18465" w14:textId="0647ECB8" w:rsidR="00482FE5" w:rsidRPr="00482FE5" w:rsidRDefault="00482FE5">
          <w:pPr>
            <w:pStyle w:val="TOC2"/>
            <w:rPr>
              <w:rFonts w:asciiTheme="minorHAnsi" w:eastAsiaTheme="minorEastAsia" w:hAnsiTheme="minorHAnsi"/>
              <w:sz w:val="24"/>
              <w:szCs w:val="24"/>
              <w:lang w:val="en-ID" w:eastAsia="en-ID"/>
            </w:rPr>
          </w:pPr>
          <w:hyperlink w:anchor="_Toc201063324" w:history="1">
            <w:r w:rsidRPr="00482FE5">
              <w:rPr>
                <w:rStyle w:val="Hyperlink"/>
                <w:lang w:val="sv-SE"/>
              </w:rPr>
              <w:t>2.8 Kerangka Pemikiran</w:t>
            </w:r>
            <w:r w:rsidRPr="00482FE5">
              <w:rPr>
                <w:webHidden/>
              </w:rPr>
              <w:tab/>
            </w:r>
            <w:r w:rsidRPr="00482FE5">
              <w:rPr>
                <w:webHidden/>
              </w:rPr>
              <w:fldChar w:fldCharType="begin"/>
            </w:r>
            <w:r w:rsidRPr="00482FE5">
              <w:rPr>
                <w:webHidden/>
              </w:rPr>
              <w:instrText xml:space="preserve"> PAGEREF _Toc201063324 \h </w:instrText>
            </w:r>
            <w:r w:rsidRPr="00482FE5">
              <w:rPr>
                <w:webHidden/>
              </w:rPr>
            </w:r>
            <w:r w:rsidRPr="00482FE5">
              <w:rPr>
                <w:webHidden/>
              </w:rPr>
              <w:fldChar w:fldCharType="separate"/>
            </w:r>
            <w:r w:rsidR="00B8276F">
              <w:rPr>
                <w:webHidden/>
              </w:rPr>
              <w:t>39</w:t>
            </w:r>
            <w:r w:rsidRPr="00482FE5">
              <w:rPr>
                <w:webHidden/>
              </w:rPr>
              <w:fldChar w:fldCharType="end"/>
            </w:r>
          </w:hyperlink>
        </w:p>
        <w:p w14:paraId="1861115A" w14:textId="0C20F481" w:rsidR="00482FE5" w:rsidRPr="00482FE5" w:rsidRDefault="00482FE5">
          <w:pPr>
            <w:pStyle w:val="TOC2"/>
            <w:rPr>
              <w:rFonts w:asciiTheme="minorHAnsi" w:eastAsiaTheme="minorEastAsia" w:hAnsiTheme="minorHAnsi"/>
              <w:sz w:val="24"/>
              <w:szCs w:val="24"/>
              <w:lang w:val="en-ID" w:eastAsia="en-ID"/>
            </w:rPr>
          </w:pPr>
          <w:hyperlink w:anchor="_Toc201063325" w:history="1">
            <w:r w:rsidRPr="00482FE5">
              <w:rPr>
                <w:rStyle w:val="Hyperlink"/>
                <w:lang w:val="sv-SE"/>
              </w:rPr>
              <w:t>2.9 Hipotesis</w:t>
            </w:r>
            <w:r w:rsidRPr="00482FE5">
              <w:rPr>
                <w:webHidden/>
              </w:rPr>
              <w:tab/>
            </w:r>
            <w:r w:rsidRPr="00482FE5">
              <w:rPr>
                <w:webHidden/>
              </w:rPr>
              <w:fldChar w:fldCharType="begin"/>
            </w:r>
            <w:r w:rsidRPr="00482FE5">
              <w:rPr>
                <w:webHidden/>
              </w:rPr>
              <w:instrText xml:space="preserve"> PAGEREF _Toc201063325 \h </w:instrText>
            </w:r>
            <w:r w:rsidRPr="00482FE5">
              <w:rPr>
                <w:webHidden/>
              </w:rPr>
            </w:r>
            <w:r w:rsidRPr="00482FE5">
              <w:rPr>
                <w:webHidden/>
              </w:rPr>
              <w:fldChar w:fldCharType="separate"/>
            </w:r>
            <w:r w:rsidR="00B8276F">
              <w:rPr>
                <w:webHidden/>
              </w:rPr>
              <w:t>39</w:t>
            </w:r>
            <w:r w:rsidRPr="00482FE5">
              <w:rPr>
                <w:webHidden/>
              </w:rPr>
              <w:fldChar w:fldCharType="end"/>
            </w:r>
          </w:hyperlink>
        </w:p>
        <w:p w14:paraId="5EE36A6F" w14:textId="1B9D268A" w:rsidR="00482FE5" w:rsidRDefault="00482FE5">
          <w:pPr>
            <w:pStyle w:val="TOC1"/>
            <w:tabs>
              <w:tab w:val="right" w:leader="dot" w:pos="9344"/>
            </w:tabs>
            <w:rPr>
              <w:rFonts w:eastAsiaTheme="minorEastAsia"/>
              <w:noProof/>
              <w:sz w:val="24"/>
              <w:szCs w:val="24"/>
              <w:lang w:eastAsia="en-ID"/>
            </w:rPr>
          </w:pPr>
          <w:hyperlink w:anchor="_Toc201063326" w:history="1">
            <w:r w:rsidRPr="007C03C9">
              <w:rPr>
                <w:rStyle w:val="Hyperlink"/>
                <w:rFonts w:asciiTheme="majorBidi" w:hAnsiTheme="majorBidi"/>
                <w:b/>
                <w:bCs/>
                <w:noProof/>
                <w:lang w:val="pt-BR"/>
              </w:rPr>
              <w:t>BAB III METODE PENELITIAN</w:t>
            </w:r>
            <w:r>
              <w:rPr>
                <w:noProof/>
                <w:webHidden/>
              </w:rPr>
              <w:tab/>
            </w:r>
            <w:r>
              <w:rPr>
                <w:noProof/>
                <w:webHidden/>
              </w:rPr>
              <w:fldChar w:fldCharType="begin"/>
            </w:r>
            <w:r>
              <w:rPr>
                <w:noProof/>
                <w:webHidden/>
              </w:rPr>
              <w:instrText xml:space="preserve"> PAGEREF _Toc201063326 \h </w:instrText>
            </w:r>
            <w:r>
              <w:rPr>
                <w:noProof/>
                <w:webHidden/>
              </w:rPr>
            </w:r>
            <w:r>
              <w:rPr>
                <w:noProof/>
                <w:webHidden/>
              </w:rPr>
              <w:fldChar w:fldCharType="separate"/>
            </w:r>
            <w:r w:rsidR="00B8276F">
              <w:rPr>
                <w:noProof/>
                <w:webHidden/>
              </w:rPr>
              <w:t>40</w:t>
            </w:r>
            <w:r>
              <w:rPr>
                <w:noProof/>
                <w:webHidden/>
              </w:rPr>
              <w:fldChar w:fldCharType="end"/>
            </w:r>
          </w:hyperlink>
        </w:p>
        <w:p w14:paraId="5576FBC4" w14:textId="7BEC995F" w:rsidR="00482FE5" w:rsidRPr="00482FE5" w:rsidRDefault="00482FE5">
          <w:pPr>
            <w:pStyle w:val="TOC2"/>
            <w:rPr>
              <w:rFonts w:asciiTheme="minorHAnsi" w:eastAsiaTheme="minorEastAsia" w:hAnsiTheme="minorHAnsi"/>
              <w:sz w:val="24"/>
              <w:szCs w:val="24"/>
              <w:lang w:val="en-ID" w:eastAsia="en-ID"/>
            </w:rPr>
          </w:pPr>
          <w:hyperlink w:anchor="_Toc201063327" w:history="1">
            <w:r w:rsidRPr="00482FE5">
              <w:rPr>
                <w:rStyle w:val="Hyperlink"/>
              </w:rPr>
              <w:t>4.1</w:t>
            </w:r>
            <w:r w:rsidRPr="00482FE5">
              <w:rPr>
                <w:rFonts w:asciiTheme="minorHAnsi" w:eastAsiaTheme="minorEastAsia" w:hAnsiTheme="minorHAnsi"/>
                <w:sz w:val="24"/>
                <w:szCs w:val="24"/>
                <w:lang w:val="en-ID" w:eastAsia="en-ID"/>
              </w:rPr>
              <w:t xml:space="preserve"> </w:t>
            </w:r>
            <w:r w:rsidRPr="00482FE5">
              <w:rPr>
                <w:rStyle w:val="Hyperlink"/>
              </w:rPr>
              <w:t>Jenis dan Sumber Data</w:t>
            </w:r>
            <w:r w:rsidRPr="00482FE5">
              <w:rPr>
                <w:webHidden/>
              </w:rPr>
              <w:tab/>
            </w:r>
            <w:r w:rsidRPr="00482FE5">
              <w:rPr>
                <w:webHidden/>
              </w:rPr>
              <w:fldChar w:fldCharType="begin"/>
            </w:r>
            <w:r w:rsidRPr="00482FE5">
              <w:rPr>
                <w:webHidden/>
              </w:rPr>
              <w:instrText xml:space="preserve"> PAGEREF _Toc201063327 \h </w:instrText>
            </w:r>
            <w:r w:rsidRPr="00482FE5">
              <w:rPr>
                <w:webHidden/>
              </w:rPr>
            </w:r>
            <w:r w:rsidRPr="00482FE5">
              <w:rPr>
                <w:webHidden/>
              </w:rPr>
              <w:fldChar w:fldCharType="separate"/>
            </w:r>
            <w:r w:rsidR="00B8276F">
              <w:rPr>
                <w:webHidden/>
              </w:rPr>
              <w:t>40</w:t>
            </w:r>
            <w:r w:rsidRPr="00482FE5">
              <w:rPr>
                <w:webHidden/>
              </w:rPr>
              <w:fldChar w:fldCharType="end"/>
            </w:r>
          </w:hyperlink>
        </w:p>
        <w:p w14:paraId="50A56711" w14:textId="1CA04E68" w:rsidR="00482FE5" w:rsidRPr="00482FE5" w:rsidRDefault="00482FE5">
          <w:pPr>
            <w:pStyle w:val="TOC2"/>
            <w:rPr>
              <w:rFonts w:asciiTheme="minorHAnsi" w:eastAsiaTheme="minorEastAsia" w:hAnsiTheme="minorHAnsi"/>
              <w:sz w:val="24"/>
              <w:szCs w:val="24"/>
              <w:lang w:val="en-ID" w:eastAsia="en-ID"/>
            </w:rPr>
          </w:pPr>
          <w:hyperlink w:anchor="_Toc201063328" w:history="1">
            <w:r w:rsidRPr="00482FE5">
              <w:rPr>
                <w:rStyle w:val="Hyperlink"/>
                <w:lang w:val="sv-SE"/>
              </w:rPr>
              <w:t>4.2</w:t>
            </w:r>
            <w:r w:rsidRPr="00482FE5">
              <w:rPr>
                <w:rFonts w:asciiTheme="minorHAnsi" w:eastAsiaTheme="minorEastAsia" w:hAnsiTheme="minorHAnsi"/>
                <w:sz w:val="24"/>
                <w:szCs w:val="24"/>
                <w:lang w:val="en-ID" w:eastAsia="en-ID"/>
              </w:rPr>
              <w:t xml:space="preserve"> </w:t>
            </w:r>
            <w:r w:rsidRPr="00482FE5">
              <w:rPr>
                <w:rStyle w:val="Hyperlink"/>
                <w:lang w:val="sv-SE"/>
              </w:rPr>
              <w:t>Definisi Operasional Variabel Penelitian</w:t>
            </w:r>
            <w:r w:rsidRPr="00482FE5">
              <w:rPr>
                <w:webHidden/>
              </w:rPr>
              <w:tab/>
            </w:r>
            <w:r w:rsidRPr="00482FE5">
              <w:rPr>
                <w:webHidden/>
              </w:rPr>
              <w:fldChar w:fldCharType="begin"/>
            </w:r>
            <w:r w:rsidRPr="00482FE5">
              <w:rPr>
                <w:webHidden/>
              </w:rPr>
              <w:instrText xml:space="preserve"> PAGEREF _Toc201063328 \h </w:instrText>
            </w:r>
            <w:r w:rsidRPr="00482FE5">
              <w:rPr>
                <w:webHidden/>
              </w:rPr>
            </w:r>
            <w:r w:rsidRPr="00482FE5">
              <w:rPr>
                <w:webHidden/>
              </w:rPr>
              <w:fldChar w:fldCharType="separate"/>
            </w:r>
            <w:r w:rsidR="00B8276F">
              <w:rPr>
                <w:webHidden/>
              </w:rPr>
              <w:t>40</w:t>
            </w:r>
            <w:r w:rsidRPr="00482FE5">
              <w:rPr>
                <w:webHidden/>
              </w:rPr>
              <w:fldChar w:fldCharType="end"/>
            </w:r>
          </w:hyperlink>
        </w:p>
        <w:p w14:paraId="746FE159" w14:textId="2EE27EEA" w:rsidR="00482FE5" w:rsidRPr="00482FE5" w:rsidRDefault="00482FE5">
          <w:pPr>
            <w:pStyle w:val="TOC2"/>
            <w:rPr>
              <w:rFonts w:asciiTheme="minorHAnsi" w:eastAsiaTheme="minorEastAsia" w:hAnsiTheme="minorHAnsi"/>
              <w:sz w:val="24"/>
              <w:szCs w:val="24"/>
              <w:lang w:val="en-ID" w:eastAsia="en-ID"/>
            </w:rPr>
          </w:pPr>
          <w:hyperlink w:anchor="_Toc201063329" w:history="1">
            <w:r w:rsidRPr="00482FE5">
              <w:rPr>
                <w:rStyle w:val="Hyperlink"/>
                <w:lang w:val="sv-SE"/>
              </w:rPr>
              <w:t>4.3</w:t>
            </w:r>
            <w:r w:rsidRPr="00482FE5">
              <w:rPr>
                <w:rFonts w:asciiTheme="minorHAnsi" w:eastAsiaTheme="minorEastAsia" w:hAnsiTheme="minorHAnsi"/>
                <w:sz w:val="24"/>
                <w:szCs w:val="24"/>
                <w:lang w:val="en-ID" w:eastAsia="en-ID"/>
              </w:rPr>
              <w:t xml:space="preserve"> </w:t>
            </w:r>
            <w:r w:rsidRPr="00482FE5">
              <w:rPr>
                <w:rStyle w:val="Hyperlink"/>
                <w:lang w:val="sv-SE"/>
              </w:rPr>
              <w:t>Populasi dan Sampel</w:t>
            </w:r>
            <w:r w:rsidRPr="00482FE5">
              <w:rPr>
                <w:webHidden/>
              </w:rPr>
              <w:tab/>
            </w:r>
            <w:r w:rsidRPr="00482FE5">
              <w:rPr>
                <w:webHidden/>
              </w:rPr>
              <w:fldChar w:fldCharType="begin"/>
            </w:r>
            <w:r w:rsidRPr="00482FE5">
              <w:rPr>
                <w:webHidden/>
              </w:rPr>
              <w:instrText xml:space="preserve"> PAGEREF _Toc201063329 \h </w:instrText>
            </w:r>
            <w:r w:rsidRPr="00482FE5">
              <w:rPr>
                <w:webHidden/>
              </w:rPr>
            </w:r>
            <w:r w:rsidRPr="00482FE5">
              <w:rPr>
                <w:webHidden/>
              </w:rPr>
              <w:fldChar w:fldCharType="separate"/>
            </w:r>
            <w:r w:rsidR="00B8276F">
              <w:rPr>
                <w:webHidden/>
              </w:rPr>
              <w:t>42</w:t>
            </w:r>
            <w:r w:rsidRPr="00482FE5">
              <w:rPr>
                <w:webHidden/>
              </w:rPr>
              <w:fldChar w:fldCharType="end"/>
            </w:r>
          </w:hyperlink>
        </w:p>
        <w:p w14:paraId="0324FBF0" w14:textId="1EF0403E" w:rsidR="00482FE5" w:rsidRPr="00482FE5" w:rsidRDefault="00482FE5">
          <w:pPr>
            <w:pStyle w:val="TOC2"/>
            <w:rPr>
              <w:rFonts w:asciiTheme="minorHAnsi" w:eastAsiaTheme="minorEastAsia" w:hAnsiTheme="minorHAnsi"/>
              <w:sz w:val="24"/>
              <w:szCs w:val="24"/>
              <w:lang w:val="en-ID" w:eastAsia="en-ID"/>
            </w:rPr>
          </w:pPr>
          <w:hyperlink w:anchor="_Toc201063330" w:history="1">
            <w:r w:rsidRPr="00482FE5">
              <w:rPr>
                <w:rStyle w:val="Hyperlink"/>
                <w:lang w:val="sv-SE"/>
              </w:rPr>
              <w:t>4.4</w:t>
            </w:r>
            <w:r w:rsidRPr="00482FE5">
              <w:rPr>
                <w:rFonts w:asciiTheme="minorHAnsi" w:eastAsiaTheme="minorEastAsia" w:hAnsiTheme="minorHAnsi"/>
                <w:sz w:val="24"/>
                <w:szCs w:val="24"/>
                <w:lang w:val="en-ID" w:eastAsia="en-ID"/>
              </w:rPr>
              <w:t xml:space="preserve"> </w:t>
            </w:r>
            <w:r w:rsidRPr="00482FE5">
              <w:rPr>
                <w:rStyle w:val="Hyperlink"/>
                <w:lang w:val="sv-SE"/>
              </w:rPr>
              <w:t>Metode Pengumpulan Data</w:t>
            </w:r>
            <w:r w:rsidRPr="00482FE5">
              <w:rPr>
                <w:webHidden/>
              </w:rPr>
              <w:tab/>
            </w:r>
            <w:r w:rsidRPr="00482FE5">
              <w:rPr>
                <w:webHidden/>
              </w:rPr>
              <w:fldChar w:fldCharType="begin"/>
            </w:r>
            <w:r w:rsidRPr="00482FE5">
              <w:rPr>
                <w:webHidden/>
              </w:rPr>
              <w:instrText xml:space="preserve"> PAGEREF _Toc201063330 \h </w:instrText>
            </w:r>
            <w:r w:rsidRPr="00482FE5">
              <w:rPr>
                <w:webHidden/>
              </w:rPr>
            </w:r>
            <w:r w:rsidRPr="00482FE5">
              <w:rPr>
                <w:webHidden/>
              </w:rPr>
              <w:fldChar w:fldCharType="separate"/>
            </w:r>
            <w:r w:rsidR="00B8276F">
              <w:rPr>
                <w:webHidden/>
              </w:rPr>
              <w:t>43</w:t>
            </w:r>
            <w:r w:rsidRPr="00482FE5">
              <w:rPr>
                <w:webHidden/>
              </w:rPr>
              <w:fldChar w:fldCharType="end"/>
            </w:r>
          </w:hyperlink>
        </w:p>
        <w:p w14:paraId="3CE1C92E" w14:textId="21B9DF7D" w:rsidR="00482FE5" w:rsidRPr="00482FE5" w:rsidRDefault="00482FE5">
          <w:pPr>
            <w:pStyle w:val="TOC2"/>
            <w:rPr>
              <w:rFonts w:asciiTheme="minorHAnsi" w:eastAsiaTheme="minorEastAsia" w:hAnsiTheme="minorHAnsi"/>
              <w:sz w:val="24"/>
              <w:szCs w:val="24"/>
              <w:lang w:val="en-ID" w:eastAsia="en-ID"/>
            </w:rPr>
          </w:pPr>
          <w:hyperlink w:anchor="_Toc201063331" w:history="1">
            <w:r w:rsidRPr="00482FE5">
              <w:rPr>
                <w:rStyle w:val="Hyperlink"/>
                <w:lang w:val="sv-SE"/>
              </w:rPr>
              <w:t>4.5</w:t>
            </w:r>
            <w:r w:rsidRPr="00482FE5">
              <w:rPr>
                <w:rFonts w:asciiTheme="minorHAnsi" w:eastAsiaTheme="minorEastAsia" w:hAnsiTheme="minorHAnsi"/>
                <w:sz w:val="24"/>
                <w:szCs w:val="24"/>
                <w:lang w:val="en-ID" w:eastAsia="en-ID"/>
              </w:rPr>
              <w:t xml:space="preserve"> </w:t>
            </w:r>
            <w:r w:rsidRPr="00482FE5">
              <w:rPr>
                <w:rStyle w:val="Hyperlink"/>
                <w:lang w:val="sv-SE"/>
              </w:rPr>
              <w:t>Teknik Pengumpulan Data</w:t>
            </w:r>
            <w:r w:rsidRPr="00482FE5">
              <w:rPr>
                <w:webHidden/>
              </w:rPr>
              <w:tab/>
            </w:r>
            <w:r w:rsidRPr="00482FE5">
              <w:rPr>
                <w:webHidden/>
              </w:rPr>
              <w:fldChar w:fldCharType="begin"/>
            </w:r>
            <w:r w:rsidRPr="00482FE5">
              <w:rPr>
                <w:webHidden/>
              </w:rPr>
              <w:instrText xml:space="preserve"> PAGEREF _Toc201063331 \h </w:instrText>
            </w:r>
            <w:r w:rsidRPr="00482FE5">
              <w:rPr>
                <w:webHidden/>
              </w:rPr>
            </w:r>
            <w:r w:rsidRPr="00482FE5">
              <w:rPr>
                <w:webHidden/>
              </w:rPr>
              <w:fldChar w:fldCharType="separate"/>
            </w:r>
            <w:r w:rsidR="00B8276F">
              <w:rPr>
                <w:webHidden/>
              </w:rPr>
              <w:t>43</w:t>
            </w:r>
            <w:r w:rsidRPr="00482FE5">
              <w:rPr>
                <w:webHidden/>
              </w:rPr>
              <w:fldChar w:fldCharType="end"/>
            </w:r>
          </w:hyperlink>
        </w:p>
        <w:p w14:paraId="3CEFBCE2" w14:textId="3AAE1E85" w:rsidR="00482FE5" w:rsidRPr="00482FE5" w:rsidRDefault="00482FE5">
          <w:pPr>
            <w:pStyle w:val="TOC2"/>
            <w:rPr>
              <w:rFonts w:asciiTheme="minorHAnsi" w:eastAsiaTheme="minorEastAsia" w:hAnsiTheme="minorHAnsi"/>
              <w:sz w:val="24"/>
              <w:szCs w:val="24"/>
              <w:lang w:val="en-ID" w:eastAsia="en-ID"/>
            </w:rPr>
          </w:pPr>
          <w:hyperlink w:anchor="_Toc201063332" w:history="1">
            <w:r w:rsidRPr="00482FE5">
              <w:rPr>
                <w:rStyle w:val="Hyperlink"/>
                <w:lang w:val="sv-SE"/>
              </w:rPr>
              <w:t>4.6</w:t>
            </w:r>
            <w:r w:rsidRPr="00482FE5">
              <w:rPr>
                <w:rFonts w:asciiTheme="minorHAnsi" w:eastAsiaTheme="minorEastAsia" w:hAnsiTheme="minorHAnsi"/>
                <w:sz w:val="24"/>
                <w:szCs w:val="24"/>
                <w:lang w:val="en-ID" w:eastAsia="en-ID"/>
              </w:rPr>
              <w:t xml:space="preserve"> </w:t>
            </w:r>
            <w:r w:rsidRPr="00482FE5">
              <w:rPr>
                <w:rStyle w:val="Hyperlink"/>
                <w:lang w:val="sv-SE"/>
              </w:rPr>
              <w:t>Teknik Analisa Data</w:t>
            </w:r>
            <w:r w:rsidRPr="00482FE5">
              <w:rPr>
                <w:webHidden/>
              </w:rPr>
              <w:tab/>
            </w:r>
            <w:r w:rsidRPr="00482FE5">
              <w:rPr>
                <w:webHidden/>
              </w:rPr>
              <w:fldChar w:fldCharType="begin"/>
            </w:r>
            <w:r w:rsidRPr="00482FE5">
              <w:rPr>
                <w:webHidden/>
              </w:rPr>
              <w:instrText xml:space="preserve"> PAGEREF _Toc201063332 \h </w:instrText>
            </w:r>
            <w:r w:rsidRPr="00482FE5">
              <w:rPr>
                <w:webHidden/>
              </w:rPr>
            </w:r>
            <w:r w:rsidRPr="00482FE5">
              <w:rPr>
                <w:webHidden/>
              </w:rPr>
              <w:fldChar w:fldCharType="separate"/>
            </w:r>
            <w:r w:rsidR="00B8276F">
              <w:rPr>
                <w:webHidden/>
              </w:rPr>
              <w:t>44</w:t>
            </w:r>
            <w:r w:rsidRPr="00482FE5">
              <w:rPr>
                <w:webHidden/>
              </w:rPr>
              <w:fldChar w:fldCharType="end"/>
            </w:r>
          </w:hyperlink>
        </w:p>
        <w:p w14:paraId="542E0C68" w14:textId="55DFF6AF" w:rsidR="00482FE5" w:rsidRDefault="00482FE5">
          <w:pPr>
            <w:pStyle w:val="TOC1"/>
            <w:tabs>
              <w:tab w:val="right" w:leader="dot" w:pos="9344"/>
            </w:tabs>
            <w:rPr>
              <w:rFonts w:eastAsiaTheme="minorEastAsia"/>
              <w:noProof/>
              <w:sz w:val="24"/>
              <w:szCs w:val="24"/>
              <w:lang w:eastAsia="en-ID"/>
            </w:rPr>
          </w:pPr>
          <w:hyperlink w:anchor="_Toc201063333" w:history="1">
            <w:r w:rsidRPr="007C03C9">
              <w:rPr>
                <w:rStyle w:val="Hyperlink"/>
                <w:rFonts w:asciiTheme="majorBidi" w:hAnsiTheme="majorBidi"/>
                <w:b/>
                <w:bCs/>
                <w:noProof/>
                <w:lang w:val="sv-SE"/>
              </w:rPr>
              <w:t>BAB IV HASIL PENELITIAN DAN PEMBAHASAN</w:t>
            </w:r>
            <w:r>
              <w:rPr>
                <w:noProof/>
                <w:webHidden/>
              </w:rPr>
              <w:tab/>
            </w:r>
            <w:r>
              <w:rPr>
                <w:noProof/>
                <w:webHidden/>
              </w:rPr>
              <w:fldChar w:fldCharType="begin"/>
            </w:r>
            <w:r>
              <w:rPr>
                <w:noProof/>
                <w:webHidden/>
              </w:rPr>
              <w:instrText xml:space="preserve"> PAGEREF _Toc201063333 \h </w:instrText>
            </w:r>
            <w:r>
              <w:rPr>
                <w:noProof/>
                <w:webHidden/>
              </w:rPr>
            </w:r>
            <w:r>
              <w:rPr>
                <w:noProof/>
                <w:webHidden/>
              </w:rPr>
              <w:fldChar w:fldCharType="separate"/>
            </w:r>
            <w:r w:rsidR="00B8276F">
              <w:rPr>
                <w:noProof/>
                <w:webHidden/>
              </w:rPr>
              <w:t>49</w:t>
            </w:r>
            <w:r>
              <w:rPr>
                <w:noProof/>
                <w:webHidden/>
              </w:rPr>
              <w:fldChar w:fldCharType="end"/>
            </w:r>
          </w:hyperlink>
        </w:p>
        <w:p w14:paraId="059ED79D" w14:textId="15267AB7" w:rsidR="00482FE5" w:rsidRPr="00482FE5" w:rsidRDefault="00482FE5">
          <w:pPr>
            <w:pStyle w:val="TOC2"/>
            <w:rPr>
              <w:rFonts w:asciiTheme="minorHAnsi" w:eastAsiaTheme="minorEastAsia" w:hAnsiTheme="minorHAnsi"/>
              <w:sz w:val="24"/>
              <w:szCs w:val="24"/>
              <w:lang w:val="en-ID" w:eastAsia="en-ID"/>
            </w:rPr>
          </w:pPr>
          <w:hyperlink w:anchor="_Toc201063334" w:history="1">
            <w:r w:rsidRPr="00482FE5">
              <w:rPr>
                <w:rStyle w:val="Hyperlink"/>
                <w:lang w:val="sv-SE"/>
              </w:rPr>
              <w:t>4.1 Gambaran Umum Objek Penelitian</w:t>
            </w:r>
            <w:r w:rsidRPr="00482FE5">
              <w:rPr>
                <w:webHidden/>
              </w:rPr>
              <w:tab/>
            </w:r>
            <w:r w:rsidRPr="00482FE5">
              <w:rPr>
                <w:webHidden/>
              </w:rPr>
              <w:fldChar w:fldCharType="begin"/>
            </w:r>
            <w:r w:rsidRPr="00482FE5">
              <w:rPr>
                <w:webHidden/>
              </w:rPr>
              <w:instrText xml:space="preserve"> PAGEREF _Toc201063334 \h </w:instrText>
            </w:r>
            <w:r w:rsidRPr="00482FE5">
              <w:rPr>
                <w:webHidden/>
              </w:rPr>
            </w:r>
            <w:r w:rsidRPr="00482FE5">
              <w:rPr>
                <w:webHidden/>
              </w:rPr>
              <w:fldChar w:fldCharType="separate"/>
            </w:r>
            <w:r w:rsidR="00B8276F">
              <w:rPr>
                <w:webHidden/>
              </w:rPr>
              <w:t>49</w:t>
            </w:r>
            <w:r w:rsidRPr="00482FE5">
              <w:rPr>
                <w:webHidden/>
              </w:rPr>
              <w:fldChar w:fldCharType="end"/>
            </w:r>
          </w:hyperlink>
        </w:p>
        <w:p w14:paraId="39C24FBE" w14:textId="7A32ECCE" w:rsidR="00482FE5" w:rsidRPr="00482FE5" w:rsidRDefault="00482FE5">
          <w:pPr>
            <w:pStyle w:val="TOC2"/>
            <w:rPr>
              <w:rFonts w:asciiTheme="minorHAnsi" w:eastAsiaTheme="minorEastAsia" w:hAnsiTheme="minorHAnsi"/>
              <w:sz w:val="24"/>
              <w:szCs w:val="24"/>
              <w:lang w:val="en-ID" w:eastAsia="en-ID"/>
            </w:rPr>
          </w:pPr>
          <w:hyperlink w:anchor="_Toc201063335" w:history="1">
            <w:r w:rsidRPr="00482FE5">
              <w:rPr>
                <w:rStyle w:val="Hyperlink"/>
                <w:lang w:val="sv-SE"/>
              </w:rPr>
              <w:t>4.2 Analisa Data</w:t>
            </w:r>
            <w:r w:rsidRPr="00482FE5">
              <w:rPr>
                <w:webHidden/>
              </w:rPr>
              <w:tab/>
            </w:r>
            <w:r w:rsidRPr="00482FE5">
              <w:rPr>
                <w:webHidden/>
              </w:rPr>
              <w:fldChar w:fldCharType="begin"/>
            </w:r>
            <w:r w:rsidRPr="00482FE5">
              <w:rPr>
                <w:webHidden/>
              </w:rPr>
              <w:instrText xml:space="preserve"> PAGEREF _Toc201063335 \h </w:instrText>
            </w:r>
            <w:r w:rsidRPr="00482FE5">
              <w:rPr>
                <w:webHidden/>
              </w:rPr>
            </w:r>
            <w:r w:rsidRPr="00482FE5">
              <w:rPr>
                <w:webHidden/>
              </w:rPr>
              <w:fldChar w:fldCharType="separate"/>
            </w:r>
            <w:r w:rsidR="00B8276F">
              <w:rPr>
                <w:webHidden/>
              </w:rPr>
              <w:t>51</w:t>
            </w:r>
            <w:r w:rsidRPr="00482FE5">
              <w:rPr>
                <w:webHidden/>
              </w:rPr>
              <w:fldChar w:fldCharType="end"/>
            </w:r>
          </w:hyperlink>
        </w:p>
        <w:p w14:paraId="6E79FE38" w14:textId="1B8EEBEC" w:rsidR="00482FE5" w:rsidRPr="00482FE5" w:rsidRDefault="00482FE5">
          <w:pPr>
            <w:pStyle w:val="TOC2"/>
            <w:rPr>
              <w:rFonts w:asciiTheme="minorHAnsi" w:eastAsiaTheme="minorEastAsia" w:hAnsiTheme="minorHAnsi"/>
              <w:sz w:val="24"/>
              <w:szCs w:val="24"/>
              <w:lang w:val="en-ID" w:eastAsia="en-ID"/>
            </w:rPr>
          </w:pPr>
          <w:hyperlink w:anchor="_Toc201063336" w:history="1">
            <w:r w:rsidRPr="00482FE5">
              <w:rPr>
                <w:rStyle w:val="Hyperlink"/>
                <w:lang w:val="sv-SE"/>
              </w:rPr>
              <w:t>4.3 Pembahasan Hasil Penelitian</w:t>
            </w:r>
            <w:r w:rsidRPr="00482FE5">
              <w:rPr>
                <w:webHidden/>
              </w:rPr>
              <w:tab/>
            </w:r>
            <w:r w:rsidRPr="00482FE5">
              <w:rPr>
                <w:webHidden/>
              </w:rPr>
              <w:fldChar w:fldCharType="begin"/>
            </w:r>
            <w:r w:rsidRPr="00482FE5">
              <w:rPr>
                <w:webHidden/>
              </w:rPr>
              <w:instrText xml:space="preserve"> PAGEREF _Toc201063336 \h </w:instrText>
            </w:r>
            <w:r w:rsidRPr="00482FE5">
              <w:rPr>
                <w:webHidden/>
              </w:rPr>
            </w:r>
            <w:r w:rsidRPr="00482FE5">
              <w:rPr>
                <w:webHidden/>
              </w:rPr>
              <w:fldChar w:fldCharType="separate"/>
            </w:r>
            <w:r w:rsidR="00B8276F">
              <w:rPr>
                <w:webHidden/>
              </w:rPr>
              <w:t>62</w:t>
            </w:r>
            <w:r w:rsidRPr="00482FE5">
              <w:rPr>
                <w:webHidden/>
              </w:rPr>
              <w:fldChar w:fldCharType="end"/>
            </w:r>
          </w:hyperlink>
        </w:p>
        <w:p w14:paraId="591A8E26" w14:textId="1DB1CC28" w:rsidR="00482FE5" w:rsidRPr="00482FE5" w:rsidRDefault="00482FE5">
          <w:pPr>
            <w:pStyle w:val="TOC3"/>
            <w:tabs>
              <w:tab w:val="right" w:leader="dot" w:pos="9344"/>
            </w:tabs>
            <w:rPr>
              <w:rFonts w:eastAsiaTheme="minorEastAsia"/>
              <w:noProof/>
              <w:sz w:val="24"/>
              <w:szCs w:val="24"/>
              <w:lang w:eastAsia="en-ID"/>
            </w:rPr>
          </w:pPr>
          <w:hyperlink w:anchor="_Toc201063337" w:history="1">
            <w:r w:rsidRPr="00482FE5">
              <w:rPr>
                <w:rStyle w:val="Hyperlink"/>
                <w:rFonts w:asciiTheme="majorBidi" w:hAnsiTheme="majorBidi"/>
                <w:noProof/>
                <w:lang w:val="pt-BR"/>
              </w:rPr>
              <w:t>4.3.1 Pengaruh Variabel Risiko Pembiayaan (NPF) Terhadap Deposito Mudharabah</w:t>
            </w:r>
            <w:r w:rsidRPr="00482FE5">
              <w:rPr>
                <w:noProof/>
                <w:webHidden/>
              </w:rPr>
              <w:tab/>
            </w:r>
            <w:r w:rsidRPr="00482FE5">
              <w:rPr>
                <w:noProof/>
                <w:webHidden/>
              </w:rPr>
              <w:fldChar w:fldCharType="begin"/>
            </w:r>
            <w:r w:rsidRPr="00482FE5">
              <w:rPr>
                <w:noProof/>
                <w:webHidden/>
              </w:rPr>
              <w:instrText xml:space="preserve"> PAGEREF _Toc201063337 \h </w:instrText>
            </w:r>
            <w:r w:rsidRPr="00482FE5">
              <w:rPr>
                <w:noProof/>
                <w:webHidden/>
              </w:rPr>
            </w:r>
            <w:r w:rsidRPr="00482FE5">
              <w:rPr>
                <w:noProof/>
                <w:webHidden/>
              </w:rPr>
              <w:fldChar w:fldCharType="separate"/>
            </w:r>
            <w:r w:rsidR="00B8276F">
              <w:rPr>
                <w:noProof/>
                <w:webHidden/>
              </w:rPr>
              <w:t>63</w:t>
            </w:r>
            <w:r w:rsidRPr="00482FE5">
              <w:rPr>
                <w:noProof/>
                <w:webHidden/>
              </w:rPr>
              <w:fldChar w:fldCharType="end"/>
            </w:r>
          </w:hyperlink>
        </w:p>
        <w:p w14:paraId="6ACC1F8B" w14:textId="0255F36D" w:rsidR="00482FE5" w:rsidRPr="00482FE5" w:rsidRDefault="00482FE5">
          <w:pPr>
            <w:pStyle w:val="TOC3"/>
            <w:tabs>
              <w:tab w:val="right" w:leader="dot" w:pos="9344"/>
            </w:tabs>
            <w:rPr>
              <w:rFonts w:eastAsiaTheme="minorEastAsia"/>
              <w:noProof/>
              <w:sz w:val="24"/>
              <w:szCs w:val="24"/>
              <w:lang w:eastAsia="en-ID"/>
            </w:rPr>
          </w:pPr>
          <w:hyperlink w:anchor="_Toc201063338" w:history="1">
            <w:r w:rsidRPr="00482FE5">
              <w:rPr>
                <w:rStyle w:val="Hyperlink"/>
                <w:rFonts w:asciiTheme="majorBidi" w:hAnsiTheme="majorBidi"/>
                <w:noProof/>
                <w:lang w:val="pt-BR"/>
              </w:rPr>
              <w:t>4.3.2 Pengaruh variabel Risiko Likuiditas (FDR) Terhadap Deposito Mudharabah</w:t>
            </w:r>
            <w:r w:rsidRPr="00482FE5">
              <w:rPr>
                <w:noProof/>
                <w:webHidden/>
              </w:rPr>
              <w:tab/>
            </w:r>
            <w:r w:rsidRPr="00482FE5">
              <w:rPr>
                <w:noProof/>
                <w:webHidden/>
              </w:rPr>
              <w:fldChar w:fldCharType="begin"/>
            </w:r>
            <w:r w:rsidRPr="00482FE5">
              <w:rPr>
                <w:noProof/>
                <w:webHidden/>
              </w:rPr>
              <w:instrText xml:space="preserve"> PAGEREF _Toc201063338 \h </w:instrText>
            </w:r>
            <w:r w:rsidRPr="00482FE5">
              <w:rPr>
                <w:noProof/>
                <w:webHidden/>
              </w:rPr>
            </w:r>
            <w:r w:rsidRPr="00482FE5">
              <w:rPr>
                <w:noProof/>
                <w:webHidden/>
              </w:rPr>
              <w:fldChar w:fldCharType="separate"/>
            </w:r>
            <w:r w:rsidR="00B8276F">
              <w:rPr>
                <w:noProof/>
                <w:webHidden/>
              </w:rPr>
              <w:t>63</w:t>
            </w:r>
            <w:r w:rsidRPr="00482FE5">
              <w:rPr>
                <w:noProof/>
                <w:webHidden/>
              </w:rPr>
              <w:fldChar w:fldCharType="end"/>
            </w:r>
          </w:hyperlink>
        </w:p>
        <w:p w14:paraId="33E30C3C" w14:textId="5881B559" w:rsidR="00482FE5" w:rsidRPr="00482FE5" w:rsidRDefault="00482FE5">
          <w:pPr>
            <w:pStyle w:val="TOC3"/>
            <w:tabs>
              <w:tab w:val="right" w:leader="dot" w:pos="9344"/>
            </w:tabs>
            <w:rPr>
              <w:rFonts w:eastAsiaTheme="minorEastAsia"/>
              <w:noProof/>
              <w:sz w:val="24"/>
              <w:szCs w:val="24"/>
              <w:lang w:eastAsia="en-ID"/>
            </w:rPr>
          </w:pPr>
          <w:hyperlink w:anchor="_Toc201063339" w:history="1">
            <w:r w:rsidRPr="00482FE5">
              <w:rPr>
                <w:rStyle w:val="Hyperlink"/>
                <w:rFonts w:asciiTheme="majorBidi" w:hAnsiTheme="majorBidi"/>
                <w:noProof/>
                <w:lang w:val="pt-BR"/>
              </w:rPr>
              <w:t>4.3.3 Pengaruh Variabel Nisbah Bagi Hasil Terhadap Deposito Mudharabah</w:t>
            </w:r>
            <w:r w:rsidRPr="00482FE5">
              <w:rPr>
                <w:noProof/>
                <w:webHidden/>
              </w:rPr>
              <w:tab/>
            </w:r>
            <w:r w:rsidRPr="00482FE5">
              <w:rPr>
                <w:noProof/>
                <w:webHidden/>
              </w:rPr>
              <w:fldChar w:fldCharType="begin"/>
            </w:r>
            <w:r w:rsidRPr="00482FE5">
              <w:rPr>
                <w:noProof/>
                <w:webHidden/>
              </w:rPr>
              <w:instrText xml:space="preserve"> PAGEREF _Toc201063339 \h </w:instrText>
            </w:r>
            <w:r w:rsidRPr="00482FE5">
              <w:rPr>
                <w:noProof/>
                <w:webHidden/>
              </w:rPr>
            </w:r>
            <w:r w:rsidRPr="00482FE5">
              <w:rPr>
                <w:noProof/>
                <w:webHidden/>
              </w:rPr>
              <w:fldChar w:fldCharType="separate"/>
            </w:r>
            <w:r w:rsidR="00B8276F">
              <w:rPr>
                <w:noProof/>
                <w:webHidden/>
              </w:rPr>
              <w:t>64</w:t>
            </w:r>
            <w:r w:rsidRPr="00482FE5">
              <w:rPr>
                <w:noProof/>
                <w:webHidden/>
              </w:rPr>
              <w:fldChar w:fldCharType="end"/>
            </w:r>
          </w:hyperlink>
        </w:p>
        <w:p w14:paraId="285933A3" w14:textId="007A3638" w:rsidR="00482FE5" w:rsidRPr="00482FE5" w:rsidRDefault="00482FE5">
          <w:pPr>
            <w:pStyle w:val="TOC3"/>
            <w:tabs>
              <w:tab w:val="right" w:leader="dot" w:pos="9344"/>
            </w:tabs>
            <w:rPr>
              <w:rFonts w:eastAsiaTheme="minorEastAsia"/>
              <w:noProof/>
              <w:sz w:val="24"/>
              <w:szCs w:val="24"/>
              <w:lang w:eastAsia="en-ID"/>
            </w:rPr>
          </w:pPr>
          <w:hyperlink w:anchor="_Toc201063340" w:history="1">
            <w:r w:rsidRPr="00482FE5">
              <w:rPr>
                <w:rStyle w:val="Hyperlink"/>
                <w:rFonts w:asciiTheme="majorBidi" w:hAnsiTheme="majorBidi"/>
                <w:noProof/>
                <w:lang w:val="sv-SE"/>
              </w:rPr>
              <w:t>4.3.4 Pengaruh Variabel Risiko Pembiayaan, Risiko Likuiditas dan Nisbah Bagi Hasil Secara Simultan Terhadap Deposito Mudharabah</w:t>
            </w:r>
            <w:r w:rsidRPr="00482FE5">
              <w:rPr>
                <w:noProof/>
                <w:webHidden/>
              </w:rPr>
              <w:tab/>
            </w:r>
            <w:r w:rsidRPr="00482FE5">
              <w:rPr>
                <w:noProof/>
                <w:webHidden/>
              </w:rPr>
              <w:fldChar w:fldCharType="begin"/>
            </w:r>
            <w:r w:rsidRPr="00482FE5">
              <w:rPr>
                <w:noProof/>
                <w:webHidden/>
              </w:rPr>
              <w:instrText xml:space="preserve"> PAGEREF _Toc201063340 \h </w:instrText>
            </w:r>
            <w:r w:rsidRPr="00482FE5">
              <w:rPr>
                <w:noProof/>
                <w:webHidden/>
              </w:rPr>
              <w:fldChar w:fldCharType="separate"/>
            </w:r>
            <w:r w:rsidR="00B8276F">
              <w:rPr>
                <w:b/>
                <w:bCs/>
                <w:noProof/>
                <w:webHidden/>
                <w:lang w:val="en-US"/>
              </w:rPr>
              <w:t>Error! Bookmark not defined.</w:t>
            </w:r>
            <w:r w:rsidRPr="00482FE5">
              <w:rPr>
                <w:noProof/>
                <w:webHidden/>
              </w:rPr>
              <w:fldChar w:fldCharType="end"/>
            </w:r>
          </w:hyperlink>
        </w:p>
        <w:p w14:paraId="011EC5E4" w14:textId="751B0197" w:rsidR="00482FE5" w:rsidRDefault="00482FE5">
          <w:pPr>
            <w:pStyle w:val="TOC1"/>
            <w:tabs>
              <w:tab w:val="right" w:leader="dot" w:pos="9344"/>
            </w:tabs>
            <w:rPr>
              <w:rFonts w:eastAsiaTheme="minorEastAsia"/>
              <w:noProof/>
              <w:sz w:val="24"/>
              <w:szCs w:val="24"/>
              <w:lang w:eastAsia="en-ID"/>
            </w:rPr>
          </w:pPr>
          <w:hyperlink w:anchor="_Toc201063341" w:history="1">
            <w:r w:rsidRPr="007C03C9">
              <w:rPr>
                <w:rStyle w:val="Hyperlink"/>
                <w:rFonts w:asciiTheme="majorBidi" w:hAnsiTheme="majorBidi"/>
                <w:b/>
                <w:bCs/>
                <w:noProof/>
                <w:lang w:val="sv-SE"/>
              </w:rPr>
              <w:t>BAB V PENUTUP</w:t>
            </w:r>
            <w:r>
              <w:rPr>
                <w:noProof/>
                <w:webHidden/>
              </w:rPr>
              <w:tab/>
            </w:r>
            <w:r>
              <w:rPr>
                <w:noProof/>
                <w:webHidden/>
              </w:rPr>
              <w:fldChar w:fldCharType="begin"/>
            </w:r>
            <w:r>
              <w:rPr>
                <w:noProof/>
                <w:webHidden/>
              </w:rPr>
              <w:instrText xml:space="preserve"> PAGEREF _Toc201063341 \h </w:instrText>
            </w:r>
            <w:r>
              <w:rPr>
                <w:noProof/>
                <w:webHidden/>
              </w:rPr>
            </w:r>
            <w:r>
              <w:rPr>
                <w:noProof/>
                <w:webHidden/>
              </w:rPr>
              <w:fldChar w:fldCharType="separate"/>
            </w:r>
            <w:r w:rsidR="00B8276F">
              <w:rPr>
                <w:noProof/>
                <w:webHidden/>
              </w:rPr>
              <w:t>66</w:t>
            </w:r>
            <w:r>
              <w:rPr>
                <w:noProof/>
                <w:webHidden/>
              </w:rPr>
              <w:fldChar w:fldCharType="end"/>
            </w:r>
          </w:hyperlink>
        </w:p>
        <w:p w14:paraId="149A6EDB" w14:textId="625B913F" w:rsidR="00482FE5" w:rsidRPr="00482FE5" w:rsidRDefault="00482FE5">
          <w:pPr>
            <w:pStyle w:val="TOC2"/>
            <w:rPr>
              <w:rFonts w:asciiTheme="minorHAnsi" w:eastAsiaTheme="minorEastAsia" w:hAnsiTheme="minorHAnsi"/>
              <w:sz w:val="24"/>
              <w:szCs w:val="24"/>
              <w:lang w:val="en-ID" w:eastAsia="en-ID"/>
            </w:rPr>
          </w:pPr>
          <w:hyperlink w:anchor="_Toc201063342" w:history="1">
            <w:r w:rsidRPr="00482FE5">
              <w:rPr>
                <w:rStyle w:val="Hyperlink"/>
                <w:lang w:val="sv-SE"/>
              </w:rPr>
              <w:t>5.1</w:t>
            </w:r>
            <w:r w:rsidRPr="00482FE5">
              <w:rPr>
                <w:rFonts w:asciiTheme="minorHAnsi" w:eastAsiaTheme="minorEastAsia" w:hAnsiTheme="minorHAnsi"/>
                <w:sz w:val="24"/>
                <w:szCs w:val="24"/>
                <w:lang w:val="en-ID" w:eastAsia="en-ID"/>
              </w:rPr>
              <w:t xml:space="preserve"> </w:t>
            </w:r>
            <w:r w:rsidRPr="00482FE5">
              <w:rPr>
                <w:rStyle w:val="Hyperlink"/>
                <w:lang w:val="sv-SE"/>
              </w:rPr>
              <w:t>Kesimpulan</w:t>
            </w:r>
            <w:r w:rsidRPr="00482FE5">
              <w:rPr>
                <w:webHidden/>
              </w:rPr>
              <w:tab/>
            </w:r>
            <w:r w:rsidRPr="00482FE5">
              <w:rPr>
                <w:webHidden/>
              </w:rPr>
              <w:fldChar w:fldCharType="begin"/>
            </w:r>
            <w:r w:rsidRPr="00482FE5">
              <w:rPr>
                <w:webHidden/>
              </w:rPr>
              <w:instrText xml:space="preserve"> PAGEREF _Toc201063342 \h </w:instrText>
            </w:r>
            <w:r w:rsidRPr="00482FE5">
              <w:rPr>
                <w:webHidden/>
              </w:rPr>
            </w:r>
            <w:r w:rsidRPr="00482FE5">
              <w:rPr>
                <w:webHidden/>
              </w:rPr>
              <w:fldChar w:fldCharType="separate"/>
            </w:r>
            <w:r w:rsidR="00B8276F">
              <w:rPr>
                <w:webHidden/>
              </w:rPr>
              <w:t>66</w:t>
            </w:r>
            <w:r w:rsidRPr="00482FE5">
              <w:rPr>
                <w:webHidden/>
              </w:rPr>
              <w:fldChar w:fldCharType="end"/>
            </w:r>
          </w:hyperlink>
        </w:p>
        <w:p w14:paraId="039B95CA" w14:textId="457FBD1C" w:rsidR="00482FE5" w:rsidRPr="00482FE5" w:rsidRDefault="00482FE5">
          <w:pPr>
            <w:pStyle w:val="TOC2"/>
            <w:rPr>
              <w:rFonts w:asciiTheme="minorHAnsi" w:eastAsiaTheme="minorEastAsia" w:hAnsiTheme="minorHAnsi"/>
              <w:sz w:val="24"/>
              <w:szCs w:val="24"/>
              <w:lang w:val="en-ID" w:eastAsia="en-ID"/>
            </w:rPr>
          </w:pPr>
          <w:hyperlink w:anchor="_Toc201063343" w:history="1">
            <w:r w:rsidRPr="00482FE5">
              <w:rPr>
                <w:rStyle w:val="Hyperlink"/>
                <w:lang w:val="sv-SE"/>
              </w:rPr>
              <w:t>5.2 Saran</w:t>
            </w:r>
            <w:r w:rsidRPr="00482FE5">
              <w:rPr>
                <w:webHidden/>
              </w:rPr>
              <w:tab/>
            </w:r>
            <w:r w:rsidRPr="00482FE5">
              <w:rPr>
                <w:webHidden/>
              </w:rPr>
              <w:fldChar w:fldCharType="begin"/>
            </w:r>
            <w:r w:rsidRPr="00482FE5">
              <w:rPr>
                <w:webHidden/>
              </w:rPr>
              <w:instrText xml:space="preserve"> PAGEREF _Toc201063343 \h </w:instrText>
            </w:r>
            <w:r w:rsidRPr="00482FE5">
              <w:rPr>
                <w:webHidden/>
              </w:rPr>
            </w:r>
            <w:r w:rsidRPr="00482FE5">
              <w:rPr>
                <w:webHidden/>
              </w:rPr>
              <w:fldChar w:fldCharType="separate"/>
            </w:r>
            <w:r w:rsidR="00B8276F">
              <w:rPr>
                <w:webHidden/>
              </w:rPr>
              <w:t>66</w:t>
            </w:r>
            <w:r w:rsidRPr="00482FE5">
              <w:rPr>
                <w:webHidden/>
              </w:rPr>
              <w:fldChar w:fldCharType="end"/>
            </w:r>
          </w:hyperlink>
        </w:p>
        <w:p w14:paraId="02CE1747" w14:textId="5D47E9D3" w:rsidR="00482FE5" w:rsidRDefault="00482FE5">
          <w:pPr>
            <w:pStyle w:val="TOC1"/>
            <w:tabs>
              <w:tab w:val="right" w:leader="dot" w:pos="9344"/>
            </w:tabs>
            <w:rPr>
              <w:rFonts w:eastAsiaTheme="minorEastAsia"/>
              <w:noProof/>
              <w:sz w:val="24"/>
              <w:szCs w:val="24"/>
              <w:lang w:eastAsia="en-ID"/>
            </w:rPr>
          </w:pPr>
          <w:hyperlink w:anchor="_Toc201063344" w:history="1">
            <w:r w:rsidRPr="007C03C9">
              <w:rPr>
                <w:rStyle w:val="Hyperlink"/>
                <w:rFonts w:asciiTheme="majorBidi" w:hAnsiTheme="majorBidi"/>
                <w:b/>
                <w:bCs/>
                <w:noProof/>
                <w:lang w:val="sv-SE"/>
              </w:rPr>
              <w:t>DAFTAR PUSTAKA</w:t>
            </w:r>
            <w:r>
              <w:rPr>
                <w:noProof/>
                <w:webHidden/>
              </w:rPr>
              <w:tab/>
            </w:r>
            <w:r>
              <w:rPr>
                <w:noProof/>
                <w:webHidden/>
              </w:rPr>
              <w:fldChar w:fldCharType="begin"/>
            </w:r>
            <w:r>
              <w:rPr>
                <w:noProof/>
                <w:webHidden/>
              </w:rPr>
              <w:instrText xml:space="preserve"> PAGEREF _Toc201063344 \h </w:instrText>
            </w:r>
            <w:r>
              <w:rPr>
                <w:noProof/>
                <w:webHidden/>
              </w:rPr>
            </w:r>
            <w:r>
              <w:rPr>
                <w:noProof/>
                <w:webHidden/>
              </w:rPr>
              <w:fldChar w:fldCharType="separate"/>
            </w:r>
            <w:r w:rsidR="00B8276F">
              <w:rPr>
                <w:noProof/>
                <w:webHidden/>
              </w:rPr>
              <w:t>68</w:t>
            </w:r>
            <w:r>
              <w:rPr>
                <w:noProof/>
                <w:webHidden/>
              </w:rPr>
              <w:fldChar w:fldCharType="end"/>
            </w:r>
          </w:hyperlink>
        </w:p>
        <w:p w14:paraId="375FB30E" w14:textId="4415C875" w:rsidR="00482FE5" w:rsidRDefault="00482FE5">
          <w:pPr>
            <w:pStyle w:val="TOC1"/>
            <w:tabs>
              <w:tab w:val="right" w:leader="dot" w:pos="9344"/>
            </w:tabs>
            <w:rPr>
              <w:rFonts w:eastAsiaTheme="minorEastAsia"/>
              <w:noProof/>
              <w:sz w:val="24"/>
              <w:szCs w:val="24"/>
              <w:lang w:eastAsia="en-ID"/>
            </w:rPr>
          </w:pPr>
          <w:hyperlink w:anchor="_Toc201063345" w:history="1">
            <w:r w:rsidRPr="007C03C9">
              <w:rPr>
                <w:rStyle w:val="Hyperlink"/>
                <w:rFonts w:asciiTheme="majorBidi" w:hAnsiTheme="majorBidi"/>
                <w:b/>
                <w:bCs/>
                <w:noProof/>
                <w:lang w:val="sv-SE"/>
              </w:rPr>
              <w:t>LAMPIRAN</w:t>
            </w:r>
            <w:r>
              <w:rPr>
                <w:noProof/>
                <w:webHidden/>
              </w:rPr>
              <w:tab/>
            </w:r>
            <w:r>
              <w:rPr>
                <w:noProof/>
                <w:webHidden/>
              </w:rPr>
              <w:fldChar w:fldCharType="begin"/>
            </w:r>
            <w:r>
              <w:rPr>
                <w:noProof/>
                <w:webHidden/>
              </w:rPr>
              <w:instrText xml:space="preserve"> PAGEREF _Toc201063345 \h </w:instrText>
            </w:r>
            <w:r>
              <w:rPr>
                <w:noProof/>
                <w:webHidden/>
              </w:rPr>
            </w:r>
            <w:r>
              <w:rPr>
                <w:noProof/>
                <w:webHidden/>
              </w:rPr>
              <w:fldChar w:fldCharType="separate"/>
            </w:r>
            <w:r w:rsidR="00B8276F">
              <w:rPr>
                <w:noProof/>
                <w:webHidden/>
              </w:rPr>
              <w:t>78</w:t>
            </w:r>
            <w:r>
              <w:rPr>
                <w:noProof/>
                <w:webHidden/>
              </w:rPr>
              <w:fldChar w:fldCharType="end"/>
            </w:r>
          </w:hyperlink>
        </w:p>
        <w:p w14:paraId="6D650161" w14:textId="38523093" w:rsidR="00482FE5" w:rsidRDefault="00482FE5">
          <w:pPr>
            <w:pStyle w:val="TOC1"/>
            <w:tabs>
              <w:tab w:val="right" w:leader="dot" w:pos="9344"/>
            </w:tabs>
            <w:rPr>
              <w:rFonts w:eastAsiaTheme="minorEastAsia"/>
              <w:noProof/>
              <w:sz w:val="24"/>
              <w:szCs w:val="24"/>
              <w:lang w:eastAsia="en-ID"/>
            </w:rPr>
          </w:pPr>
          <w:hyperlink w:anchor="_Toc201063346" w:history="1">
            <w:r w:rsidRPr="007C03C9">
              <w:rPr>
                <w:rStyle w:val="Hyperlink"/>
                <w:rFonts w:asciiTheme="majorBidi" w:hAnsiTheme="majorBidi"/>
                <w:b/>
                <w:bCs/>
                <w:noProof/>
                <w:lang w:val="sv-SE"/>
              </w:rPr>
              <w:t>DAFTAR RIWAYAT HIDUP</w:t>
            </w:r>
            <w:r>
              <w:rPr>
                <w:noProof/>
                <w:webHidden/>
              </w:rPr>
              <w:tab/>
            </w:r>
            <w:r>
              <w:rPr>
                <w:noProof/>
                <w:webHidden/>
              </w:rPr>
              <w:fldChar w:fldCharType="begin"/>
            </w:r>
            <w:r>
              <w:rPr>
                <w:noProof/>
                <w:webHidden/>
              </w:rPr>
              <w:instrText xml:space="preserve"> PAGEREF _Toc201063346 \h </w:instrText>
            </w:r>
            <w:r>
              <w:rPr>
                <w:noProof/>
                <w:webHidden/>
              </w:rPr>
            </w:r>
            <w:r>
              <w:rPr>
                <w:noProof/>
                <w:webHidden/>
              </w:rPr>
              <w:fldChar w:fldCharType="separate"/>
            </w:r>
            <w:r w:rsidR="00B8276F">
              <w:rPr>
                <w:noProof/>
                <w:webHidden/>
              </w:rPr>
              <w:t>83</w:t>
            </w:r>
            <w:r>
              <w:rPr>
                <w:noProof/>
                <w:webHidden/>
              </w:rPr>
              <w:fldChar w:fldCharType="end"/>
            </w:r>
          </w:hyperlink>
        </w:p>
        <w:p w14:paraId="39B590E3" w14:textId="56F2E4DE" w:rsidR="007F7C0B" w:rsidRPr="00A42616" w:rsidRDefault="007F7C0B" w:rsidP="00A42616">
          <w:pPr>
            <w:spacing w:line="360" w:lineRule="auto"/>
            <w:jc w:val="both"/>
            <w:rPr>
              <w:rFonts w:asciiTheme="majorBidi" w:hAnsiTheme="majorBidi" w:cstheme="majorBidi"/>
              <w:sz w:val="24"/>
              <w:szCs w:val="24"/>
            </w:rPr>
          </w:pPr>
          <w:r w:rsidRPr="00A42616">
            <w:rPr>
              <w:rFonts w:asciiTheme="majorBidi" w:hAnsiTheme="majorBidi" w:cstheme="majorBidi"/>
              <w:noProof/>
              <w:sz w:val="24"/>
              <w:szCs w:val="24"/>
            </w:rPr>
            <w:fldChar w:fldCharType="end"/>
          </w:r>
        </w:p>
      </w:sdtContent>
    </w:sdt>
    <w:p w14:paraId="448C751C" w14:textId="77777777" w:rsidR="00D1413E" w:rsidRDefault="00D1413E" w:rsidP="00A42616">
      <w:pPr>
        <w:spacing w:before="3" w:line="360" w:lineRule="auto"/>
        <w:ind w:right="980"/>
        <w:jc w:val="both"/>
        <w:rPr>
          <w:rFonts w:asciiTheme="majorBidi" w:hAnsiTheme="majorBidi" w:cstheme="majorBidi"/>
          <w:spacing w:val="-4"/>
          <w:sz w:val="24"/>
          <w:szCs w:val="24"/>
          <w:lang w:val="pt-BR"/>
        </w:rPr>
      </w:pPr>
    </w:p>
    <w:p w14:paraId="7E748675" w14:textId="77777777" w:rsidR="00A42616" w:rsidRDefault="00A42616" w:rsidP="00A42616">
      <w:pPr>
        <w:spacing w:before="3" w:line="360" w:lineRule="auto"/>
        <w:ind w:right="980"/>
        <w:jc w:val="both"/>
        <w:rPr>
          <w:rFonts w:asciiTheme="majorBidi" w:hAnsiTheme="majorBidi" w:cstheme="majorBidi"/>
          <w:spacing w:val="-4"/>
          <w:sz w:val="24"/>
          <w:szCs w:val="24"/>
          <w:lang w:val="pt-BR"/>
        </w:rPr>
      </w:pPr>
    </w:p>
    <w:p w14:paraId="45EC25BF" w14:textId="77777777" w:rsidR="00A42616" w:rsidRDefault="00A42616" w:rsidP="00A42616">
      <w:pPr>
        <w:spacing w:before="3" w:line="360" w:lineRule="auto"/>
        <w:ind w:right="980"/>
        <w:jc w:val="both"/>
        <w:rPr>
          <w:rFonts w:asciiTheme="majorBidi" w:hAnsiTheme="majorBidi" w:cstheme="majorBidi"/>
          <w:spacing w:val="-4"/>
          <w:sz w:val="24"/>
          <w:szCs w:val="24"/>
          <w:lang w:val="pt-BR"/>
        </w:rPr>
      </w:pPr>
    </w:p>
    <w:p w14:paraId="72726B5F" w14:textId="77777777" w:rsidR="00FF6109" w:rsidRDefault="00FF6109" w:rsidP="00A42616">
      <w:pPr>
        <w:spacing w:before="3" w:line="360" w:lineRule="auto"/>
        <w:ind w:right="980"/>
        <w:jc w:val="both"/>
        <w:rPr>
          <w:rFonts w:asciiTheme="majorBidi" w:hAnsiTheme="majorBidi" w:cstheme="majorBidi"/>
          <w:spacing w:val="-4"/>
          <w:sz w:val="24"/>
          <w:szCs w:val="24"/>
          <w:lang w:val="pt-BR"/>
        </w:rPr>
      </w:pPr>
    </w:p>
    <w:p w14:paraId="333306F5" w14:textId="77777777" w:rsidR="00A42616" w:rsidRPr="00A42616" w:rsidRDefault="00A42616" w:rsidP="00A42616">
      <w:pPr>
        <w:spacing w:before="3" w:line="360" w:lineRule="auto"/>
        <w:ind w:right="980"/>
        <w:jc w:val="both"/>
        <w:rPr>
          <w:rFonts w:asciiTheme="majorBidi" w:hAnsiTheme="majorBidi" w:cstheme="majorBidi"/>
          <w:spacing w:val="-4"/>
          <w:sz w:val="24"/>
          <w:szCs w:val="24"/>
          <w:lang w:val="pt-BR"/>
        </w:rPr>
      </w:pPr>
    </w:p>
    <w:p w14:paraId="2785E2CA" w14:textId="0CD14530" w:rsidR="006F2719" w:rsidRDefault="006F2719" w:rsidP="00A42616">
      <w:pPr>
        <w:pStyle w:val="Heading1"/>
        <w:spacing w:line="360" w:lineRule="auto"/>
        <w:jc w:val="center"/>
        <w:rPr>
          <w:rFonts w:asciiTheme="majorBidi" w:hAnsiTheme="majorBidi"/>
          <w:b/>
          <w:bCs/>
          <w:color w:val="auto"/>
          <w:sz w:val="24"/>
          <w:szCs w:val="24"/>
          <w:lang w:val="pt-BR"/>
        </w:rPr>
      </w:pPr>
      <w:bookmarkStart w:id="10" w:name="_Toc201063295"/>
      <w:r w:rsidRPr="00A42616">
        <w:rPr>
          <w:rFonts w:asciiTheme="majorBidi" w:hAnsiTheme="majorBidi"/>
          <w:b/>
          <w:bCs/>
          <w:color w:val="auto"/>
          <w:sz w:val="24"/>
          <w:szCs w:val="24"/>
          <w:lang w:val="pt-BR"/>
        </w:rPr>
        <w:lastRenderedPageBreak/>
        <w:t>DAFTAR TABEL</w:t>
      </w:r>
      <w:bookmarkEnd w:id="10"/>
    </w:p>
    <w:p w14:paraId="0977E478" w14:textId="77777777" w:rsidR="00A42616" w:rsidRPr="00A42616" w:rsidRDefault="00A42616" w:rsidP="00A42616">
      <w:pPr>
        <w:rPr>
          <w:lang w:val="pt-BR"/>
        </w:rPr>
      </w:pPr>
    </w:p>
    <w:p w14:paraId="625A82F3" w14:textId="50550BDD" w:rsidR="008B2471" w:rsidRPr="00A42616" w:rsidRDefault="008B2471"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r w:rsidRPr="00A42616">
        <w:rPr>
          <w:rFonts w:asciiTheme="majorBidi" w:hAnsiTheme="majorBidi" w:cstheme="majorBidi"/>
          <w:spacing w:val="-4"/>
          <w:sz w:val="24"/>
          <w:szCs w:val="24"/>
        </w:rPr>
        <w:fldChar w:fldCharType="begin"/>
      </w:r>
      <w:r w:rsidRPr="00A42616">
        <w:rPr>
          <w:rFonts w:asciiTheme="majorBidi" w:hAnsiTheme="majorBidi" w:cstheme="majorBidi"/>
          <w:spacing w:val="-4"/>
          <w:sz w:val="24"/>
          <w:szCs w:val="24"/>
        </w:rPr>
        <w:instrText xml:space="preserve"> TOC \h \z \c "Tabel 1." </w:instrText>
      </w:r>
      <w:r w:rsidRPr="00A42616">
        <w:rPr>
          <w:rFonts w:asciiTheme="majorBidi" w:hAnsiTheme="majorBidi" w:cstheme="majorBidi"/>
          <w:spacing w:val="-4"/>
          <w:sz w:val="24"/>
          <w:szCs w:val="24"/>
        </w:rPr>
        <w:fldChar w:fldCharType="separate"/>
      </w:r>
      <w:hyperlink w:anchor="_Toc200572087" w:history="1">
        <w:r w:rsidRPr="00A42616">
          <w:rPr>
            <w:rStyle w:val="Hyperlink"/>
            <w:rFonts w:asciiTheme="majorBidi" w:hAnsiTheme="majorBidi" w:cstheme="majorBidi"/>
            <w:noProof/>
            <w:sz w:val="24"/>
            <w:szCs w:val="24"/>
            <w:lang w:val="pt-BR"/>
          </w:rPr>
          <w:t xml:space="preserve">Tabel 1. 1  Dana Pihak Ketiga (DPK) Deposito Mudharabah  </w:t>
        </w:r>
        <w:r w:rsidRPr="00A42616">
          <w:rPr>
            <w:rStyle w:val="Hyperlink"/>
            <w:rFonts w:asciiTheme="majorBidi" w:hAnsiTheme="majorBidi" w:cstheme="majorBidi"/>
            <w:noProof/>
            <w:sz w:val="24"/>
            <w:szCs w:val="24"/>
            <w:lang w:val="sv-SE"/>
          </w:rPr>
          <w:t>Perbankan Syariah</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_Toc200572087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3</w:t>
        </w:r>
        <w:r w:rsidRPr="00A42616">
          <w:rPr>
            <w:rFonts w:asciiTheme="majorBidi" w:hAnsiTheme="majorBidi" w:cstheme="majorBidi"/>
            <w:noProof/>
            <w:webHidden/>
            <w:sz w:val="24"/>
            <w:szCs w:val="24"/>
          </w:rPr>
          <w:fldChar w:fldCharType="end"/>
        </w:r>
      </w:hyperlink>
    </w:p>
    <w:p w14:paraId="455E9485" w14:textId="60C3BDEA" w:rsidR="008B2471" w:rsidRPr="00A42616" w:rsidRDefault="008B2471"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088" w:history="1">
        <w:r w:rsidRPr="00A42616">
          <w:rPr>
            <w:rStyle w:val="Hyperlink"/>
            <w:rFonts w:asciiTheme="majorBidi" w:hAnsiTheme="majorBidi" w:cstheme="majorBidi"/>
            <w:noProof/>
            <w:sz w:val="24"/>
            <w:szCs w:val="24"/>
            <w:lang w:val="pt-BR"/>
          </w:rPr>
          <w:t>Tabel 1. 2  Dana Pihak Ketiga (DPK) Deposito Mudharabah  Bank Muamalat Indonesia</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_Toc200572088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w:t>
        </w:r>
        <w:r w:rsidRPr="00A42616">
          <w:rPr>
            <w:rFonts w:asciiTheme="majorBidi" w:hAnsiTheme="majorBidi" w:cstheme="majorBidi"/>
            <w:noProof/>
            <w:webHidden/>
            <w:sz w:val="24"/>
            <w:szCs w:val="24"/>
          </w:rPr>
          <w:fldChar w:fldCharType="end"/>
        </w:r>
      </w:hyperlink>
    </w:p>
    <w:p w14:paraId="61CA4935" w14:textId="17F6F898" w:rsidR="00D25792" w:rsidRPr="00A42616" w:rsidRDefault="008B2471" w:rsidP="00A42616">
      <w:pPr>
        <w:pStyle w:val="TableofFigures"/>
        <w:tabs>
          <w:tab w:val="right" w:leader="dot" w:pos="9016"/>
        </w:tabs>
        <w:spacing w:line="360" w:lineRule="auto"/>
        <w:jc w:val="both"/>
        <w:rPr>
          <w:rFonts w:asciiTheme="majorBidi" w:hAnsiTheme="majorBidi" w:cstheme="majorBidi"/>
          <w:noProof/>
          <w:sz w:val="24"/>
          <w:szCs w:val="24"/>
        </w:rPr>
      </w:pPr>
      <w:hyperlink w:anchor="_Toc200572089" w:history="1">
        <w:r w:rsidRPr="00A42616">
          <w:rPr>
            <w:rStyle w:val="Hyperlink"/>
            <w:rFonts w:asciiTheme="majorBidi" w:hAnsiTheme="majorBidi" w:cstheme="majorBidi"/>
            <w:noProof/>
            <w:sz w:val="24"/>
            <w:szCs w:val="24"/>
            <w:lang w:val="sv-SE"/>
          </w:rPr>
          <w:t>Tabel 1. 3  Risiko Pembiayaan (NPF), Risiko Likuiditas (FDR) Dan Nisbah Bagi Hasil  Pada Deposito Mudharabah</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_Toc200572089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7</w:t>
        </w:r>
        <w:r w:rsidRPr="00A42616">
          <w:rPr>
            <w:rFonts w:asciiTheme="majorBidi" w:hAnsiTheme="majorBidi" w:cstheme="majorBidi"/>
            <w:noProof/>
            <w:webHidden/>
            <w:sz w:val="24"/>
            <w:szCs w:val="24"/>
          </w:rPr>
          <w:fldChar w:fldCharType="end"/>
        </w:r>
      </w:hyperlink>
      <w:r w:rsidR="00D25792" w:rsidRPr="00A42616">
        <w:rPr>
          <w:rStyle w:val="Hyperlink"/>
          <w:rFonts w:asciiTheme="majorBidi" w:hAnsiTheme="majorBidi" w:cstheme="majorBidi"/>
          <w:noProof/>
          <w:sz w:val="24"/>
          <w:szCs w:val="24"/>
        </w:rPr>
        <w:t xml:space="preserve"> </w:t>
      </w:r>
      <w:r w:rsidRPr="00A42616">
        <w:rPr>
          <w:rFonts w:asciiTheme="majorBidi" w:hAnsiTheme="majorBidi" w:cstheme="majorBidi"/>
          <w:spacing w:val="-4"/>
          <w:sz w:val="24"/>
          <w:szCs w:val="24"/>
        </w:rPr>
        <w:fldChar w:fldCharType="end"/>
      </w:r>
      <w:r w:rsidR="00D25792" w:rsidRPr="00A42616">
        <w:rPr>
          <w:rFonts w:asciiTheme="majorBidi" w:hAnsiTheme="majorBidi" w:cstheme="majorBidi"/>
          <w:spacing w:val="-4"/>
          <w:sz w:val="24"/>
          <w:szCs w:val="24"/>
        </w:rPr>
        <w:fldChar w:fldCharType="begin"/>
      </w:r>
      <w:r w:rsidR="00D25792" w:rsidRPr="00A42616">
        <w:rPr>
          <w:rFonts w:asciiTheme="majorBidi" w:hAnsiTheme="majorBidi" w:cstheme="majorBidi"/>
          <w:spacing w:val="-4"/>
          <w:sz w:val="24"/>
          <w:szCs w:val="24"/>
        </w:rPr>
        <w:instrText xml:space="preserve"> TOC \h \z \c "Tabel 2." </w:instrText>
      </w:r>
      <w:r w:rsidR="00D25792" w:rsidRPr="00A42616">
        <w:rPr>
          <w:rFonts w:asciiTheme="majorBidi" w:hAnsiTheme="majorBidi" w:cstheme="majorBidi"/>
          <w:spacing w:val="-4"/>
          <w:sz w:val="24"/>
          <w:szCs w:val="24"/>
        </w:rPr>
        <w:fldChar w:fldCharType="separate"/>
      </w:r>
    </w:p>
    <w:p w14:paraId="28676D9E" w14:textId="689D8E8B"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179" w:history="1">
        <w:r w:rsidRPr="00A42616">
          <w:rPr>
            <w:rStyle w:val="Hyperlink"/>
            <w:rFonts w:asciiTheme="majorBidi" w:hAnsiTheme="majorBidi" w:cstheme="majorBidi"/>
            <w:noProof/>
            <w:sz w:val="24"/>
            <w:szCs w:val="24"/>
          </w:rPr>
          <w:t>Tabel 2. 1</w:t>
        </w:r>
        <w:r w:rsidRPr="00A42616">
          <w:rPr>
            <w:rStyle w:val="Hyperlink"/>
            <w:rFonts w:asciiTheme="majorBidi" w:hAnsiTheme="majorBidi" w:cstheme="majorBidi"/>
            <w:noProof/>
            <w:sz w:val="24"/>
            <w:szCs w:val="24"/>
            <w:lang w:val="en-US"/>
          </w:rPr>
          <w:t xml:space="preserve">  Data Non Performing Financing (NPF) Bank Muamalat Indonesia</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_Toc200572179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16</w:t>
        </w:r>
        <w:r w:rsidRPr="00A42616">
          <w:rPr>
            <w:rFonts w:asciiTheme="majorBidi" w:hAnsiTheme="majorBidi" w:cstheme="majorBidi"/>
            <w:noProof/>
            <w:webHidden/>
            <w:sz w:val="24"/>
            <w:szCs w:val="24"/>
          </w:rPr>
          <w:fldChar w:fldCharType="end"/>
        </w:r>
      </w:hyperlink>
    </w:p>
    <w:p w14:paraId="22E50770" w14:textId="5E8EDF15"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180" w:history="1">
        <w:r w:rsidRPr="00A42616">
          <w:rPr>
            <w:rStyle w:val="Hyperlink"/>
            <w:rFonts w:asciiTheme="majorBidi" w:hAnsiTheme="majorBidi" w:cstheme="majorBidi"/>
            <w:noProof/>
            <w:sz w:val="24"/>
            <w:szCs w:val="24"/>
          </w:rPr>
          <w:t>Tabel 2. 2</w:t>
        </w:r>
        <w:r w:rsidRPr="00A42616">
          <w:rPr>
            <w:rStyle w:val="Hyperlink"/>
            <w:rFonts w:asciiTheme="majorBidi" w:hAnsiTheme="majorBidi" w:cstheme="majorBidi"/>
            <w:noProof/>
            <w:sz w:val="24"/>
            <w:szCs w:val="24"/>
            <w:lang w:val="en-US"/>
          </w:rPr>
          <w:t xml:space="preserve">  Data Financing To Deposit Ratio (FDR) Bank Muamalat Indonesia</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_Toc200572180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23</w:t>
        </w:r>
        <w:r w:rsidRPr="00A42616">
          <w:rPr>
            <w:rFonts w:asciiTheme="majorBidi" w:hAnsiTheme="majorBidi" w:cstheme="majorBidi"/>
            <w:noProof/>
            <w:webHidden/>
            <w:sz w:val="24"/>
            <w:szCs w:val="24"/>
          </w:rPr>
          <w:fldChar w:fldCharType="end"/>
        </w:r>
      </w:hyperlink>
    </w:p>
    <w:p w14:paraId="475B20A4" w14:textId="6E5B506E"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181" w:history="1">
        <w:r w:rsidRPr="00A42616">
          <w:rPr>
            <w:rStyle w:val="Hyperlink"/>
            <w:rFonts w:asciiTheme="majorBidi" w:hAnsiTheme="majorBidi" w:cstheme="majorBidi"/>
            <w:noProof/>
            <w:sz w:val="24"/>
            <w:szCs w:val="24"/>
            <w:lang w:val="pt-BR"/>
          </w:rPr>
          <w:t>Tabel 2. 3  Data Nisbah Bagi Hasil Bank Muamalat Indonesia</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_Toc200572181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26</w:t>
        </w:r>
        <w:r w:rsidRPr="00A42616">
          <w:rPr>
            <w:rFonts w:asciiTheme="majorBidi" w:hAnsiTheme="majorBidi" w:cstheme="majorBidi"/>
            <w:noProof/>
            <w:webHidden/>
            <w:sz w:val="24"/>
            <w:szCs w:val="24"/>
          </w:rPr>
          <w:fldChar w:fldCharType="end"/>
        </w:r>
      </w:hyperlink>
    </w:p>
    <w:p w14:paraId="0DFFFBF6" w14:textId="11BCDDFF"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182" w:history="1">
        <w:r w:rsidRPr="00A42616">
          <w:rPr>
            <w:rStyle w:val="Hyperlink"/>
            <w:rFonts w:asciiTheme="majorBidi" w:hAnsiTheme="majorBidi" w:cstheme="majorBidi"/>
            <w:noProof/>
            <w:sz w:val="24"/>
            <w:szCs w:val="24"/>
            <w:lang w:val="pt-BR"/>
          </w:rPr>
          <w:t>Tabel 2. 4  Data Deposito Mudharabah Bank Muamalat Indonesia</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_Toc200572182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31</w:t>
        </w:r>
        <w:r w:rsidRPr="00A42616">
          <w:rPr>
            <w:rFonts w:asciiTheme="majorBidi" w:hAnsiTheme="majorBidi" w:cstheme="majorBidi"/>
            <w:noProof/>
            <w:webHidden/>
            <w:sz w:val="24"/>
            <w:szCs w:val="24"/>
          </w:rPr>
          <w:fldChar w:fldCharType="end"/>
        </w:r>
      </w:hyperlink>
    </w:p>
    <w:p w14:paraId="5FC4CA7B" w14:textId="4A209852" w:rsidR="00D25792" w:rsidRPr="00A42616" w:rsidRDefault="00D25792" w:rsidP="00A42616">
      <w:pPr>
        <w:pStyle w:val="TableofFigures"/>
        <w:tabs>
          <w:tab w:val="right" w:leader="dot" w:pos="9016"/>
        </w:tabs>
        <w:spacing w:line="360" w:lineRule="auto"/>
        <w:jc w:val="both"/>
        <w:rPr>
          <w:rFonts w:asciiTheme="majorBidi" w:hAnsiTheme="majorBidi" w:cstheme="majorBidi"/>
          <w:noProof/>
          <w:sz w:val="24"/>
          <w:szCs w:val="24"/>
        </w:rPr>
      </w:pPr>
      <w:hyperlink w:anchor="_Toc200572183" w:history="1">
        <w:r w:rsidRPr="00A42616">
          <w:rPr>
            <w:rStyle w:val="Hyperlink"/>
            <w:rFonts w:asciiTheme="majorBidi" w:hAnsiTheme="majorBidi" w:cstheme="majorBidi"/>
            <w:noProof/>
            <w:sz w:val="24"/>
            <w:szCs w:val="24"/>
          </w:rPr>
          <w:t>Tabel 2. 5</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_Toc200572183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35</w:t>
        </w:r>
        <w:r w:rsidRPr="00A42616">
          <w:rPr>
            <w:rFonts w:asciiTheme="majorBidi" w:hAnsiTheme="majorBidi" w:cstheme="majorBidi"/>
            <w:noProof/>
            <w:webHidden/>
            <w:sz w:val="24"/>
            <w:szCs w:val="24"/>
          </w:rPr>
          <w:fldChar w:fldCharType="end"/>
        </w:r>
      </w:hyperlink>
      <w:r w:rsidRPr="00A42616">
        <w:rPr>
          <w:rStyle w:val="Hyperlink"/>
          <w:rFonts w:asciiTheme="majorBidi" w:hAnsiTheme="majorBidi" w:cstheme="majorBidi"/>
          <w:noProof/>
          <w:sz w:val="24"/>
          <w:szCs w:val="24"/>
        </w:rPr>
        <w:t xml:space="preserve"> </w:t>
      </w:r>
      <w:r w:rsidRPr="00A42616">
        <w:rPr>
          <w:rFonts w:asciiTheme="majorBidi" w:hAnsiTheme="majorBidi" w:cstheme="majorBidi"/>
          <w:spacing w:val="-4"/>
          <w:sz w:val="24"/>
          <w:szCs w:val="24"/>
        </w:rPr>
        <w:fldChar w:fldCharType="end"/>
      </w:r>
      <w:r w:rsidRPr="00A42616">
        <w:rPr>
          <w:rFonts w:asciiTheme="majorBidi" w:hAnsiTheme="majorBidi" w:cstheme="majorBidi"/>
          <w:spacing w:val="-4"/>
          <w:sz w:val="24"/>
          <w:szCs w:val="24"/>
        </w:rPr>
        <w:fldChar w:fldCharType="begin"/>
      </w:r>
      <w:r w:rsidRPr="00A42616">
        <w:rPr>
          <w:rFonts w:asciiTheme="majorBidi" w:hAnsiTheme="majorBidi" w:cstheme="majorBidi"/>
          <w:spacing w:val="-4"/>
          <w:sz w:val="24"/>
          <w:szCs w:val="24"/>
        </w:rPr>
        <w:instrText xml:space="preserve"> TOC \h \z \c "Tabel 3." </w:instrText>
      </w:r>
      <w:r w:rsidRPr="00A42616">
        <w:rPr>
          <w:rFonts w:asciiTheme="majorBidi" w:hAnsiTheme="majorBidi" w:cstheme="majorBidi"/>
          <w:spacing w:val="-4"/>
          <w:sz w:val="24"/>
          <w:szCs w:val="24"/>
        </w:rPr>
        <w:fldChar w:fldCharType="separate"/>
      </w:r>
    </w:p>
    <w:p w14:paraId="0A75482F" w14:textId="59AFA803" w:rsidR="00D25792" w:rsidRPr="00A42616" w:rsidRDefault="00D25792" w:rsidP="00A42616">
      <w:pPr>
        <w:pStyle w:val="TableofFigures"/>
        <w:tabs>
          <w:tab w:val="right" w:leader="dot" w:pos="9016"/>
        </w:tabs>
        <w:spacing w:line="360" w:lineRule="auto"/>
        <w:jc w:val="both"/>
        <w:rPr>
          <w:rFonts w:asciiTheme="majorBidi" w:hAnsiTheme="majorBidi" w:cstheme="majorBidi"/>
          <w:noProof/>
          <w:sz w:val="24"/>
          <w:szCs w:val="24"/>
        </w:rPr>
      </w:pPr>
      <w:hyperlink w:anchor="_Toc200572235" w:history="1">
        <w:r w:rsidRPr="00A42616">
          <w:rPr>
            <w:rStyle w:val="Hyperlink"/>
            <w:rFonts w:asciiTheme="majorBidi" w:hAnsiTheme="majorBidi" w:cstheme="majorBidi"/>
            <w:noProof/>
            <w:sz w:val="24"/>
            <w:szCs w:val="24"/>
          </w:rPr>
          <w:t>Tabel 3. 1</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_Toc200572235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41</w:t>
        </w:r>
        <w:r w:rsidRPr="00A42616">
          <w:rPr>
            <w:rFonts w:asciiTheme="majorBidi" w:hAnsiTheme="majorBidi" w:cstheme="majorBidi"/>
            <w:noProof/>
            <w:webHidden/>
            <w:sz w:val="24"/>
            <w:szCs w:val="24"/>
          </w:rPr>
          <w:fldChar w:fldCharType="end"/>
        </w:r>
      </w:hyperlink>
      <w:r w:rsidRPr="00A42616">
        <w:rPr>
          <w:rStyle w:val="Hyperlink"/>
          <w:rFonts w:asciiTheme="majorBidi" w:hAnsiTheme="majorBidi" w:cstheme="majorBidi"/>
          <w:noProof/>
          <w:sz w:val="24"/>
          <w:szCs w:val="24"/>
        </w:rPr>
        <w:t xml:space="preserve"> </w:t>
      </w:r>
      <w:r w:rsidRPr="00A42616">
        <w:rPr>
          <w:rFonts w:asciiTheme="majorBidi" w:hAnsiTheme="majorBidi" w:cstheme="majorBidi"/>
          <w:spacing w:val="-4"/>
          <w:sz w:val="24"/>
          <w:szCs w:val="24"/>
        </w:rPr>
        <w:fldChar w:fldCharType="end"/>
      </w:r>
      <w:r w:rsidRPr="00A42616">
        <w:rPr>
          <w:rFonts w:asciiTheme="majorBidi" w:hAnsiTheme="majorBidi" w:cstheme="majorBidi"/>
          <w:spacing w:val="-4"/>
          <w:sz w:val="24"/>
          <w:szCs w:val="24"/>
        </w:rPr>
        <w:fldChar w:fldCharType="begin"/>
      </w:r>
      <w:r w:rsidRPr="00A42616">
        <w:rPr>
          <w:rFonts w:asciiTheme="majorBidi" w:hAnsiTheme="majorBidi" w:cstheme="majorBidi"/>
          <w:spacing w:val="-4"/>
          <w:sz w:val="24"/>
          <w:szCs w:val="24"/>
        </w:rPr>
        <w:instrText xml:space="preserve"> TOC \h \z \c "Tabel 4." </w:instrText>
      </w:r>
      <w:r w:rsidRPr="00A42616">
        <w:rPr>
          <w:rFonts w:asciiTheme="majorBidi" w:hAnsiTheme="majorBidi" w:cstheme="majorBidi"/>
          <w:spacing w:val="-4"/>
          <w:sz w:val="24"/>
          <w:szCs w:val="24"/>
        </w:rPr>
        <w:fldChar w:fldCharType="separate"/>
      </w:r>
    </w:p>
    <w:p w14:paraId="6291C577" w14:textId="5E2B32FF"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0" w:history="1">
        <w:r w:rsidRPr="00A42616">
          <w:rPr>
            <w:rStyle w:val="Hyperlink"/>
            <w:rFonts w:asciiTheme="majorBidi" w:hAnsiTheme="majorBidi" w:cstheme="majorBidi"/>
            <w:noProof/>
            <w:sz w:val="24"/>
            <w:szCs w:val="24"/>
            <w:lang w:val="pt-BR"/>
          </w:rPr>
          <w:t xml:space="preserve">Tabel 4. </w:t>
        </w:r>
        <w:r w:rsidRPr="00A42616">
          <w:rPr>
            <w:rStyle w:val="Hyperlink"/>
            <w:rFonts w:asciiTheme="majorBidi" w:hAnsiTheme="majorBidi" w:cstheme="majorBidi"/>
            <w:noProof/>
            <w:sz w:val="24"/>
            <w:szCs w:val="24"/>
          </w:rPr>
          <w:t>1 Data Risiko Pembiayaan (NPF), Risiko Likuiditas (FDR), Nisbah Bagi Hasil dan Deposito Mudharabah Bank Muamalat Indonesia Periode 2017-2024</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_Toc200572250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52</w:t>
        </w:r>
        <w:r w:rsidRPr="00A42616">
          <w:rPr>
            <w:rFonts w:asciiTheme="majorBidi" w:hAnsiTheme="majorBidi" w:cstheme="majorBidi"/>
            <w:noProof/>
            <w:webHidden/>
            <w:sz w:val="24"/>
            <w:szCs w:val="24"/>
          </w:rPr>
          <w:fldChar w:fldCharType="end"/>
        </w:r>
      </w:hyperlink>
    </w:p>
    <w:p w14:paraId="0D51585A" w14:textId="35BD2B04"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1" w:history="1">
        <w:r w:rsidRPr="00A42616">
          <w:rPr>
            <w:rStyle w:val="Hyperlink"/>
            <w:rFonts w:asciiTheme="majorBidi" w:hAnsiTheme="majorBidi" w:cstheme="majorBidi"/>
            <w:noProof/>
            <w:sz w:val="24"/>
            <w:szCs w:val="24"/>
          </w:rPr>
          <w:t>Tabel 4. 2</w:t>
        </w:r>
        <w:r w:rsidRPr="00A42616">
          <w:rPr>
            <w:rStyle w:val="Hyperlink"/>
            <w:rFonts w:asciiTheme="majorBidi" w:hAnsiTheme="majorBidi" w:cstheme="majorBidi"/>
            <w:noProof/>
            <w:sz w:val="24"/>
            <w:szCs w:val="24"/>
            <w:lang w:val="en-US"/>
          </w:rPr>
          <w:t xml:space="preserve">  Uji Descriptif Statistics</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_Toc200572251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53</w:t>
        </w:r>
        <w:r w:rsidRPr="00A42616">
          <w:rPr>
            <w:rFonts w:asciiTheme="majorBidi" w:hAnsiTheme="majorBidi" w:cstheme="majorBidi"/>
            <w:noProof/>
            <w:webHidden/>
            <w:sz w:val="24"/>
            <w:szCs w:val="24"/>
          </w:rPr>
          <w:fldChar w:fldCharType="end"/>
        </w:r>
      </w:hyperlink>
    </w:p>
    <w:p w14:paraId="04B71A50" w14:textId="5AFF93B0"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2" w:history="1">
        <w:r w:rsidRPr="00A42616">
          <w:rPr>
            <w:rStyle w:val="Hyperlink"/>
            <w:rFonts w:asciiTheme="majorBidi" w:hAnsiTheme="majorBidi" w:cstheme="majorBidi"/>
            <w:noProof/>
            <w:sz w:val="24"/>
            <w:szCs w:val="24"/>
          </w:rPr>
          <w:t>Tabel 4. 3</w:t>
        </w:r>
        <w:r w:rsidRPr="00A42616">
          <w:rPr>
            <w:rStyle w:val="Hyperlink"/>
            <w:rFonts w:asciiTheme="majorBidi" w:hAnsiTheme="majorBidi" w:cstheme="majorBidi"/>
            <w:noProof/>
            <w:sz w:val="24"/>
            <w:szCs w:val="24"/>
            <w:lang w:val="en-US"/>
          </w:rPr>
          <w:t xml:space="preserve">  Uji Normalitas</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_Toc200572252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54</w:t>
        </w:r>
        <w:r w:rsidRPr="00A42616">
          <w:rPr>
            <w:rFonts w:asciiTheme="majorBidi" w:hAnsiTheme="majorBidi" w:cstheme="majorBidi"/>
            <w:noProof/>
            <w:webHidden/>
            <w:sz w:val="24"/>
            <w:szCs w:val="24"/>
          </w:rPr>
          <w:fldChar w:fldCharType="end"/>
        </w:r>
      </w:hyperlink>
    </w:p>
    <w:p w14:paraId="7F792994" w14:textId="1B5C5518"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3" w:history="1">
        <w:r w:rsidRPr="00A42616">
          <w:rPr>
            <w:rStyle w:val="Hyperlink"/>
            <w:rFonts w:asciiTheme="majorBidi" w:hAnsiTheme="majorBidi" w:cstheme="majorBidi"/>
            <w:noProof/>
            <w:sz w:val="24"/>
            <w:szCs w:val="24"/>
          </w:rPr>
          <w:t>Tabel 4. 4</w:t>
        </w:r>
        <w:r w:rsidRPr="00A42616">
          <w:rPr>
            <w:rStyle w:val="Hyperlink"/>
            <w:rFonts w:asciiTheme="majorBidi" w:hAnsiTheme="majorBidi" w:cstheme="majorBidi"/>
            <w:noProof/>
            <w:sz w:val="24"/>
            <w:szCs w:val="24"/>
            <w:lang w:val="en-US"/>
          </w:rPr>
          <w:t xml:space="preserve">  Uji Multikolinearitas</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_Toc200572253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55</w:t>
        </w:r>
        <w:r w:rsidRPr="00A42616">
          <w:rPr>
            <w:rFonts w:asciiTheme="majorBidi" w:hAnsiTheme="majorBidi" w:cstheme="majorBidi"/>
            <w:noProof/>
            <w:webHidden/>
            <w:sz w:val="24"/>
            <w:szCs w:val="24"/>
          </w:rPr>
          <w:fldChar w:fldCharType="end"/>
        </w:r>
      </w:hyperlink>
    </w:p>
    <w:p w14:paraId="663D0DA5" w14:textId="702DDECD"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4" w:history="1">
        <w:r w:rsidRPr="00A42616">
          <w:rPr>
            <w:rStyle w:val="Hyperlink"/>
            <w:rFonts w:asciiTheme="majorBidi" w:hAnsiTheme="majorBidi" w:cstheme="majorBidi"/>
            <w:noProof/>
            <w:sz w:val="24"/>
            <w:szCs w:val="24"/>
          </w:rPr>
          <w:t>Tabel 4. 5</w:t>
        </w:r>
        <w:r w:rsidRPr="00A42616">
          <w:rPr>
            <w:rStyle w:val="Hyperlink"/>
            <w:rFonts w:asciiTheme="majorBidi" w:hAnsiTheme="majorBidi" w:cstheme="majorBidi"/>
            <w:noProof/>
            <w:sz w:val="24"/>
            <w:szCs w:val="24"/>
            <w:lang w:val="en-US"/>
          </w:rPr>
          <w:t xml:space="preserve">  Uji Heteroskedastisitas</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_Toc200572254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56</w:t>
        </w:r>
        <w:r w:rsidRPr="00A42616">
          <w:rPr>
            <w:rFonts w:asciiTheme="majorBidi" w:hAnsiTheme="majorBidi" w:cstheme="majorBidi"/>
            <w:noProof/>
            <w:webHidden/>
            <w:sz w:val="24"/>
            <w:szCs w:val="24"/>
          </w:rPr>
          <w:fldChar w:fldCharType="end"/>
        </w:r>
      </w:hyperlink>
    </w:p>
    <w:p w14:paraId="4F416EF2" w14:textId="0AB1FFA1"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5" w:history="1">
        <w:r w:rsidRPr="00A42616">
          <w:rPr>
            <w:rStyle w:val="Hyperlink"/>
            <w:rFonts w:asciiTheme="majorBidi" w:hAnsiTheme="majorBidi" w:cstheme="majorBidi"/>
            <w:noProof/>
            <w:sz w:val="24"/>
            <w:szCs w:val="24"/>
          </w:rPr>
          <w:t>Tabel 4. 6</w:t>
        </w:r>
        <w:r w:rsidRPr="00A42616">
          <w:rPr>
            <w:rStyle w:val="Hyperlink"/>
            <w:rFonts w:asciiTheme="majorBidi" w:hAnsiTheme="majorBidi" w:cstheme="majorBidi"/>
            <w:noProof/>
            <w:sz w:val="24"/>
            <w:szCs w:val="24"/>
            <w:lang w:val="en-US"/>
          </w:rPr>
          <w:t xml:space="preserve">  Uji Heteroskedastisitas</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_Toc200572255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57</w:t>
        </w:r>
        <w:r w:rsidRPr="00A42616">
          <w:rPr>
            <w:rFonts w:asciiTheme="majorBidi" w:hAnsiTheme="majorBidi" w:cstheme="majorBidi"/>
            <w:noProof/>
            <w:webHidden/>
            <w:sz w:val="24"/>
            <w:szCs w:val="24"/>
          </w:rPr>
          <w:fldChar w:fldCharType="end"/>
        </w:r>
      </w:hyperlink>
    </w:p>
    <w:p w14:paraId="1C4A2B5C" w14:textId="7FD748AA"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6" w:history="1">
        <w:r w:rsidRPr="00A42616">
          <w:rPr>
            <w:rStyle w:val="Hyperlink"/>
            <w:rFonts w:asciiTheme="majorBidi" w:hAnsiTheme="majorBidi" w:cstheme="majorBidi"/>
            <w:noProof/>
            <w:sz w:val="24"/>
            <w:szCs w:val="24"/>
            <w:lang w:val="sv-SE"/>
          </w:rPr>
          <w:t>Tabel 4. 7  Uji Regresi Linier Berganda</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_Toc200572256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58</w:t>
        </w:r>
        <w:r w:rsidRPr="00A42616">
          <w:rPr>
            <w:rFonts w:asciiTheme="majorBidi" w:hAnsiTheme="majorBidi" w:cstheme="majorBidi"/>
            <w:noProof/>
            <w:webHidden/>
            <w:sz w:val="24"/>
            <w:szCs w:val="24"/>
          </w:rPr>
          <w:fldChar w:fldCharType="end"/>
        </w:r>
      </w:hyperlink>
    </w:p>
    <w:p w14:paraId="646E1C0C" w14:textId="36BB8741"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7" w:history="1">
        <w:r w:rsidRPr="00A42616">
          <w:rPr>
            <w:rStyle w:val="Hyperlink"/>
            <w:rFonts w:asciiTheme="majorBidi" w:hAnsiTheme="majorBidi" w:cstheme="majorBidi"/>
            <w:noProof/>
            <w:sz w:val="24"/>
            <w:szCs w:val="24"/>
          </w:rPr>
          <w:t>Tabel 4. 8</w:t>
        </w:r>
        <w:r w:rsidRPr="00A42616">
          <w:rPr>
            <w:rStyle w:val="Hyperlink"/>
            <w:rFonts w:asciiTheme="majorBidi" w:hAnsiTheme="majorBidi" w:cstheme="majorBidi"/>
            <w:noProof/>
            <w:sz w:val="24"/>
            <w:szCs w:val="24"/>
            <w:lang w:val="en-US"/>
          </w:rPr>
          <w:t xml:space="preserve">  Uji t</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_Toc200572257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60</w:t>
        </w:r>
        <w:r w:rsidRPr="00A42616">
          <w:rPr>
            <w:rFonts w:asciiTheme="majorBidi" w:hAnsiTheme="majorBidi" w:cstheme="majorBidi"/>
            <w:noProof/>
            <w:webHidden/>
            <w:sz w:val="24"/>
            <w:szCs w:val="24"/>
          </w:rPr>
          <w:fldChar w:fldCharType="end"/>
        </w:r>
      </w:hyperlink>
    </w:p>
    <w:p w14:paraId="6F36D7F7" w14:textId="71B9385E"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8" w:history="1">
        <w:r w:rsidRPr="00A42616">
          <w:rPr>
            <w:rStyle w:val="Hyperlink"/>
            <w:rFonts w:asciiTheme="majorBidi" w:hAnsiTheme="majorBidi" w:cstheme="majorBidi"/>
            <w:noProof/>
            <w:sz w:val="24"/>
            <w:szCs w:val="24"/>
          </w:rPr>
          <w:t>Tabel 4. 9</w:t>
        </w:r>
        <w:r w:rsidRPr="00A42616">
          <w:rPr>
            <w:rStyle w:val="Hyperlink"/>
            <w:rFonts w:asciiTheme="majorBidi" w:hAnsiTheme="majorBidi" w:cstheme="majorBidi"/>
            <w:noProof/>
            <w:sz w:val="24"/>
            <w:szCs w:val="24"/>
            <w:lang w:val="en-US"/>
          </w:rPr>
          <w:t xml:space="preserve">  Uji Simultan (Uji f)</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_Toc200572258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61</w:t>
        </w:r>
        <w:r w:rsidRPr="00A42616">
          <w:rPr>
            <w:rFonts w:asciiTheme="majorBidi" w:hAnsiTheme="majorBidi" w:cstheme="majorBidi"/>
            <w:noProof/>
            <w:webHidden/>
            <w:sz w:val="24"/>
            <w:szCs w:val="24"/>
          </w:rPr>
          <w:fldChar w:fldCharType="end"/>
        </w:r>
      </w:hyperlink>
    </w:p>
    <w:p w14:paraId="2608163E" w14:textId="4A2282A2" w:rsidR="00D25792" w:rsidRPr="00A42616" w:rsidRDefault="00D25792"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259" w:history="1">
        <w:r w:rsidRPr="00A42616">
          <w:rPr>
            <w:rStyle w:val="Hyperlink"/>
            <w:rFonts w:asciiTheme="majorBidi" w:hAnsiTheme="majorBidi" w:cstheme="majorBidi"/>
            <w:noProof/>
            <w:sz w:val="24"/>
            <w:szCs w:val="24"/>
          </w:rPr>
          <w:t>Tabel 4. 10</w:t>
        </w:r>
        <w:r w:rsidRPr="00A42616">
          <w:rPr>
            <w:rStyle w:val="Hyperlink"/>
            <w:rFonts w:asciiTheme="majorBidi" w:hAnsiTheme="majorBidi" w:cstheme="majorBidi"/>
            <w:noProof/>
            <w:sz w:val="24"/>
            <w:szCs w:val="24"/>
            <w:lang w:val="en-US"/>
          </w:rPr>
          <w:t xml:space="preserve"> Hubungan Varibel Independen Terhadap Deposito Mudharabah</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_Toc200572259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62</w:t>
        </w:r>
        <w:r w:rsidRPr="00A42616">
          <w:rPr>
            <w:rFonts w:asciiTheme="majorBidi" w:hAnsiTheme="majorBidi" w:cstheme="majorBidi"/>
            <w:noProof/>
            <w:webHidden/>
            <w:sz w:val="24"/>
            <w:szCs w:val="24"/>
          </w:rPr>
          <w:fldChar w:fldCharType="end"/>
        </w:r>
      </w:hyperlink>
    </w:p>
    <w:p w14:paraId="6970425E" w14:textId="655519F2" w:rsidR="006F2719" w:rsidRDefault="00D25792" w:rsidP="00A42616">
      <w:pPr>
        <w:spacing w:before="3" w:line="360" w:lineRule="auto"/>
        <w:ind w:right="980"/>
        <w:jc w:val="both"/>
        <w:rPr>
          <w:rFonts w:asciiTheme="majorBidi" w:hAnsiTheme="majorBidi" w:cstheme="majorBidi"/>
          <w:spacing w:val="-4"/>
          <w:sz w:val="24"/>
          <w:szCs w:val="24"/>
        </w:rPr>
      </w:pPr>
      <w:r w:rsidRPr="00A42616">
        <w:rPr>
          <w:rFonts w:asciiTheme="majorBidi" w:hAnsiTheme="majorBidi" w:cstheme="majorBidi"/>
          <w:spacing w:val="-4"/>
          <w:sz w:val="24"/>
          <w:szCs w:val="24"/>
        </w:rPr>
        <w:fldChar w:fldCharType="end"/>
      </w:r>
      <w:r w:rsidRPr="00A42616">
        <w:rPr>
          <w:rFonts w:asciiTheme="majorBidi" w:hAnsiTheme="majorBidi" w:cstheme="majorBidi"/>
          <w:spacing w:val="-4"/>
          <w:sz w:val="24"/>
          <w:szCs w:val="24"/>
        </w:rPr>
        <w:t xml:space="preserve"> </w:t>
      </w:r>
    </w:p>
    <w:p w14:paraId="0FE1CF85" w14:textId="77777777" w:rsidR="00A42616" w:rsidRDefault="00A42616" w:rsidP="00A42616">
      <w:pPr>
        <w:spacing w:before="3" w:line="360" w:lineRule="auto"/>
        <w:ind w:right="980"/>
        <w:jc w:val="both"/>
        <w:rPr>
          <w:rFonts w:asciiTheme="majorBidi" w:hAnsiTheme="majorBidi" w:cstheme="majorBidi"/>
          <w:spacing w:val="-4"/>
          <w:sz w:val="24"/>
          <w:szCs w:val="24"/>
        </w:rPr>
      </w:pPr>
    </w:p>
    <w:p w14:paraId="6C32AB1D" w14:textId="77777777" w:rsidR="00A42616" w:rsidRDefault="00A42616" w:rsidP="00A42616">
      <w:pPr>
        <w:spacing w:before="3" w:line="360" w:lineRule="auto"/>
        <w:ind w:right="980"/>
        <w:jc w:val="both"/>
        <w:rPr>
          <w:rFonts w:asciiTheme="majorBidi" w:hAnsiTheme="majorBidi" w:cstheme="majorBidi"/>
          <w:spacing w:val="-4"/>
          <w:sz w:val="24"/>
          <w:szCs w:val="24"/>
        </w:rPr>
      </w:pPr>
    </w:p>
    <w:p w14:paraId="0A235EA8" w14:textId="77777777" w:rsidR="00A42616" w:rsidRDefault="00A42616" w:rsidP="00A42616">
      <w:pPr>
        <w:spacing w:before="3" w:line="360" w:lineRule="auto"/>
        <w:ind w:right="980"/>
        <w:jc w:val="both"/>
        <w:rPr>
          <w:rFonts w:asciiTheme="majorBidi" w:hAnsiTheme="majorBidi" w:cstheme="majorBidi"/>
          <w:spacing w:val="-4"/>
          <w:sz w:val="24"/>
          <w:szCs w:val="24"/>
        </w:rPr>
      </w:pPr>
    </w:p>
    <w:p w14:paraId="55DC9B91" w14:textId="77777777" w:rsidR="00A42616" w:rsidRDefault="00A42616" w:rsidP="00A42616">
      <w:pPr>
        <w:spacing w:before="3" w:line="360" w:lineRule="auto"/>
        <w:ind w:right="980"/>
        <w:jc w:val="both"/>
        <w:rPr>
          <w:rFonts w:asciiTheme="majorBidi" w:hAnsiTheme="majorBidi" w:cstheme="majorBidi"/>
          <w:spacing w:val="-4"/>
          <w:sz w:val="24"/>
          <w:szCs w:val="24"/>
        </w:rPr>
      </w:pPr>
    </w:p>
    <w:p w14:paraId="18422B1C" w14:textId="77777777" w:rsidR="00A42616" w:rsidRDefault="00A42616" w:rsidP="00A42616">
      <w:pPr>
        <w:spacing w:before="3" w:line="360" w:lineRule="auto"/>
        <w:ind w:right="980"/>
        <w:jc w:val="both"/>
        <w:rPr>
          <w:rFonts w:asciiTheme="majorBidi" w:hAnsiTheme="majorBidi" w:cstheme="majorBidi"/>
          <w:spacing w:val="-4"/>
          <w:sz w:val="24"/>
          <w:szCs w:val="24"/>
        </w:rPr>
      </w:pPr>
    </w:p>
    <w:p w14:paraId="2A768ABD" w14:textId="77777777" w:rsidR="00C72842" w:rsidRPr="00A42616" w:rsidRDefault="00C72842" w:rsidP="00A42616">
      <w:pPr>
        <w:spacing w:before="3" w:line="360" w:lineRule="auto"/>
        <w:ind w:right="980"/>
        <w:jc w:val="both"/>
        <w:rPr>
          <w:rFonts w:asciiTheme="majorBidi" w:hAnsiTheme="majorBidi" w:cstheme="majorBidi"/>
          <w:spacing w:val="-4"/>
          <w:sz w:val="24"/>
          <w:szCs w:val="24"/>
        </w:rPr>
      </w:pPr>
    </w:p>
    <w:p w14:paraId="6734D803" w14:textId="4D8335E0" w:rsidR="006F2719" w:rsidRDefault="006F2719" w:rsidP="00A42616">
      <w:pPr>
        <w:pStyle w:val="Heading1"/>
        <w:spacing w:line="360" w:lineRule="auto"/>
        <w:jc w:val="center"/>
        <w:rPr>
          <w:rFonts w:asciiTheme="majorBidi" w:hAnsiTheme="majorBidi"/>
          <w:b/>
          <w:bCs/>
          <w:color w:val="auto"/>
          <w:sz w:val="24"/>
          <w:szCs w:val="24"/>
        </w:rPr>
      </w:pPr>
      <w:bookmarkStart w:id="11" w:name="_Toc201063296"/>
      <w:r w:rsidRPr="00A42616">
        <w:rPr>
          <w:rFonts w:asciiTheme="majorBidi" w:hAnsiTheme="majorBidi"/>
          <w:b/>
          <w:bCs/>
          <w:color w:val="auto"/>
          <w:sz w:val="24"/>
          <w:szCs w:val="24"/>
        </w:rPr>
        <w:lastRenderedPageBreak/>
        <w:t>DAFTAR GAMBAR</w:t>
      </w:r>
      <w:bookmarkEnd w:id="11"/>
    </w:p>
    <w:p w14:paraId="42AD38DD" w14:textId="77777777" w:rsidR="00A42616" w:rsidRPr="00A42616" w:rsidRDefault="00A42616" w:rsidP="00A42616"/>
    <w:p w14:paraId="381A4BB1" w14:textId="258A8017" w:rsidR="008307E8" w:rsidRPr="00A42616" w:rsidRDefault="008307E8"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r w:rsidRPr="00A42616">
        <w:rPr>
          <w:rFonts w:asciiTheme="majorBidi" w:hAnsiTheme="majorBidi" w:cstheme="majorBidi"/>
          <w:spacing w:val="-4"/>
          <w:sz w:val="24"/>
          <w:szCs w:val="24"/>
        </w:rPr>
        <w:fldChar w:fldCharType="begin"/>
      </w:r>
      <w:r w:rsidRPr="00A42616">
        <w:rPr>
          <w:rFonts w:asciiTheme="majorBidi" w:hAnsiTheme="majorBidi" w:cstheme="majorBidi"/>
          <w:spacing w:val="-4"/>
          <w:sz w:val="24"/>
          <w:szCs w:val="24"/>
        </w:rPr>
        <w:instrText xml:space="preserve"> TOC \h \z \c "Gambar 2." </w:instrText>
      </w:r>
      <w:r w:rsidRPr="00A42616">
        <w:rPr>
          <w:rFonts w:asciiTheme="majorBidi" w:hAnsiTheme="majorBidi" w:cstheme="majorBidi"/>
          <w:spacing w:val="-4"/>
          <w:sz w:val="24"/>
          <w:szCs w:val="24"/>
        </w:rPr>
        <w:fldChar w:fldCharType="separate"/>
      </w:r>
      <w:hyperlink w:anchor="_Toc200572932" w:history="1">
        <w:r w:rsidRPr="00A42616">
          <w:rPr>
            <w:rStyle w:val="Hyperlink"/>
            <w:rFonts w:asciiTheme="majorBidi" w:hAnsiTheme="majorBidi" w:cstheme="majorBidi"/>
            <w:noProof/>
            <w:sz w:val="24"/>
            <w:szCs w:val="24"/>
            <w:lang w:val="sv-SE"/>
          </w:rPr>
          <w:t>Gambar 2. 1</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_Toc200572932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30</w:t>
        </w:r>
        <w:r w:rsidRPr="00A42616">
          <w:rPr>
            <w:rFonts w:asciiTheme="majorBidi" w:hAnsiTheme="majorBidi" w:cstheme="majorBidi"/>
            <w:noProof/>
            <w:webHidden/>
            <w:sz w:val="24"/>
            <w:szCs w:val="24"/>
          </w:rPr>
          <w:fldChar w:fldCharType="end"/>
        </w:r>
      </w:hyperlink>
    </w:p>
    <w:p w14:paraId="63D69D7D" w14:textId="11D4B663" w:rsidR="008307E8" w:rsidRPr="00A42616" w:rsidRDefault="008307E8" w:rsidP="00A42616">
      <w:pPr>
        <w:pStyle w:val="TableofFigures"/>
        <w:tabs>
          <w:tab w:val="right" w:leader="dot" w:pos="9016"/>
        </w:tabs>
        <w:spacing w:line="360" w:lineRule="auto"/>
        <w:jc w:val="both"/>
        <w:rPr>
          <w:rFonts w:asciiTheme="majorBidi" w:eastAsiaTheme="minorEastAsia" w:hAnsiTheme="majorBidi" w:cstheme="majorBidi"/>
          <w:noProof/>
          <w:sz w:val="24"/>
          <w:szCs w:val="24"/>
          <w:lang w:eastAsia="en-ID"/>
        </w:rPr>
      </w:pPr>
      <w:hyperlink w:anchor="_Toc200572933" w:history="1">
        <w:r w:rsidRPr="00A42616">
          <w:rPr>
            <w:rStyle w:val="Hyperlink"/>
            <w:rFonts w:asciiTheme="majorBidi" w:hAnsiTheme="majorBidi" w:cstheme="majorBidi"/>
            <w:noProof/>
            <w:sz w:val="24"/>
            <w:szCs w:val="24"/>
          </w:rPr>
          <w:t>Gambar 2. 2</w:t>
        </w:r>
        <w:r w:rsidRPr="00A42616">
          <w:rPr>
            <w:rFonts w:asciiTheme="majorBidi" w:hAnsiTheme="majorBidi" w:cstheme="majorBidi"/>
            <w:noProof/>
            <w:webHidden/>
            <w:sz w:val="24"/>
            <w:szCs w:val="24"/>
          </w:rPr>
          <w:tab/>
        </w:r>
        <w:r w:rsidRPr="00A42616">
          <w:rPr>
            <w:rFonts w:asciiTheme="majorBidi" w:hAnsiTheme="majorBidi" w:cstheme="majorBidi"/>
            <w:noProof/>
            <w:webHidden/>
            <w:sz w:val="24"/>
            <w:szCs w:val="24"/>
          </w:rPr>
          <w:fldChar w:fldCharType="begin"/>
        </w:r>
        <w:r w:rsidRPr="00A42616">
          <w:rPr>
            <w:rFonts w:asciiTheme="majorBidi" w:hAnsiTheme="majorBidi" w:cstheme="majorBidi"/>
            <w:noProof/>
            <w:webHidden/>
            <w:sz w:val="24"/>
            <w:szCs w:val="24"/>
          </w:rPr>
          <w:instrText xml:space="preserve"> PAGEREF _Toc200572933 \h </w:instrText>
        </w:r>
        <w:r w:rsidRPr="00A42616">
          <w:rPr>
            <w:rFonts w:asciiTheme="majorBidi" w:hAnsiTheme="majorBidi" w:cstheme="majorBidi"/>
            <w:noProof/>
            <w:webHidden/>
            <w:sz w:val="24"/>
            <w:szCs w:val="24"/>
          </w:rPr>
        </w:r>
        <w:r w:rsidRPr="00A42616">
          <w:rPr>
            <w:rFonts w:asciiTheme="majorBidi" w:hAnsiTheme="majorBidi" w:cstheme="majorBidi"/>
            <w:noProof/>
            <w:webHidden/>
            <w:sz w:val="24"/>
            <w:szCs w:val="24"/>
          </w:rPr>
          <w:fldChar w:fldCharType="separate"/>
        </w:r>
        <w:r w:rsidR="00B8276F">
          <w:rPr>
            <w:rFonts w:asciiTheme="majorBidi" w:hAnsiTheme="majorBidi" w:cstheme="majorBidi"/>
            <w:noProof/>
            <w:webHidden/>
            <w:sz w:val="24"/>
            <w:szCs w:val="24"/>
          </w:rPr>
          <w:t>34</w:t>
        </w:r>
        <w:r w:rsidRPr="00A42616">
          <w:rPr>
            <w:rFonts w:asciiTheme="majorBidi" w:hAnsiTheme="majorBidi" w:cstheme="majorBidi"/>
            <w:noProof/>
            <w:webHidden/>
            <w:sz w:val="24"/>
            <w:szCs w:val="24"/>
          </w:rPr>
          <w:fldChar w:fldCharType="end"/>
        </w:r>
      </w:hyperlink>
    </w:p>
    <w:p w14:paraId="72D138ED" w14:textId="3B64BC99" w:rsidR="007F7C0B" w:rsidRPr="008307E8" w:rsidRDefault="008307E8" w:rsidP="00A42616">
      <w:pPr>
        <w:spacing w:before="3" w:line="360" w:lineRule="auto"/>
        <w:ind w:left="589" w:right="980"/>
        <w:jc w:val="both"/>
        <w:rPr>
          <w:rFonts w:asciiTheme="majorBidi" w:hAnsiTheme="majorBidi" w:cstheme="majorBidi"/>
          <w:b/>
          <w:spacing w:val="-4"/>
          <w:sz w:val="24"/>
          <w:szCs w:val="24"/>
        </w:rPr>
      </w:pPr>
      <w:r w:rsidRPr="00A42616">
        <w:rPr>
          <w:rFonts w:asciiTheme="majorBidi" w:hAnsiTheme="majorBidi" w:cstheme="majorBidi"/>
          <w:spacing w:val="-4"/>
          <w:sz w:val="24"/>
          <w:szCs w:val="24"/>
        </w:rPr>
        <w:fldChar w:fldCharType="end"/>
      </w:r>
    </w:p>
    <w:p w14:paraId="2AA1094D" w14:textId="77777777" w:rsidR="005F78F3" w:rsidRDefault="005F78F3" w:rsidP="008307E8">
      <w:pPr>
        <w:spacing w:before="3" w:line="360" w:lineRule="auto"/>
        <w:ind w:right="980"/>
        <w:rPr>
          <w:rFonts w:asciiTheme="majorBidi" w:hAnsiTheme="majorBidi" w:cstheme="majorBidi"/>
          <w:b/>
          <w:spacing w:val="-4"/>
          <w:sz w:val="24"/>
          <w:szCs w:val="24"/>
        </w:rPr>
        <w:sectPr w:rsidR="005F78F3" w:rsidSect="00ED5418">
          <w:footerReference w:type="default" r:id="rId13"/>
          <w:footerReference w:type="first" r:id="rId14"/>
          <w:pgSz w:w="11906" w:h="16838" w:code="9"/>
          <w:pgMar w:top="1134" w:right="1134" w:bottom="1134" w:left="1418" w:header="709" w:footer="709" w:gutter="0"/>
          <w:pgNumType w:fmt="lowerRoman"/>
          <w:cols w:space="708"/>
          <w:titlePg/>
          <w:docGrid w:linePitch="360"/>
        </w:sectPr>
      </w:pPr>
    </w:p>
    <w:p w14:paraId="39F9AA03" w14:textId="77777777" w:rsidR="00A42616" w:rsidRPr="008307E8" w:rsidRDefault="00A42616" w:rsidP="008307E8">
      <w:pPr>
        <w:spacing w:before="3" w:line="360" w:lineRule="auto"/>
        <w:ind w:right="980"/>
        <w:rPr>
          <w:rFonts w:asciiTheme="majorBidi" w:hAnsiTheme="majorBidi" w:cstheme="majorBidi"/>
          <w:b/>
          <w:spacing w:val="-4"/>
          <w:sz w:val="24"/>
          <w:szCs w:val="24"/>
        </w:rPr>
      </w:pPr>
      <w:bookmarkStart w:id="12" w:name="_Hlk202348681"/>
    </w:p>
    <w:p w14:paraId="4A4826C6" w14:textId="79654D34" w:rsidR="00335B29" w:rsidRPr="00B51544" w:rsidRDefault="00335B29" w:rsidP="0091193C">
      <w:pPr>
        <w:pStyle w:val="Heading1"/>
        <w:spacing w:line="360" w:lineRule="auto"/>
        <w:jc w:val="center"/>
        <w:rPr>
          <w:rFonts w:asciiTheme="majorBidi" w:hAnsiTheme="majorBidi"/>
          <w:b/>
          <w:bCs/>
          <w:color w:val="auto"/>
          <w:sz w:val="24"/>
          <w:szCs w:val="24"/>
        </w:rPr>
      </w:pPr>
      <w:bookmarkStart w:id="13" w:name="_Toc201063297"/>
      <w:bookmarkStart w:id="14" w:name="_Hlk202763477"/>
      <w:bookmarkStart w:id="15" w:name="_Hlk201147743"/>
      <w:r w:rsidRPr="00B51544">
        <w:rPr>
          <w:rFonts w:asciiTheme="majorBidi" w:hAnsiTheme="majorBidi"/>
          <w:b/>
          <w:bCs/>
          <w:color w:val="auto"/>
          <w:sz w:val="24"/>
          <w:szCs w:val="24"/>
        </w:rPr>
        <w:t>BAB I</w:t>
      </w:r>
      <w:r w:rsidR="007F7C0B">
        <w:rPr>
          <w:rFonts w:asciiTheme="majorBidi" w:hAnsiTheme="majorBidi"/>
          <w:b/>
          <w:bCs/>
          <w:color w:val="auto"/>
          <w:sz w:val="24"/>
          <w:szCs w:val="24"/>
        </w:rPr>
        <w:t xml:space="preserve"> </w:t>
      </w:r>
      <w:r w:rsidR="0091193C">
        <w:rPr>
          <w:rFonts w:asciiTheme="majorBidi" w:hAnsiTheme="majorBidi"/>
          <w:b/>
          <w:bCs/>
          <w:color w:val="auto"/>
          <w:sz w:val="24"/>
          <w:szCs w:val="24"/>
        </w:rPr>
        <w:br/>
      </w:r>
      <w:r w:rsidRPr="00B51544">
        <w:rPr>
          <w:rFonts w:asciiTheme="majorBidi" w:hAnsiTheme="majorBidi"/>
          <w:b/>
          <w:bCs/>
          <w:color w:val="auto"/>
          <w:sz w:val="24"/>
          <w:szCs w:val="24"/>
        </w:rPr>
        <w:t>PENDAHULUAN</w:t>
      </w:r>
      <w:bookmarkEnd w:id="13"/>
    </w:p>
    <w:p w14:paraId="4D044A2D" w14:textId="77777777" w:rsidR="00335B29" w:rsidRPr="00B51544" w:rsidRDefault="00335B29" w:rsidP="00B51544">
      <w:pPr>
        <w:pStyle w:val="ListParagraph"/>
        <w:spacing w:line="360" w:lineRule="auto"/>
        <w:jc w:val="both"/>
        <w:rPr>
          <w:rFonts w:asciiTheme="majorBidi" w:hAnsiTheme="majorBidi" w:cstheme="majorBidi"/>
          <w:b/>
          <w:bCs/>
          <w:sz w:val="24"/>
          <w:szCs w:val="24"/>
        </w:rPr>
      </w:pPr>
    </w:p>
    <w:p w14:paraId="389E8ECB" w14:textId="2A6CB2FE" w:rsidR="00335B29" w:rsidRPr="00B51544" w:rsidRDefault="00335B29">
      <w:pPr>
        <w:pStyle w:val="Heading2"/>
        <w:numPr>
          <w:ilvl w:val="1"/>
          <w:numId w:val="11"/>
        </w:numPr>
        <w:tabs>
          <w:tab w:val="left" w:pos="426"/>
        </w:tabs>
        <w:spacing w:line="360" w:lineRule="auto"/>
        <w:ind w:left="0" w:firstLine="0"/>
        <w:jc w:val="both"/>
        <w:rPr>
          <w:rFonts w:asciiTheme="majorBidi" w:hAnsiTheme="majorBidi"/>
          <w:b/>
          <w:bCs/>
          <w:color w:val="auto"/>
          <w:sz w:val="24"/>
          <w:szCs w:val="24"/>
          <w:lang w:val="sv-SE"/>
        </w:rPr>
      </w:pPr>
      <w:bookmarkStart w:id="16" w:name="_Toc201063298"/>
      <w:r w:rsidRPr="00B51544">
        <w:rPr>
          <w:rFonts w:asciiTheme="majorBidi" w:hAnsiTheme="majorBidi"/>
          <w:b/>
          <w:bCs/>
          <w:color w:val="auto"/>
          <w:sz w:val="24"/>
          <w:szCs w:val="24"/>
          <w:lang w:val="sv-SE"/>
        </w:rPr>
        <w:t>Latar Belakang</w:t>
      </w:r>
      <w:bookmarkEnd w:id="16"/>
    </w:p>
    <w:p w14:paraId="5B422A81" w14:textId="77777777" w:rsidR="00BE0174" w:rsidRPr="00B51544" w:rsidRDefault="00335B29"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Bank adalah lembaga keuangan yang memiliki peranan yang sangat penting dalam perekonomian. Sebagai perantara dalam penyaluran dana, bank memfasilitasi berbagai transaksi keuangan dan menyediakan beragam layanan perbankan yang krusial untuk mendorong pertumbuhan ekonomi, meningkatkan efisiensi, serta menciptakan lapangan kerja. Kehadiran bank yang sehat dan terkelola dengan baik sangat penting untuk menjaga stabilitas sistem keuangan dan perekonomian secara keseluruhan.</w:t>
      </w:r>
    </w:p>
    <w:p w14:paraId="619F36E9" w14:textId="77777777" w:rsidR="00BE0174" w:rsidRPr="00B51544" w:rsidRDefault="00335B29"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Menurut Undang-Undang No. 10 Tahun 1998 tentang Bank Umum, pada Pasal 1 ayat 3 dinyatakan bahwa bank merupakan badan usaha yang mengumpulkan dana dari masyarakat dalam berbagai bentuk, termasuk kredit, dengan tujuan untuk meningkatkan taraf hidup masyarakat secara umum. Bank memiliki tiga fungsi utama, yaitu menerima simpanan uang, memberikan pinjaman, dan menyediakan layanan pengiriman uang.</w:t>
      </w:r>
      <w:r w:rsidRPr="00B51544">
        <w:rPr>
          <w:rStyle w:val="FootnoteReference"/>
          <w:rFonts w:asciiTheme="majorBidi" w:hAnsiTheme="majorBidi" w:cstheme="majorBidi"/>
          <w:sz w:val="24"/>
          <w:szCs w:val="24"/>
          <w:lang w:val="sv-SE"/>
        </w:rPr>
        <w:footnoteReference w:id="1"/>
      </w:r>
    </w:p>
    <w:p w14:paraId="07D01F1F" w14:textId="77777777" w:rsidR="00BE0174" w:rsidRPr="00B51544" w:rsidRDefault="00A21146"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Sesuai dengan UU No. 21 Tahun 2008 tentang Perbankan Syariah, terdapat definisi mengenai Perbankan Syariah. Perbankan Syariah mencakup segala aspek yang berkaitan dengan bank syariah serta unit usaha syariah, termasuk berbagai institusi, kegiatan usaha, prosedur, dan proses yang dijalankan dalam aktivitasnya. Bank Syariah sendiri adalah lembaga keuangan yang beroperasi berdasarkan prinsip syariah. Jenis-jenis bank syariah ini mencakup Bank Umum Syariah (BUS), Unit Usaha Syariah (UUS), dan Bank Pembiayaan Rakyat Syariah (BPRS).</w:t>
      </w:r>
      <w:r w:rsidRPr="00B51544">
        <w:rPr>
          <w:rStyle w:val="FootnoteReference"/>
          <w:rFonts w:asciiTheme="majorBidi" w:hAnsiTheme="majorBidi" w:cstheme="majorBidi"/>
          <w:sz w:val="24"/>
          <w:szCs w:val="24"/>
          <w:lang w:val="sv-SE"/>
        </w:rPr>
        <w:footnoteReference w:id="2"/>
      </w:r>
    </w:p>
    <w:p w14:paraId="2EC0FB1A" w14:textId="77777777" w:rsidR="00BE0174" w:rsidRPr="00B51544" w:rsidRDefault="00204906"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Bank Muamalat Indonesia menjadi suatu lembaga keuangan syariah yang pertama beroperasi atau menjalankan praktiknya di Indonesia mulai 1 November 1991, dengan pertumbuhan yang sangat pesat dibuktikan pada saat ini, dikutip data perkembangan perbankan syariah di Indonesia yang diterbitkan dan dipublikasi oleh Otoritas Jasa Keuangan (OJK) sesuai per-tanggal 31 Desember Bank Muamalat menduduki peringkat kedua perolehan aset sejumlah Rp. 58 Triliun dari 12 perbankan syariah yang beroperasi di Indonesia. Dengan </w:t>
      </w:r>
      <w:r w:rsidRPr="00B51544">
        <w:rPr>
          <w:rFonts w:asciiTheme="majorBidi" w:hAnsiTheme="majorBidi" w:cstheme="majorBidi"/>
          <w:sz w:val="24"/>
          <w:szCs w:val="24"/>
          <w:lang w:val="sv-SE"/>
        </w:rPr>
        <w:lastRenderedPageBreak/>
        <w:t>demikian, produk yang ditawarkan oleh Bank Muamalat Indonesia mampu menjadi layanan dan jasa yang diperlukan oleh masyarakat, salah satunya yakni produk pembiayaan mudharabah.</w:t>
      </w:r>
      <w:r w:rsidRPr="00B51544">
        <w:rPr>
          <w:rStyle w:val="FootnoteReference"/>
          <w:rFonts w:asciiTheme="majorBidi" w:hAnsiTheme="majorBidi" w:cstheme="majorBidi"/>
          <w:sz w:val="24"/>
          <w:szCs w:val="24"/>
          <w:lang w:val="sv-SE"/>
        </w:rPr>
        <w:footnoteReference w:id="3"/>
      </w:r>
    </w:p>
    <w:p w14:paraId="11E2E125" w14:textId="77777777" w:rsidR="00BE0174" w:rsidRPr="00B51544" w:rsidRDefault="00E31033"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Produk penghimpunan dana pada bank syariah yang sangat berbeda dengan produk bank konvensional adalah deposito mudharabah. Deposito Mudharabah pada bank syariah dijalankan berdasarkan syariat Islam</w:t>
      </w:r>
      <w:r w:rsidR="00963480" w:rsidRPr="00B51544">
        <w:rPr>
          <w:rFonts w:asciiTheme="majorBidi" w:hAnsiTheme="majorBidi" w:cstheme="majorBidi"/>
          <w:sz w:val="24"/>
          <w:szCs w:val="24"/>
          <w:lang w:val="sv-SE"/>
        </w:rPr>
        <w:t>.</w:t>
      </w:r>
      <w:r w:rsidR="00963480" w:rsidRPr="00B51544">
        <w:rPr>
          <w:rStyle w:val="FootnoteReference"/>
          <w:rFonts w:asciiTheme="majorBidi" w:hAnsiTheme="majorBidi" w:cstheme="majorBidi"/>
          <w:sz w:val="24"/>
          <w:szCs w:val="24"/>
          <w:lang w:val="sv-SE"/>
        </w:rPr>
        <w:footnoteReference w:id="4"/>
      </w:r>
      <w:r w:rsidR="00B903EC"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 xml:space="preserve">Deposito Mudharabah </w:t>
      </w:r>
      <w:r w:rsidR="00B903EC" w:rsidRPr="00B51544">
        <w:rPr>
          <w:rFonts w:asciiTheme="majorBidi" w:hAnsiTheme="majorBidi" w:cstheme="majorBidi"/>
          <w:sz w:val="24"/>
          <w:szCs w:val="24"/>
          <w:lang w:val="sv-SE"/>
        </w:rPr>
        <w:t>adalah simpanan nasabah kepada bank syariah  yang hanya dapat diambil dalam jangka waktu tertentu sesuai dengan kesepakatan antara nasabah dan bank syariah sesuai dengan prinsip syariah dengan pengembalian berupa bagi hasil sesuai porsi yang telah disepakati</w:t>
      </w:r>
      <w:r w:rsidR="00E01645" w:rsidRPr="00B51544">
        <w:rPr>
          <w:rFonts w:asciiTheme="majorBidi" w:hAnsiTheme="majorBidi" w:cstheme="majorBidi"/>
          <w:sz w:val="24"/>
          <w:szCs w:val="24"/>
          <w:lang w:val="sv-SE"/>
        </w:rPr>
        <w:t>.</w:t>
      </w:r>
      <w:r w:rsidR="00E01645" w:rsidRPr="00B51544">
        <w:rPr>
          <w:rStyle w:val="FootnoteReference"/>
          <w:rFonts w:asciiTheme="majorBidi" w:hAnsiTheme="majorBidi" w:cstheme="majorBidi"/>
          <w:sz w:val="24"/>
          <w:szCs w:val="24"/>
          <w:lang w:val="sv-SE"/>
        </w:rPr>
        <w:footnoteReference w:id="5"/>
      </w:r>
      <w:r w:rsidR="00335B29" w:rsidRPr="00B51544">
        <w:rPr>
          <w:rFonts w:asciiTheme="majorBidi" w:hAnsiTheme="majorBidi" w:cstheme="majorBidi"/>
          <w:sz w:val="24"/>
          <w:szCs w:val="24"/>
          <w:lang w:val="sv-SE"/>
        </w:rPr>
        <w:t>Dalam praktiknya, deposito menggunakan akad Mudharabah, di mana deposan (nasabah yang menyimpan dana) berfungsi sebagai shahibul mal (pemilik modal), sedangkan pihak yang berperan sebagai mudharib (pengelola) adalah mitra usaha yang bekerja sama dengan bank. Di sisi lain, bank berfungsi sebagai penyalur dana.</w:t>
      </w:r>
      <w:r w:rsidR="00335B29" w:rsidRPr="00B51544">
        <w:rPr>
          <w:rStyle w:val="FootnoteReference"/>
          <w:rFonts w:asciiTheme="majorBidi" w:hAnsiTheme="majorBidi" w:cstheme="majorBidi"/>
          <w:sz w:val="24"/>
          <w:szCs w:val="24"/>
        </w:rPr>
        <w:footnoteReference w:id="6"/>
      </w:r>
      <w:r w:rsidR="00335B29" w:rsidRPr="00B51544">
        <w:rPr>
          <w:rFonts w:asciiTheme="majorBidi" w:hAnsiTheme="majorBidi" w:cstheme="majorBidi"/>
          <w:sz w:val="24"/>
          <w:szCs w:val="24"/>
          <w:lang w:val="sv-SE"/>
        </w:rPr>
        <w:t xml:space="preserve"> </w:t>
      </w:r>
    </w:p>
    <w:p w14:paraId="64933019" w14:textId="6BD5830D" w:rsidR="0091193C" w:rsidRPr="00432CBC" w:rsidRDefault="00335B29" w:rsidP="00432CBC">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Produk deposito di bank syariah diatur oleh Fatwa Dewan Syariah Nasional Majelis Ulama Indonesia dengan nomor 03/DSN-MUI/IV2000 mengenai deposito.</w:t>
      </w:r>
      <w:r w:rsidRPr="00B51544">
        <w:rPr>
          <w:rStyle w:val="FootnoteReference"/>
          <w:rFonts w:asciiTheme="majorBidi" w:hAnsiTheme="majorBidi" w:cstheme="majorBidi"/>
          <w:sz w:val="24"/>
          <w:szCs w:val="24"/>
          <w:lang w:val="sv-SE"/>
        </w:rPr>
        <w:footnoteReference w:id="7"/>
      </w:r>
      <w:r w:rsidR="003676D8" w:rsidRPr="00B51544">
        <w:rPr>
          <w:rFonts w:asciiTheme="majorBidi" w:hAnsiTheme="majorBidi" w:cstheme="majorBidi"/>
          <w:sz w:val="24"/>
          <w:szCs w:val="24"/>
          <w:lang w:val="sv-SE"/>
        </w:rPr>
        <w:t xml:space="preserve"> Undang-Undang Nomor 10 Tahun 1988 menjelaskan bahwa deposito adalah penyimpanan dana yang penarikannya hanya bisa dilakukan pada waktu jatuh tempo. Jangka waktu deposito biasanya telah ditentukan oleh bank,</w:t>
      </w:r>
      <w:r w:rsidR="009874CE" w:rsidRPr="00B51544">
        <w:rPr>
          <w:rFonts w:asciiTheme="majorBidi" w:hAnsiTheme="majorBidi" w:cstheme="majorBidi"/>
          <w:sz w:val="24"/>
          <w:szCs w:val="24"/>
          <w:lang w:val="sv-SE"/>
        </w:rPr>
        <w:t xml:space="preserve"> sedangkan pada bank syariah investasi deposito bisa dilakukan untuk surat-surat berharga dengan menggunakan prinsip Mudharabah</w:t>
      </w:r>
      <w:r w:rsidR="00E01645" w:rsidRPr="00B51544">
        <w:rPr>
          <w:rFonts w:asciiTheme="majorBidi" w:hAnsiTheme="majorBidi" w:cstheme="majorBidi"/>
          <w:sz w:val="24"/>
          <w:szCs w:val="24"/>
          <w:lang w:val="sv-SE"/>
        </w:rPr>
        <w:t>.</w:t>
      </w:r>
      <w:r w:rsidR="00E01645" w:rsidRPr="00B51544">
        <w:rPr>
          <w:rStyle w:val="FootnoteReference"/>
          <w:rFonts w:asciiTheme="majorBidi" w:hAnsiTheme="majorBidi" w:cstheme="majorBidi"/>
          <w:sz w:val="24"/>
          <w:szCs w:val="24"/>
          <w:lang w:val="sv-SE"/>
        </w:rPr>
        <w:footnoteReference w:id="8"/>
      </w:r>
    </w:p>
    <w:p w14:paraId="54DD3384" w14:textId="77777777" w:rsidR="0091193C" w:rsidRDefault="0091193C" w:rsidP="003378A8">
      <w:pPr>
        <w:pStyle w:val="ListParagraph"/>
        <w:spacing w:line="360" w:lineRule="auto"/>
        <w:ind w:left="426" w:firstLine="709"/>
        <w:jc w:val="both"/>
        <w:rPr>
          <w:rFonts w:asciiTheme="majorBidi" w:hAnsiTheme="majorBidi" w:cstheme="majorBidi"/>
          <w:sz w:val="24"/>
          <w:szCs w:val="24"/>
          <w:lang w:val="sv-SE"/>
        </w:rPr>
      </w:pPr>
    </w:p>
    <w:p w14:paraId="37A26E86" w14:textId="77777777" w:rsidR="003F0DDF" w:rsidRDefault="003F0DDF" w:rsidP="003378A8">
      <w:pPr>
        <w:pStyle w:val="ListParagraph"/>
        <w:spacing w:line="360" w:lineRule="auto"/>
        <w:ind w:left="426" w:firstLine="709"/>
        <w:jc w:val="both"/>
        <w:rPr>
          <w:rFonts w:asciiTheme="majorBidi" w:hAnsiTheme="majorBidi" w:cstheme="majorBidi"/>
          <w:sz w:val="24"/>
          <w:szCs w:val="24"/>
          <w:lang w:val="sv-SE"/>
        </w:rPr>
      </w:pPr>
    </w:p>
    <w:p w14:paraId="02BF8FCC" w14:textId="77777777" w:rsidR="003F0DDF" w:rsidRPr="003378A8" w:rsidRDefault="003F0DDF" w:rsidP="003378A8">
      <w:pPr>
        <w:pStyle w:val="ListParagraph"/>
        <w:spacing w:line="360" w:lineRule="auto"/>
        <w:ind w:left="426" w:firstLine="709"/>
        <w:jc w:val="both"/>
        <w:rPr>
          <w:rFonts w:asciiTheme="majorBidi" w:hAnsiTheme="majorBidi" w:cstheme="majorBidi"/>
          <w:sz w:val="24"/>
          <w:szCs w:val="24"/>
          <w:lang w:val="sv-SE"/>
        </w:rPr>
      </w:pPr>
    </w:p>
    <w:p w14:paraId="79FC2A27" w14:textId="3ED77618" w:rsidR="0091193C" w:rsidRPr="00FD3B66" w:rsidRDefault="0091193C" w:rsidP="00877500">
      <w:pPr>
        <w:pStyle w:val="Caption"/>
        <w:jc w:val="center"/>
        <w:rPr>
          <w:rFonts w:asciiTheme="majorBidi" w:hAnsiTheme="majorBidi" w:cstheme="majorBidi"/>
          <w:b/>
          <w:bCs/>
          <w:i w:val="0"/>
          <w:iCs w:val="0"/>
          <w:color w:val="auto"/>
          <w:sz w:val="24"/>
          <w:szCs w:val="24"/>
          <w:lang w:val="sv-SE"/>
        </w:rPr>
      </w:pPr>
      <w:bookmarkStart w:id="17" w:name="_Toc200569475"/>
      <w:bookmarkStart w:id="18" w:name="_Toc200572087"/>
      <w:r w:rsidRPr="00FD3B66">
        <w:rPr>
          <w:rFonts w:asciiTheme="majorBidi" w:hAnsiTheme="majorBidi" w:cstheme="majorBidi"/>
          <w:b/>
          <w:bCs/>
          <w:i w:val="0"/>
          <w:iCs w:val="0"/>
          <w:color w:val="auto"/>
          <w:sz w:val="24"/>
          <w:szCs w:val="24"/>
          <w:lang w:val="sv-SE"/>
        </w:rPr>
        <w:lastRenderedPageBreak/>
        <w:t xml:space="preserve">Tabel 1. </w:t>
      </w:r>
      <w:r w:rsidRPr="0091193C">
        <w:rPr>
          <w:rFonts w:asciiTheme="majorBidi" w:hAnsiTheme="majorBidi" w:cstheme="majorBidi"/>
          <w:b/>
          <w:bCs/>
          <w:i w:val="0"/>
          <w:iCs w:val="0"/>
          <w:color w:val="auto"/>
          <w:sz w:val="24"/>
          <w:szCs w:val="24"/>
        </w:rPr>
        <w:fldChar w:fldCharType="begin"/>
      </w:r>
      <w:r w:rsidRPr="00FD3B66">
        <w:rPr>
          <w:rFonts w:asciiTheme="majorBidi" w:hAnsiTheme="majorBidi" w:cstheme="majorBidi"/>
          <w:b/>
          <w:bCs/>
          <w:i w:val="0"/>
          <w:iCs w:val="0"/>
          <w:color w:val="auto"/>
          <w:sz w:val="24"/>
          <w:szCs w:val="24"/>
          <w:lang w:val="sv-SE"/>
        </w:rPr>
        <w:instrText xml:space="preserve"> SEQ Tabel_1. \* ARABIC </w:instrText>
      </w:r>
      <w:r w:rsidRPr="0091193C">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1</w:t>
      </w:r>
      <w:r w:rsidRPr="0091193C">
        <w:rPr>
          <w:rFonts w:asciiTheme="majorBidi" w:hAnsiTheme="majorBidi" w:cstheme="majorBidi"/>
          <w:b/>
          <w:bCs/>
          <w:i w:val="0"/>
          <w:iCs w:val="0"/>
          <w:color w:val="auto"/>
          <w:sz w:val="24"/>
          <w:szCs w:val="24"/>
        </w:rPr>
        <w:fldChar w:fldCharType="end"/>
      </w:r>
      <w:r w:rsidRPr="00FD3B66">
        <w:rPr>
          <w:rFonts w:asciiTheme="majorBidi" w:hAnsiTheme="majorBidi" w:cstheme="majorBidi"/>
          <w:b/>
          <w:bCs/>
          <w:i w:val="0"/>
          <w:iCs w:val="0"/>
          <w:color w:val="auto"/>
          <w:sz w:val="24"/>
          <w:szCs w:val="24"/>
          <w:lang w:val="sv-SE"/>
        </w:rPr>
        <w:t xml:space="preserve"> </w:t>
      </w:r>
      <w:r w:rsidRPr="00FD3B66">
        <w:rPr>
          <w:rFonts w:asciiTheme="majorBidi" w:hAnsiTheme="majorBidi" w:cstheme="majorBidi"/>
          <w:b/>
          <w:bCs/>
          <w:i w:val="0"/>
          <w:iCs w:val="0"/>
          <w:color w:val="auto"/>
          <w:sz w:val="24"/>
          <w:szCs w:val="24"/>
          <w:lang w:val="sv-SE"/>
        </w:rPr>
        <w:br/>
        <w:t xml:space="preserve">Dana Pihak Ketiga (DPK) Deposito Mudharabah </w:t>
      </w:r>
      <w:r w:rsidRPr="00FD3B66">
        <w:rPr>
          <w:rFonts w:asciiTheme="majorBidi" w:hAnsiTheme="majorBidi" w:cstheme="majorBidi"/>
          <w:b/>
          <w:bCs/>
          <w:i w:val="0"/>
          <w:iCs w:val="0"/>
          <w:color w:val="auto"/>
          <w:sz w:val="24"/>
          <w:szCs w:val="24"/>
          <w:lang w:val="sv-SE"/>
        </w:rPr>
        <w:br/>
      </w:r>
      <w:r w:rsidRPr="0091193C">
        <w:rPr>
          <w:rFonts w:asciiTheme="majorBidi" w:hAnsiTheme="majorBidi" w:cstheme="majorBidi"/>
          <w:b/>
          <w:bCs/>
          <w:i w:val="0"/>
          <w:iCs w:val="0"/>
          <w:color w:val="auto"/>
          <w:sz w:val="24"/>
          <w:szCs w:val="24"/>
          <w:lang w:val="sv-SE"/>
        </w:rPr>
        <w:t>Perbankan Syariah Periode 2021-2024 (Dalam Miliar Rupiah)</w:t>
      </w:r>
      <w:bookmarkEnd w:id="17"/>
      <w:bookmarkEnd w:id="18"/>
    </w:p>
    <w:p w14:paraId="42178BE4" w14:textId="1202F411" w:rsidR="00B51544" w:rsidRPr="00432CBC" w:rsidRDefault="001F420D" w:rsidP="00432CBC">
      <w:pPr>
        <w:pStyle w:val="ListParagraph"/>
        <w:spacing w:line="240" w:lineRule="auto"/>
        <w:ind w:left="426" w:firstLine="709"/>
        <w:jc w:val="center"/>
        <w:rPr>
          <w:rFonts w:asciiTheme="majorBidi" w:hAnsiTheme="majorBidi" w:cstheme="majorBidi"/>
          <w:noProof/>
          <w:sz w:val="24"/>
          <w:szCs w:val="24"/>
          <w:lang w:val="sv-SE"/>
        </w:rPr>
      </w:pPr>
      <w:r w:rsidRPr="00826ACC">
        <w:rPr>
          <w:noProof/>
        </w:rPr>
        <w:drawing>
          <wp:anchor distT="0" distB="0" distL="114300" distR="114300" simplePos="0" relativeHeight="251788288" behindDoc="0" locked="0" layoutInCell="1" allowOverlap="1" wp14:anchorId="0586C957" wp14:editId="5AB9BCA7">
            <wp:simplePos x="0" y="0"/>
            <wp:positionH relativeFrom="column">
              <wp:posOffset>1080770</wp:posOffset>
            </wp:positionH>
            <wp:positionV relativeFrom="paragraph">
              <wp:posOffset>212725</wp:posOffset>
            </wp:positionV>
            <wp:extent cx="3997960" cy="5534025"/>
            <wp:effectExtent l="0" t="0" r="2540" b="9525"/>
            <wp:wrapSquare wrapText="bothSides"/>
            <wp:docPr id="101632392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7960" cy="5534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7559B0" w14:textId="77777777" w:rsidR="00B51544" w:rsidRPr="00432CBC" w:rsidRDefault="00B51544" w:rsidP="00B51544">
      <w:pPr>
        <w:spacing w:line="360" w:lineRule="auto"/>
        <w:jc w:val="both"/>
        <w:rPr>
          <w:rFonts w:asciiTheme="majorBidi" w:hAnsiTheme="majorBidi" w:cstheme="majorBidi"/>
          <w:sz w:val="24"/>
          <w:szCs w:val="24"/>
          <w:lang w:val="sv-SE"/>
        </w:rPr>
      </w:pPr>
    </w:p>
    <w:p w14:paraId="2DE2BD81"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2C0268A7"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7EDD8DCC"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5320FCBD"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388078D2"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49134516"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6B2174F8"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4A1C865E"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2E4FB2FF"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0E76951F"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167C8F82"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0A0ED372"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27A4F246" w14:textId="77777777"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5CFE58E1" w14:textId="77777777" w:rsidR="00432CBC" w:rsidRDefault="00432CBC" w:rsidP="00B51544">
      <w:pPr>
        <w:pStyle w:val="ListParagraph"/>
        <w:spacing w:line="360" w:lineRule="auto"/>
        <w:ind w:left="426" w:firstLine="709"/>
        <w:jc w:val="both"/>
        <w:rPr>
          <w:rFonts w:asciiTheme="majorBidi" w:hAnsiTheme="majorBidi" w:cstheme="majorBidi"/>
          <w:sz w:val="24"/>
          <w:szCs w:val="24"/>
          <w:lang w:val="sv-SE"/>
        </w:rPr>
      </w:pPr>
    </w:p>
    <w:p w14:paraId="1E56A8C0" w14:textId="77777777" w:rsidR="00CE0E1B" w:rsidRDefault="00CE0E1B" w:rsidP="00B51544">
      <w:pPr>
        <w:pStyle w:val="ListParagraph"/>
        <w:spacing w:line="360" w:lineRule="auto"/>
        <w:ind w:left="426" w:firstLine="709"/>
        <w:jc w:val="both"/>
        <w:rPr>
          <w:rFonts w:asciiTheme="majorBidi" w:hAnsiTheme="majorBidi" w:cstheme="majorBidi"/>
          <w:sz w:val="24"/>
          <w:szCs w:val="24"/>
          <w:lang w:val="sv-SE"/>
        </w:rPr>
      </w:pPr>
    </w:p>
    <w:p w14:paraId="76F3EFA3" w14:textId="77777777" w:rsidR="00CE0E1B" w:rsidRDefault="00CE0E1B" w:rsidP="00B51544">
      <w:pPr>
        <w:pStyle w:val="ListParagraph"/>
        <w:spacing w:line="360" w:lineRule="auto"/>
        <w:ind w:left="426" w:firstLine="709"/>
        <w:jc w:val="both"/>
        <w:rPr>
          <w:rFonts w:asciiTheme="majorBidi" w:hAnsiTheme="majorBidi" w:cstheme="majorBidi"/>
          <w:sz w:val="24"/>
          <w:szCs w:val="24"/>
          <w:lang w:val="sv-SE"/>
        </w:rPr>
      </w:pPr>
    </w:p>
    <w:p w14:paraId="5558898C" w14:textId="77777777" w:rsidR="00CE0E1B" w:rsidRDefault="00CE0E1B" w:rsidP="00B51544">
      <w:pPr>
        <w:pStyle w:val="ListParagraph"/>
        <w:spacing w:line="360" w:lineRule="auto"/>
        <w:ind w:left="426" w:firstLine="709"/>
        <w:jc w:val="both"/>
        <w:rPr>
          <w:rFonts w:asciiTheme="majorBidi" w:hAnsiTheme="majorBidi" w:cstheme="majorBidi"/>
          <w:sz w:val="24"/>
          <w:szCs w:val="24"/>
          <w:lang w:val="sv-SE"/>
        </w:rPr>
      </w:pPr>
    </w:p>
    <w:p w14:paraId="608A66C8" w14:textId="77777777" w:rsidR="00826ACC" w:rsidRDefault="00826ACC" w:rsidP="00B51544">
      <w:pPr>
        <w:pStyle w:val="ListParagraph"/>
        <w:spacing w:line="360" w:lineRule="auto"/>
        <w:ind w:left="426" w:firstLine="709"/>
        <w:jc w:val="both"/>
        <w:rPr>
          <w:rFonts w:asciiTheme="majorBidi" w:hAnsiTheme="majorBidi" w:cstheme="majorBidi"/>
          <w:sz w:val="24"/>
          <w:szCs w:val="24"/>
          <w:lang w:val="sv-SE"/>
        </w:rPr>
      </w:pPr>
    </w:p>
    <w:p w14:paraId="1283DA59" w14:textId="42458859" w:rsidR="00CE0E1B" w:rsidRPr="00FD3B66" w:rsidRDefault="00CE0E1B" w:rsidP="00B51544">
      <w:pPr>
        <w:pStyle w:val="ListParagraph"/>
        <w:spacing w:line="360" w:lineRule="auto"/>
        <w:ind w:left="426" w:firstLine="709"/>
        <w:jc w:val="both"/>
        <w:rPr>
          <w:rFonts w:asciiTheme="majorBidi" w:hAnsiTheme="majorBidi" w:cstheme="majorBidi"/>
          <w:sz w:val="24"/>
          <w:szCs w:val="24"/>
          <w:lang w:val="sv-SE"/>
        </w:rPr>
      </w:pPr>
    </w:p>
    <w:p w14:paraId="569DCBAE" w14:textId="66961DB7" w:rsidR="00432CBC" w:rsidRPr="00FD3B66" w:rsidRDefault="001F420D"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noProof/>
          <w:sz w:val="24"/>
          <w:szCs w:val="24"/>
          <w:lang w:val="sv-SE"/>
        </w:rPr>
        <mc:AlternateContent>
          <mc:Choice Requires="wps">
            <w:drawing>
              <wp:anchor distT="0" distB="0" distL="114300" distR="114300" simplePos="0" relativeHeight="251697152" behindDoc="0" locked="0" layoutInCell="1" allowOverlap="1" wp14:anchorId="51A1595D" wp14:editId="343A7A1D">
                <wp:simplePos x="0" y="0"/>
                <wp:positionH relativeFrom="column">
                  <wp:posOffset>1081494</wp:posOffset>
                </wp:positionH>
                <wp:positionV relativeFrom="paragraph">
                  <wp:posOffset>111834</wp:posOffset>
                </wp:positionV>
                <wp:extent cx="2958861" cy="301924"/>
                <wp:effectExtent l="0" t="0" r="0" b="3175"/>
                <wp:wrapNone/>
                <wp:docPr id="2054572954" name="Text Box 8"/>
                <wp:cNvGraphicFramePr/>
                <a:graphic xmlns:a="http://schemas.openxmlformats.org/drawingml/2006/main">
                  <a:graphicData uri="http://schemas.microsoft.com/office/word/2010/wordprocessingShape">
                    <wps:wsp>
                      <wps:cNvSpPr txBox="1"/>
                      <wps:spPr>
                        <a:xfrm>
                          <a:off x="0" y="0"/>
                          <a:ext cx="2958861" cy="30192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C142F5" w14:textId="258AACCD" w:rsidR="00891D66" w:rsidRPr="00891D66" w:rsidRDefault="00891D66">
                            <w:pPr>
                              <w:rPr>
                                <w:rFonts w:asciiTheme="majorBidi" w:hAnsiTheme="majorBidi" w:cstheme="majorBidi"/>
                                <w:sz w:val="24"/>
                                <w:szCs w:val="24"/>
                                <w:lang w:val="en-US"/>
                              </w:rPr>
                            </w:pPr>
                            <w:r w:rsidRPr="00891D66">
                              <w:rPr>
                                <w:rFonts w:asciiTheme="majorBidi" w:hAnsiTheme="majorBidi" w:cstheme="majorBidi"/>
                                <w:sz w:val="24"/>
                                <w:szCs w:val="24"/>
                                <w:lang w:val="en-US"/>
                              </w:rPr>
                              <w:t>Sumber : Laporan Keuangan Bank Syariah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A1595D" id="_x0000_t202" coordsize="21600,21600" o:spt="202" path="m,l,21600r21600,l21600,xe">
                <v:stroke joinstyle="miter"/>
                <v:path gradientshapeok="t" o:connecttype="rect"/>
              </v:shapetype>
              <v:shape id="Text Box 8" o:spid="_x0000_s1026" type="#_x0000_t202" style="position:absolute;left:0;text-align:left;margin-left:85.15pt;margin-top:8.8pt;width:233pt;height:23.7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" filled="f" stroked="f">
                <v:textbox>
                  <w:txbxContent>
                    <w:p w14:paraId="2CC142F5" w14:textId="258AACCD" w:rsidR="00891D66" w:rsidRPr="00891D66" w:rsidRDefault="00891D66">
                      <w:pPr>
                        <w:rPr>
                          <w:rFonts w:asciiTheme="majorBidi" w:hAnsiTheme="majorBidi" w:cstheme="majorBidi"/>
                          <w:sz w:val="24"/>
                          <w:szCs w:val="24"/>
                          <w:lang w:val="en-US"/>
                        </w:rPr>
                      </w:pPr>
                      <w:r w:rsidRPr="00891D66">
                        <w:rPr>
                          <w:rFonts w:asciiTheme="majorBidi" w:hAnsiTheme="majorBidi" w:cstheme="majorBidi"/>
                          <w:sz w:val="24"/>
                          <w:szCs w:val="24"/>
                          <w:lang w:val="en-US"/>
                        </w:rPr>
                        <w:t>Sumber : Laporan Keuangan Bank Syariah</w:t>
                      </w:r>
                    </w:p>
                  </w:txbxContent>
                </v:textbox>
              </v:shape>
            </w:pict>
          </mc:Fallback>
        </mc:AlternateContent>
      </w:r>
    </w:p>
    <w:p w14:paraId="352A0023" w14:textId="54B95F9E" w:rsidR="00432CBC" w:rsidRPr="00FD3B66" w:rsidRDefault="00432CBC" w:rsidP="00B51544">
      <w:pPr>
        <w:pStyle w:val="ListParagraph"/>
        <w:spacing w:line="360" w:lineRule="auto"/>
        <w:ind w:left="426" w:firstLine="709"/>
        <w:jc w:val="both"/>
        <w:rPr>
          <w:rFonts w:asciiTheme="majorBidi" w:hAnsiTheme="majorBidi" w:cstheme="majorBidi"/>
          <w:sz w:val="24"/>
          <w:szCs w:val="24"/>
          <w:lang w:val="sv-SE"/>
        </w:rPr>
      </w:pPr>
    </w:p>
    <w:p w14:paraId="72569EAB" w14:textId="1495D535" w:rsidR="00BE0174" w:rsidRPr="00FD3B66" w:rsidRDefault="009018E1" w:rsidP="00B51544">
      <w:pPr>
        <w:pStyle w:val="ListParagraph"/>
        <w:spacing w:line="360" w:lineRule="auto"/>
        <w:ind w:left="426" w:firstLine="709"/>
        <w:jc w:val="both"/>
        <w:rPr>
          <w:rFonts w:asciiTheme="majorBidi" w:hAnsiTheme="majorBidi" w:cstheme="majorBidi"/>
          <w:sz w:val="24"/>
          <w:szCs w:val="24"/>
          <w:lang w:val="sv-SE"/>
        </w:rPr>
      </w:pPr>
      <w:r w:rsidRPr="00FD3B66">
        <w:rPr>
          <w:rFonts w:asciiTheme="majorBidi" w:hAnsiTheme="majorBidi" w:cstheme="majorBidi"/>
          <w:sz w:val="24"/>
          <w:szCs w:val="24"/>
          <w:lang w:val="sv-SE"/>
        </w:rPr>
        <w:t xml:space="preserve">Dari Gambar Tabel di atas menggambarkan pertumbuhan Dana Pihak Ketiga (DPK) dari Deposito Mudharabah </w:t>
      </w:r>
      <w:r w:rsidR="00D9196C" w:rsidRPr="00FD3B66">
        <w:rPr>
          <w:rFonts w:asciiTheme="majorBidi" w:hAnsiTheme="majorBidi" w:cstheme="majorBidi"/>
          <w:sz w:val="24"/>
          <w:szCs w:val="24"/>
          <w:lang w:val="sv-SE"/>
        </w:rPr>
        <w:t xml:space="preserve">Perbankan Syariah DI Indonesia </w:t>
      </w:r>
      <w:r w:rsidRPr="00FD3B66">
        <w:rPr>
          <w:rFonts w:asciiTheme="majorBidi" w:hAnsiTheme="majorBidi" w:cstheme="majorBidi"/>
          <w:sz w:val="24"/>
          <w:szCs w:val="24"/>
          <w:lang w:val="sv-SE"/>
        </w:rPr>
        <w:t xml:space="preserve">menunjukkan kecenderungan yang stabil selama empat tahun terakhir. </w:t>
      </w:r>
      <w:r w:rsidR="00335B29" w:rsidRPr="00FD3B66">
        <w:rPr>
          <w:rFonts w:asciiTheme="majorBidi" w:hAnsiTheme="majorBidi" w:cstheme="majorBidi"/>
          <w:sz w:val="24"/>
          <w:szCs w:val="24"/>
          <w:lang w:val="sv-SE"/>
        </w:rPr>
        <w:t>Pada tahun 202</w:t>
      </w:r>
      <w:r w:rsidR="009E6C99" w:rsidRPr="00FD3B66">
        <w:rPr>
          <w:rFonts w:asciiTheme="majorBidi" w:hAnsiTheme="majorBidi" w:cstheme="majorBidi"/>
          <w:sz w:val="24"/>
          <w:szCs w:val="24"/>
          <w:lang w:val="sv-SE"/>
        </w:rPr>
        <w:t>4</w:t>
      </w:r>
      <w:r w:rsidR="00335B29" w:rsidRPr="00FD3B66">
        <w:rPr>
          <w:rFonts w:asciiTheme="majorBidi" w:hAnsiTheme="majorBidi" w:cstheme="majorBidi"/>
          <w:sz w:val="24"/>
          <w:szCs w:val="24"/>
          <w:lang w:val="sv-SE"/>
        </w:rPr>
        <w:t xml:space="preserve">, jumlah deposito mudharabah tertinggi tercatat di Bank Syariah Indonesia, mencapai nilai sebesar </w:t>
      </w:r>
      <w:r w:rsidR="00891D66" w:rsidRPr="00FD3B66">
        <w:rPr>
          <w:rFonts w:asciiTheme="majorBidi" w:hAnsiTheme="majorBidi" w:cstheme="majorBidi"/>
          <w:sz w:val="24"/>
          <w:szCs w:val="24"/>
          <w:lang w:val="sv-SE"/>
        </w:rPr>
        <w:t xml:space="preserve">Rp. </w:t>
      </w:r>
      <w:r w:rsidR="008B5C91" w:rsidRPr="00FD3B66">
        <w:rPr>
          <w:rFonts w:asciiTheme="majorBidi" w:hAnsiTheme="majorBidi" w:cstheme="majorBidi"/>
          <w:sz w:val="24"/>
          <w:szCs w:val="24"/>
          <w:lang w:val="sv-SE"/>
        </w:rPr>
        <w:t>130,678 Miliyar</w:t>
      </w:r>
      <w:r w:rsidR="00335B29" w:rsidRPr="00FD3B66">
        <w:rPr>
          <w:rFonts w:asciiTheme="majorBidi" w:hAnsiTheme="majorBidi" w:cstheme="majorBidi"/>
          <w:sz w:val="24"/>
          <w:szCs w:val="24"/>
          <w:lang w:val="sv-SE"/>
        </w:rPr>
        <w:t xml:space="preserve">. Diikuti oleh Bank Muamalat Indonesia, yang mencatatkan deposito mudharabah sebesar </w:t>
      </w:r>
      <w:r w:rsidR="008B5C91" w:rsidRPr="00FD3B66">
        <w:rPr>
          <w:rFonts w:asciiTheme="majorBidi" w:hAnsiTheme="majorBidi" w:cstheme="majorBidi"/>
          <w:sz w:val="24"/>
          <w:szCs w:val="24"/>
          <w:lang w:val="sv-SE"/>
        </w:rPr>
        <w:t>19,280 Miliyar</w:t>
      </w:r>
      <w:r w:rsidR="00335B29" w:rsidRPr="00FD3B66">
        <w:rPr>
          <w:rFonts w:asciiTheme="majorBidi" w:hAnsiTheme="majorBidi" w:cstheme="majorBidi"/>
          <w:sz w:val="24"/>
          <w:szCs w:val="24"/>
          <w:lang w:val="sv-SE"/>
        </w:rPr>
        <w:t xml:space="preserve">. Jika dibandingkan dengan Bank Mega Syariah, BTPN Syariah, BCA Syariah, </w:t>
      </w:r>
      <w:r w:rsidR="00335B29" w:rsidRPr="00FD3B66">
        <w:rPr>
          <w:rFonts w:asciiTheme="majorBidi" w:hAnsiTheme="majorBidi" w:cstheme="majorBidi"/>
          <w:sz w:val="24"/>
          <w:szCs w:val="24"/>
          <w:lang w:val="sv-SE"/>
        </w:rPr>
        <w:lastRenderedPageBreak/>
        <w:t>dan Bank Panin Dubai Syariah</w:t>
      </w:r>
      <w:r w:rsidR="0080664A" w:rsidRPr="00FD3B66">
        <w:rPr>
          <w:rFonts w:asciiTheme="majorBidi" w:hAnsiTheme="majorBidi" w:cstheme="majorBidi"/>
          <w:sz w:val="24"/>
          <w:szCs w:val="24"/>
          <w:lang w:val="sv-SE"/>
        </w:rPr>
        <w:t>. Sesuai data tersebut</w:t>
      </w:r>
      <w:r w:rsidR="00D9196C" w:rsidRPr="00FD3B66">
        <w:rPr>
          <w:rFonts w:asciiTheme="majorBidi" w:hAnsiTheme="majorBidi" w:cstheme="majorBidi"/>
          <w:sz w:val="24"/>
          <w:szCs w:val="24"/>
          <w:lang w:val="sv-SE"/>
        </w:rPr>
        <w:t>,</w:t>
      </w:r>
      <w:r w:rsidR="0080664A" w:rsidRPr="00FD3B66">
        <w:rPr>
          <w:rFonts w:asciiTheme="majorBidi" w:hAnsiTheme="majorBidi" w:cstheme="majorBidi"/>
          <w:sz w:val="24"/>
          <w:szCs w:val="24"/>
          <w:lang w:val="sv-SE"/>
        </w:rPr>
        <w:t xml:space="preserve"> BSI memang menjadi BUS dengan </w:t>
      </w:r>
      <w:r w:rsidR="009E6C99" w:rsidRPr="00FD3B66">
        <w:rPr>
          <w:rFonts w:asciiTheme="majorBidi" w:hAnsiTheme="majorBidi" w:cstheme="majorBidi"/>
          <w:sz w:val="24"/>
          <w:szCs w:val="24"/>
          <w:lang w:val="sv-SE"/>
        </w:rPr>
        <w:t>ang</w:t>
      </w:r>
      <w:r w:rsidR="0080664A" w:rsidRPr="00FD3B66">
        <w:rPr>
          <w:rFonts w:asciiTheme="majorBidi" w:hAnsiTheme="majorBidi" w:cstheme="majorBidi"/>
          <w:sz w:val="24"/>
          <w:szCs w:val="24"/>
          <w:lang w:val="sv-SE"/>
        </w:rPr>
        <w:t>ka deposito mudharabah tertinggi</w:t>
      </w:r>
      <w:r w:rsidR="00335B29" w:rsidRPr="00FD3B66">
        <w:rPr>
          <w:rFonts w:asciiTheme="majorBidi" w:hAnsiTheme="majorBidi" w:cstheme="majorBidi"/>
          <w:sz w:val="24"/>
          <w:szCs w:val="24"/>
          <w:lang w:val="sv-SE"/>
        </w:rPr>
        <w:t>.</w:t>
      </w:r>
      <w:r w:rsidR="00E01645" w:rsidRPr="00B51544">
        <w:rPr>
          <w:rStyle w:val="FootnoteReference"/>
          <w:rFonts w:asciiTheme="majorBidi" w:hAnsiTheme="majorBidi" w:cstheme="majorBidi"/>
          <w:sz w:val="24"/>
          <w:szCs w:val="24"/>
          <w:lang w:val="sv-SE"/>
        </w:rPr>
        <w:footnoteReference w:id="9"/>
      </w:r>
    </w:p>
    <w:p w14:paraId="2A5E067F" w14:textId="77777777" w:rsidR="00852568" w:rsidRDefault="00852568" w:rsidP="00B51544">
      <w:pPr>
        <w:pStyle w:val="ListParagraph"/>
        <w:spacing w:line="360" w:lineRule="auto"/>
        <w:ind w:left="426" w:firstLine="709"/>
        <w:jc w:val="both"/>
        <w:rPr>
          <w:rFonts w:asciiTheme="majorBidi" w:hAnsiTheme="majorBidi" w:cstheme="majorBidi"/>
          <w:sz w:val="24"/>
          <w:szCs w:val="24"/>
          <w:lang w:val="sv-SE"/>
        </w:rPr>
      </w:pPr>
      <w:r w:rsidRPr="00852568">
        <w:rPr>
          <w:rFonts w:asciiTheme="majorBidi" w:hAnsiTheme="majorBidi" w:cstheme="majorBidi"/>
          <w:sz w:val="24"/>
          <w:szCs w:val="24"/>
          <w:lang w:val="sv-SE"/>
        </w:rPr>
        <w:t>Namun, penting untuk diperhatikan bahwa Bank Syariah Indonesia tidak layak dijadikan subjek penelitian karena hanya memiliki laporan keuangan untuk tahun 2021 saja, mengingat BSI merupakan hasil penggabungan dari institusi perbankan syariah yang ada di Indonesia. Oleh karena itu, penulis merasa tertarik untuk melakukan penelitian lebih mendalam pada Bank Muamalat Indonesia (BMI). Ini disebabkan oleh fakta bahwa angka deposito mudharabah di BMI jauh lebih tinggi dibandingkan dengan bank syariah lainnya.</w:t>
      </w:r>
    </w:p>
    <w:p w14:paraId="30F6DB46" w14:textId="61430D03" w:rsidR="001F420D" w:rsidRPr="001F420D" w:rsidRDefault="00852568" w:rsidP="001F420D">
      <w:pPr>
        <w:pStyle w:val="ListParagraph"/>
        <w:spacing w:after="0" w:line="360" w:lineRule="auto"/>
        <w:ind w:left="426" w:firstLine="709"/>
        <w:jc w:val="both"/>
        <w:rPr>
          <w:rFonts w:asciiTheme="majorBidi" w:hAnsiTheme="majorBidi" w:cstheme="majorBidi"/>
          <w:sz w:val="24"/>
          <w:szCs w:val="24"/>
          <w:lang w:val="sv-SE"/>
        </w:rPr>
      </w:pPr>
      <w:r w:rsidRPr="00852568">
        <w:rPr>
          <w:rFonts w:asciiTheme="majorBidi" w:hAnsiTheme="majorBidi" w:cstheme="majorBidi"/>
          <w:sz w:val="24"/>
          <w:szCs w:val="24"/>
          <w:lang w:val="sv-SE"/>
        </w:rPr>
        <w:t>Dana Pihak Ketiga (DPK) merujuk pada proporsi dana yang dikumpulkan oleh bank-bank secara terpisah. Rasio yang tinggi menunjukkan bahwa masyarakat semakin percaya pada bank tersebut. Sumber dana pihak ketiga dihitung dari penjumlahan giro, tabungan, dan deposito</w:t>
      </w:r>
      <w:r w:rsidR="00204906" w:rsidRPr="00B51544">
        <w:rPr>
          <w:rFonts w:asciiTheme="majorBidi" w:hAnsiTheme="majorBidi" w:cstheme="majorBidi"/>
          <w:sz w:val="24"/>
          <w:szCs w:val="24"/>
          <w:lang w:val="sv-SE"/>
        </w:rPr>
        <w:t>.</w:t>
      </w:r>
      <w:r w:rsidR="00204906" w:rsidRPr="00B51544">
        <w:rPr>
          <w:rStyle w:val="FootnoteReference"/>
          <w:rFonts w:asciiTheme="majorBidi" w:hAnsiTheme="majorBidi" w:cstheme="majorBidi"/>
          <w:sz w:val="24"/>
          <w:szCs w:val="24"/>
          <w:lang w:val="sv-SE"/>
        </w:rPr>
        <w:footnoteReference w:id="10"/>
      </w:r>
      <w:r w:rsidR="001F420D">
        <w:rPr>
          <w:rFonts w:asciiTheme="majorBidi" w:hAnsiTheme="majorBidi" w:cstheme="majorBidi"/>
          <w:sz w:val="24"/>
          <w:szCs w:val="24"/>
          <w:lang w:val="sv-SE"/>
        </w:rPr>
        <w:t xml:space="preserve"> </w:t>
      </w:r>
      <w:r w:rsidR="001F420D" w:rsidRPr="001F420D">
        <w:rPr>
          <w:rFonts w:asciiTheme="majorBidi" w:hAnsiTheme="majorBidi" w:cstheme="majorBidi"/>
          <w:sz w:val="24"/>
          <w:szCs w:val="24"/>
          <w:lang w:val="sv-SE"/>
        </w:rPr>
        <w:t>yang masing-masing memiliki karakteristik berbeda. Giro umumnya digunakan untuk transaksi sehari-hari yang memerlukan fleksibilitas tinggi, sedangkan tabungan digunakan sebagai cadangan dana dan sarana menyimpan uang dengan akses yang relatif mudah. Sementara itu, deposito cenderung ditujukan sebagai investasi jangka menengah hingga panjang dengan tingkat imbal hasil yang lebih menarik, sehingga menjadi salah satu sumber utama pembiayaan bagi bank.</w:t>
      </w:r>
    </w:p>
    <w:p w14:paraId="1DF52ECF" w14:textId="001C5552" w:rsidR="00C65BDD" w:rsidRDefault="00204906" w:rsidP="001F420D">
      <w:pPr>
        <w:pStyle w:val="ListParagraph"/>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Investasi diperlukan perilaku dalam pengambilan keputusan berkaitan dengan pemilihan alokasi sejumlah dana yang akan digunakan. Investasi membutuhkan suatu keputusan untuk menentukan mana yang terbaik atau lebih baik dilakukan demi mencapai tujuan atau keuntungan yang diinginkan. Perlu adanya keputusan karena investasi merupakan suatu kegiatan yang memiliki risiko yang dapat menghambat pencapaian tujuan.</w:t>
      </w:r>
      <w:r w:rsidRPr="00B51544">
        <w:rPr>
          <w:rStyle w:val="FootnoteReference"/>
          <w:rFonts w:asciiTheme="majorBidi" w:hAnsiTheme="majorBidi" w:cstheme="majorBidi"/>
          <w:sz w:val="24"/>
          <w:szCs w:val="24"/>
          <w:lang w:val="sv-SE"/>
        </w:rPr>
        <w:footnoteReference w:id="11"/>
      </w:r>
      <w:r w:rsidR="001F420D">
        <w:rPr>
          <w:rFonts w:asciiTheme="majorBidi" w:hAnsiTheme="majorBidi" w:cstheme="majorBidi"/>
          <w:sz w:val="24"/>
          <w:szCs w:val="24"/>
          <w:lang w:val="sv-SE"/>
        </w:rPr>
        <w:t xml:space="preserve"> </w:t>
      </w:r>
      <w:r w:rsidR="002B103F" w:rsidRPr="002B103F">
        <w:rPr>
          <w:rFonts w:asciiTheme="majorBidi" w:hAnsiTheme="majorBidi" w:cstheme="majorBidi"/>
          <w:sz w:val="24"/>
          <w:szCs w:val="24"/>
          <w:lang w:val="sv-SE"/>
        </w:rPr>
        <w:t>Risiko dalam dunia perbankan adalah suatu keadaan yang mungkin terjadi, baik yang dapat diprediksi maupun yang tidak, yang memberikan dampak merugikan pada pendapatan dan modal bank. Dalam pelaksanaan manajemen risiko, pada tahap awal, bank perlu secara akurat mengenali risiko dengan cara mengetahui dan memahami semua risiko yang telah ada</w:t>
      </w:r>
      <w:r w:rsidRPr="00B51544">
        <w:rPr>
          <w:rFonts w:asciiTheme="majorBidi" w:hAnsiTheme="majorBidi" w:cstheme="majorBidi"/>
          <w:sz w:val="24"/>
          <w:szCs w:val="24"/>
          <w:lang w:val="sv-SE"/>
        </w:rPr>
        <w:t>.</w:t>
      </w:r>
      <w:r w:rsidRPr="00B51544">
        <w:rPr>
          <w:rStyle w:val="FootnoteReference"/>
          <w:rFonts w:asciiTheme="majorBidi" w:hAnsiTheme="majorBidi" w:cstheme="majorBidi"/>
          <w:sz w:val="24"/>
          <w:szCs w:val="24"/>
          <w:lang w:val="sv-SE"/>
        </w:rPr>
        <w:footnoteReference w:id="12"/>
      </w:r>
    </w:p>
    <w:p w14:paraId="40061A60" w14:textId="77777777" w:rsidR="0091193C" w:rsidRDefault="0091193C" w:rsidP="00B51544">
      <w:pPr>
        <w:spacing w:line="360" w:lineRule="auto"/>
        <w:ind w:left="426" w:firstLine="709"/>
        <w:jc w:val="both"/>
        <w:rPr>
          <w:rFonts w:asciiTheme="majorBidi" w:hAnsiTheme="majorBidi" w:cstheme="majorBidi"/>
          <w:sz w:val="24"/>
          <w:szCs w:val="24"/>
          <w:lang w:val="sv-SE"/>
        </w:rPr>
      </w:pPr>
    </w:p>
    <w:p w14:paraId="289B8F0E" w14:textId="77777777" w:rsidR="0091193C" w:rsidRPr="00B51544" w:rsidRDefault="0091193C" w:rsidP="00B51544">
      <w:pPr>
        <w:spacing w:line="360" w:lineRule="auto"/>
        <w:ind w:left="426" w:firstLine="709"/>
        <w:jc w:val="both"/>
        <w:rPr>
          <w:rFonts w:asciiTheme="majorBidi" w:hAnsiTheme="majorBidi" w:cstheme="majorBidi"/>
          <w:sz w:val="24"/>
          <w:szCs w:val="24"/>
          <w:lang w:val="sv-SE"/>
        </w:rPr>
      </w:pPr>
    </w:p>
    <w:p w14:paraId="456C9EA2" w14:textId="6F1B2C2E" w:rsidR="00D1413E" w:rsidRPr="00D17A2E" w:rsidRDefault="00D1413E" w:rsidP="00877500">
      <w:pPr>
        <w:pStyle w:val="Caption"/>
        <w:jc w:val="center"/>
        <w:rPr>
          <w:rFonts w:asciiTheme="majorBidi" w:hAnsiTheme="majorBidi" w:cstheme="majorBidi"/>
          <w:b/>
          <w:bCs/>
          <w:i w:val="0"/>
          <w:iCs w:val="0"/>
          <w:color w:val="auto"/>
          <w:sz w:val="24"/>
          <w:szCs w:val="24"/>
          <w:lang w:val="sv-SE"/>
        </w:rPr>
      </w:pPr>
      <w:bookmarkStart w:id="19" w:name="_Toc200569476"/>
      <w:bookmarkStart w:id="20" w:name="_Toc200572088"/>
      <w:r w:rsidRPr="00D17A2E">
        <w:rPr>
          <w:rFonts w:asciiTheme="majorBidi" w:hAnsiTheme="majorBidi" w:cstheme="majorBidi"/>
          <w:b/>
          <w:bCs/>
          <w:i w:val="0"/>
          <w:iCs w:val="0"/>
          <w:color w:val="auto"/>
          <w:sz w:val="24"/>
          <w:szCs w:val="24"/>
          <w:lang w:val="sv-SE"/>
        </w:rPr>
        <w:lastRenderedPageBreak/>
        <w:t xml:space="preserve">Tabel 1. </w:t>
      </w:r>
      <w:r w:rsidRPr="00D1413E">
        <w:rPr>
          <w:rFonts w:asciiTheme="majorBidi" w:hAnsiTheme="majorBidi" w:cstheme="majorBidi"/>
          <w:b/>
          <w:bCs/>
          <w:i w:val="0"/>
          <w:iCs w:val="0"/>
          <w:color w:val="auto"/>
          <w:sz w:val="24"/>
          <w:szCs w:val="24"/>
        </w:rPr>
        <w:fldChar w:fldCharType="begin"/>
      </w:r>
      <w:r w:rsidRPr="00D17A2E">
        <w:rPr>
          <w:rFonts w:asciiTheme="majorBidi" w:hAnsiTheme="majorBidi" w:cstheme="majorBidi"/>
          <w:b/>
          <w:bCs/>
          <w:i w:val="0"/>
          <w:iCs w:val="0"/>
          <w:color w:val="auto"/>
          <w:sz w:val="24"/>
          <w:szCs w:val="24"/>
          <w:lang w:val="sv-SE"/>
        </w:rPr>
        <w:instrText xml:space="preserve"> SEQ Tabel_1. \* ARABIC </w:instrText>
      </w:r>
      <w:r w:rsidRPr="00D1413E">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2</w:t>
      </w:r>
      <w:r w:rsidRPr="00D1413E">
        <w:rPr>
          <w:rFonts w:asciiTheme="majorBidi" w:hAnsiTheme="majorBidi" w:cstheme="majorBidi"/>
          <w:b/>
          <w:bCs/>
          <w:i w:val="0"/>
          <w:iCs w:val="0"/>
          <w:color w:val="auto"/>
          <w:sz w:val="24"/>
          <w:szCs w:val="24"/>
        </w:rPr>
        <w:fldChar w:fldCharType="end"/>
      </w:r>
      <w:r w:rsidRPr="00D17A2E">
        <w:rPr>
          <w:rFonts w:asciiTheme="majorBidi" w:hAnsiTheme="majorBidi" w:cstheme="majorBidi"/>
          <w:b/>
          <w:bCs/>
          <w:i w:val="0"/>
          <w:iCs w:val="0"/>
          <w:color w:val="auto"/>
          <w:sz w:val="24"/>
          <w:szCs w:val="24"/>
          <w:lang w:val="sv-SE"/>
        </w:rPr>
        <w:t xml:space="preserve"> </w:t>
      </w:r>
      <w:r w:rsidRPr="00D17A2E">
        <w:rPr>
          <w:rFonts w:asciiTheme="majorBidi" w:hAnsiTheme="majorBidi" w:cstheme="majorBidi"/>
          <w:b/>
          <w:bCs/>
          <w:i w:val="0"/>
          <w:iCs w:val="0"/>
          <w:color w:val="auto"/>
          <w:sz w:val="24"/>
          <w:szCs w:val="24"/>
          <w:lang w:val="sv-SE"/>
        </w:rPr>
        <w:br/>
        <w:t xml:space="preserve">Dana Pihak Ketiga (DPK) Deposito Mudharabah </w:t>
      </w:r>
      <w:r w:rsidRPr="00D17A2E">
        <w:rPr>
          <w:rFonts w:asciiTheme="majorBidi" w:hAnsiTheme="majorBidi" w:cstheme="majorBidi"/>
          <w:b/>
          <w:bCs/>
          <w:i w:val="0"/>
          <w:iCs w:val="0"/>
          <w:color w:val="auto"/>
          <w:sz w:val="24"/>
          <w:szCs w:val="24"/>
          <w:lang w:val="sv-SE"/>
        </w:rPr>
        <w:br/>
        <w:t>Bank Muamalat Indonesia Tahun 2017-2024 (Dalam Miliar Rupiah)</w:t>
      </w:r>
      <w:bookmarkEnd w:id="19"/>
      <w:bookmarkEnd w:id="20"/>
    </w:p>
    <w:p w14:paraId="04DFBB98" w14:textId="71881692" w:rsidR="00335B29" w:rsidRPr="00D17A2E" w:rsidRDefault="00826ACC" w:rsidP="00C616B5">
      <w:pPr>
        <w:spacing w:line="360" w:lineRule="auto"/>
        <w:jc w:val="both"/>
        <w:rPr>
          <w:rFonts w:asciiTheme="majorBidi" w:hAnsiTheme="majorBidi" w:cstheme="majorBidi"/>
          <w:noProof/>
          <w:sz w:val="24"/>
          <w:szCs w:val="24"/>
          <w:lang w:val="sv-SE"/>
        </w:rPr>
      </w:pPr>
      <w:r w:rsidRPr="00826ACC">
        <w:rPr>
          <w:noProof/>
        </w:rPr>
        <w:drawing>
          <wp:anchor distT="0" distB="0" distL="114300" distR="114300" simplePos="0" relativeHeight="251789312" behindDoc="0" locked="0" layoutInCell="1" allowOverlap="1" wp14:anchorId="4B25B15C" wp14:editId="6A4C003E">
            <wp:simplePos x="0" y="0"/>
            <wp:positionH relativeFrom="column">
              <wp:posOffset>890270</wp:posOffset>
            </wp:positionH>
            <wp:positionV relativeFrom="paragraph">
              <wp:posOffset>78105</wp:posOffset>
            </wp:positionV>
            <wp:extent cx="4387215" cy="2295525"/>
            <wp:effectExtent l="0" t="0" r="0" b="9525"/>
            <wp:wrapSquare wrapText="bothSides"/>
            <wp:docPr id="95985342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87215" cy="2295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19D3" w14:textId="4A79B871" w:rsidR="008F6B49" w:rsidRPr="00D17A2E" w:rsidRDefault="008F6B49" w:rsidP="00B51544">
      <w:pPr>
        <w:spacing w:line="360" w:lineRule="auto"/>
        <w:ind w:firstLine="491"/>
        <w:jc w:val="both"/>
        <w:rPr>
          <w:rFonts w:asciiTheme="majorBidi" w:hAnsiTheme="majorBidi" w:cstheme="majorBidi"/>
          <w:noProof/>
          <w:sz w:val="24"/>
          <w:szCs w:val="24"/>
          <w:lang w:val="sv-SE"/>
        </w:rPr>
      </w:pPr>
    </w:p>
    <w:p w14:paraId="2D107B36" w14:textId="0DB7B5E8" w:rsidR="008F6B49" w:rsidRPr="00D17A2E" w:rsidRDefault="008F6B49" w:rsidP="00B51544">
      <w:pPr>
        <w:spacing w:line="360" w:lineRule="auto"/>
        <w:ind w:firstLine="491"/>
        <w:jc w:val="both"/>
        <w:rPr>
          <w:rFonts w:asciiTheme="majorBidi" w:hAnsiTheme="majorBidi" w:cstheme="majorBidi"/>
          <w:sz w:val="24"/>
          <w:szCs w:val="24"/>
          <w:lang w:val="sv-SE"/>
        </w:rPr>
      </w:pPr>
    </w:p>
    <w:p w14:paraId="0CBECA70" w14:textId="235B4B31" w:rsidR="006C7242" w:rsidRPr="00D17A2E" w:rsidRDefault="006C7242" w:rsidP="00B51544">
      <w:pPr>
        <w:spacing w:line="360" w:lineRule="auto"/>
        <w:ind w:firstLine="491"/>
        <w:jc w:val="both"/>
        <w:rPr>
          <w:rFonts w:asciiTheme="majorBidi" w:hAnsiTheme="majorBidi" w:cstheme="majorBidi"/>
          <w:noProof/>
          <w:sz w:val="24"/>
          <w:szCs w:val="24"/>
          <w:lang w:val="sv-SE"/>
        </w:rPr>
      </w:pPr>
    </w:p>
    <w:p w14:paraId="1251B2BD" w14:textId="583F983F" w:rsidR="00E47935" w:rsidRPr="00D17A2E" w:rsidRDefault="00E47935" w:rsidP="00B51544">
      <w:pPr>
        <w:spacing w:line="360" w:lineRule="auto"/>
        <w:jc w:val="both"/>
        <w:rPr>
          <w:rFonts w:asciiTheme="majorBidi" w:hAnsiTheme="majorBidi" w:cstheme="majorBidi"/>
          <w:sz w:val="24"/>
          <w:szCs w:val="24"/>
          <w:lang w:val="sv-SE"/>
        </w:rPr>
      </w:pPr>
    </w:p>
    <w:p w14:paraId="0B8C36A2" w14:textId="2DEAD5C6" w:rsidR="008F6B49" w:rsidRPr="00D17A2E" w:rsidRDefault="008F6B49" w:rsidP="00B51544">
      <w:pPr>
        <w:spacing w:line="360" w:lineRule="auto"/>
        <w:ind w:left="426" w:firstLine="709"/>
        <w:jc w:val="both"/>
        <w:rPr>
          <w:rFonts w:asciiTheme="majorBidi" w:hAnsiTheme="majorBidi" w:cstheme="majorBidi"/>
          <w:sz w:val="24"/>
          <w:szCs w:val="24"/>
          <w:lang w:val="sv-SE"/>
        </w:rPr>
      </w:pPr>
    </w:p>
    <w:p w14:paraId="53CC5DDC" w14:textId="2517C74D" w:rsidR="008F6B49" w:rsidRPr="00D17A2E" w:rsidRDefault="00826ACC" w:rsidP="00B51544">
      <w:pPr>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noProof/>
          <w:sz w:val="24"/>
          <w:szCs w:val="24"/>
          <w:lang w:val="sv-SE"/>
        </w:rPr>
        <mc:AlternateContent>
          <mc:Choice Requires="wps">
            <w:drawing>
              <wp:anchor distT="0" distB="0" distL="114300" distR="114300" simplePos="0" relativeHeight="251678720" behindDoc="0" locked="0" layoutInCell="1" allowOverlap="1" wp14:anchorId="7DCC4144" wp14:editId="037D9996">
                <wp:simplePos x="0" y="0"/>
                <wp:positionH relativeFrom="column">
                  <wp:posOffset>885825</wp:posOffset>
                </wp:positionH>
                <wp:positionV relativeFrom="paragraph">
                  <wp:posOffset>288925</wp:posOffset>
                </wp:positionV>
                <wp:extent cx="3657600" cy="295275"/>
                <wp:effectExtent l="0" t="0" r="0" b="9525"/>
                <wp:wrapNone/>
                <wp:docPr id="895253284" name="Text Box 4"/>
                <wp:cNvGraphicFramePr/>
                <a:graphic xmlns:a="http://schemas.openxmlformats.org/drawingml/2006/main">
                  <a:graphicData uri="http://schemas.microsoft.com/office/word/2010/wordprocessingShape">
                    <wps:wsp>
                      <wps:cNvSpPr txBox="1"/>
                      <wps:spPr>
                        <a:xfrm>
                          <a:off x="0" y="0"/>
                          <a:ext cx="3657600" cy="2952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9090CE" w14:textId="215575D3" w:rsidR="00630406" w:rsidRPr="00325C4B" w:rsidRDefault="00630406">
                            <w:pPr>
                              <w:rPr>
                                <w:rFonts w:asciiTheme="majorBidi" w:hAnsiTheme="majorBidi" w:cstheme="majorBidi"/>
                                <w:sz w:val="24"/>
                                <w:szCs w:val="24"/>
                              </w:rPr>
                            </w:pPr>
                            <w:r w:rsidRPr="00325C4B">
                              <w:rPr>
                                <w:rFonts w:asciiTheme="majorBidi" w:hAnsiTheme="majorBidi" w:cstheme="majorBidi"/>
                                <w:i/>
                                <w:iCs/>
                                <w:sz w:val="24"/>
                                <w:szCs w:val="24"/>
                              </w:rPr>
                              <w:t>Sumber</w:t>
                            </w:r>
                            <w:r w:rsidRPr="00325C4B">
                              <w:rPr>
                                <w:rFonts w:asciiTheme="majorBidi" w:hAnsiTheme="majorBidi" w:cstheme="majorBidi"/>
                                <w:sz w:val="24"/>
                                <w:szCs w:val="24"/>
                              </w:rPr>
                              <w:t xml:space="preserve"> : Laporan Tahunan Bank Muamalat Indonesia</w:t>
                            </w:r>
                            <w:r w:rsidR="001344B0" w:rsidRPr="00325C4B">
                              <w:rPr>
                                <w:rFonts w:asciiTheme="majorBidi" w:hAnsiTheme="majorBidi" w:cstheme="majorBidi"/>
                                <w:sz w:val="24"/>
                                <w:szCs w:val="24"/>
                              </w:rPr>
                              <w:t xml:space="preserve"> (2017-202</w:t>
                            </w:r>
                            <w:r w:rsidR="006C4607" w:rsidRPr="00325C4B">
                              <w:rPr>
                                <w:rFonts w:asciiTheme="majorBidi" w:hAnsiTheme="majorBidi" w:cstheme="majorBidi"/>
                                <w:sz w:val="24"/>
                                <w:szCs w:val="24"/>
                              </w:rPr>
                              <w:t>4</w:t>
                            </w:r>
                            <w:r w:rsidR="001344B0" w:rsidRPr="00325C4B">
                              <w:rPr>
                                <w:rFonts w:asciiTheme="majorBidi" w:hAnsiTheme="majorBidi" w:cstheme="majorBidi"/>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C4144" id="Text Box 4" o:spid="_x0000_s1027" type="#_x0000_t202" style="position:absolute;left:0;text-align:left;margin-left:69.75pt;margin-top:22.75pt;width:4in;height:23.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" filled="f" stroked="f">
                <v:textbox>
                  <w:txbxContent>
                    <w:p w14:paraId="059090CE" w14:textId="215575D3" w:rsidR="00630406" w:rsidRPr="00325C4B" w:rsidRDefault="00630406">
                      <w:pPr>
                        <w:rPr>
                          <w:rFonts w:asciiTheme="majorBidi" w:hAnsiTheme="majorBidi" w:cstheme="majorBidi"/>
                          <w:sz w:val="24"/>
                          <w:szCs w:val="24"/>
                        </w:rPr>
                      </w:pPr>
                      <w:r w:rsidRPr="00325C4B">
                        <w:rPr>
                          <w:rFonts w:asciiTheme="majorBidi" w:hAnsiTheme="majorBidi" w:cstheme="majorBidi"/>
                          <w:i/>
                          <w:iCs/>
                          <w:sz w:val="24"/>
                          <w:szCs w:val="24"/>
                        </w:rPr>
                        <w:t>Sumber</w:t>
                      </w:r>
                      <w:r w:rsidRPr="00325C4B">
                        <w:rPr>
                          <w:rFonts w:asciiTheme="majorBidi" w:hAnsiTheme="majorBidi" w:cstheme="majorBidi"/>
                          <w:sz w:val="24"/>
                          <w:szCs w:val="24"/>
                        </w:rPr>
                        <w:t xml:space="preserve"> : Laporan Tahunan Bank Muamalat Indonesia</w:t>
                      </w:r>
                      <w:r w:rsidR="001344B0" w:rsidRPr="00325C4B">
                        <w:rPr>
                          <w:rFonts w:asciiTheme="majorBidi" w:hAnsiTheme="majorBidi" w:cstheme="majorBidi"/>
                          <w:sz w:val="24"/>
                          <w:szCs w:val="24"/>
                        </w:rPr>
                        <w:t xml:space="preserve"> (2017-202</w:t>
                      </w:r>
                      <w:r w:rsidR="006C4607" w:rsidRPr="00325C4B">
                        <w:rPr>
                          <w:rFonts w:asciiTheme="majorBidi" w:hAnsiTheme="majorBidi" w:cstheme="majorBidi"/>
                          <w:sz w:val="24"/>
                          <w:szCs w:val="24"/>
                        </w:rPr>
                        <w:t>4</w:t>
                      </w:r>
                      <w:r w:rsidR="001344B0" w:rsidRPr="00325C4B">
                        <w:rPr>
                          <w:rFonts w:asciiTheme="majorBidi" w:hAnsiTheme="majorBidi" w:cstheme="majorBidi"/>
                          <w:sz w:val="24"/>
                          <w:szCs w:val="24"/>
                        </w:rPr>
                        <w:t>)</w:t>
                      </w:r>
                    </w:p>
                  </w:txbxContent>
                </v:textbox>
              </v:shape>
            </w:pict>
          </mc:Fallback>
        </mc:AlternateContent>
      </w:r>
    </w:p>
    <w:p w14:paraId="220D5A59" w14:textId="77777777" w:rsidR="00432CBC" w:rsidRDefault="00432CBC" w:rsidP="001F420D">
      <w:pPr>
        <w:spacing w:line="360" w:lineRule="auto"/>
        <w:jc w:val="both"/>
        <w:rPr>
          <w:rFonts w:asciiTheme="majorBidi" w:hAnsiTheme="majorBidi" w:cstheme="majorBidi"/>
          <w:sz w:val="24"/>
          <w:szCs w:val="24"/>
          <w:lang w:val="sv-SE"/>
        </w:rPr>
      </w:pPr>
    </w:p>
    <w:p w14:paraId="480087F8" w14:textId="5031D035" w:rsidR="00BE0174" w:rsidRPr="00B51544" w:rsidRDefault="00335B29" w:rsidP="00FE470D">
      <w:pPr>
        <w:spacing w:after="0" w:line="360" w:lineRule="auto"/>
        <w:ind w:left="426" w:firstLine="709"/>
        <w:jc w:val="both"/>
        <w:rPr>
          <w:rFonts w:asciiTheme="majorBidi" w:hAnsiTheme="majorBidi" w:cstheme="majorBidi"/>
          <w:sz w:val="24"/>
          <w:szCs w:val="24"/>
          <w:lang w:val="sv-SE"/>
        </w:rPr>
      </w:pPr>
      <w:r w:rsidRPr="00D17A2E">
        <w:rPr>
          <w:rFonts w:asciiTheme="majorBidi" w:hAnsiTheme="majorBidi" w:cstheme="majorBidi"/>
          <w:sz w:val="24"/>
          <w:szCs w:val="24"/>
          <w:lang w:val="sv-SE"/>
        </w:rPr>
        <w:t xml:space="preserve">Jumlah deposito mudharabah di Bank Muamalat Indonesia mengalami </w:t>
      </w:r>
      <w:r w:rsidR="00BC4977" w:rsidRPr="00D17A2E">
        <w:rPr>
          <w:rFonts w:asciiTheme="majorBidi" w:hAnsiTheme="majorBidi" w:cstheme="majorBidi"/>
          <w:sz w:val="24"/>
          <w:szCs w:val="24"/>
          <w:lang w:val="sv-SE"/>
        </w:rPr>
        <w:t xml:space="preserve">peningkatan dan penurunan di setiap tahunnya. </w:t>
      </w:r>
      <w:r w:rsidR="00452609" w:rsidRPr="00D17A2E">
        <w:rPr>
          <w:rFonts w:asciiTheme="majorBidi" w:hAnsiTheme="majorBidi" w:cstheme="majorBidi"/>
          <w:sz w:val="24"/>
          <w:szCs w:val="24"/>
          <w:lang w:val="sv-SE"/>
        </w:rPr>
        <w:t xml:space="preserve">Pada tahun 2017 berjumlah Rp. 30,185 Miliyar, </w:t>
      </w:r>
      <w:r w:rsidR="00220D41" w:rsidRPr="00D17A2E">
        <w:rPr>
          <w:rFonts w:asciiTheme="majorBidi" w:hAnsiTheme="majorBidi" w:cstheme="majorBidi"/>
          <w:sz w:val="24"/>
          <w:szCs w:val="24"/>
          <w:lang w:val="sv-SE"/>
        </w:rPr>
        <w:t>p</w:t>
      </w:r>
      <w:r w:rsidR="00452609" w:rsidRPr="00D17A2E">
        <w:rPr>
          <w:rFonts w:asciiTheme="majorBidi" w:hAnsiTheme="majorBidi" w:cstheme="majorBidi"/>
          <w:sz w:val="24"/>
          <w:szCs w:val="24"/>
          <w:lang w:val="sv-SE"/>
        </w:rPr>
        <w:t xml:space="preserve">ada tahun 2018 berjumlah Rp. 27,834 Miliyar, mengalami penurunan sebesar Rp. 2,351 Miliyar atau turun </w:t>
      </w:r>
      <w:r w:rsidR="00E47935" w:rsidRPr="00D17A2E">
        <w:rPr>
          <w:rFonts w:asciiTheme="majorBidi" w:hAnsiTheme="majorBidi" w:cstheme="majorBidi"/>
          <w:sz w:val="24"/>
          <w:szCs w:val="24"/>
          <w:lang w:val="sv-SE"/>
        </w:rPr>
        <w:t>8</w:t>
      </w:r>
      <w:r w:rsidR="00452609" w:rsidRPr="00D17A2E">
        <w:rPr>
          <w:rFonts w:asciiTheme="majorBidi" w:hAnsiTheme="majorBidi" w:cstheme="majorBidi"/>
          <w:sz w:val="24"/>
          <w:szCs w:val="24"/>
          <w:lang w:val="sv-SE"/>
        </w:rPr>
        <w:t xml:space="preserve"> %</w:t>
      </w:r>
      <w:r w:rsidR="0088560D" w:rsidRPr="00D17A2E">
        <w:rPr>
          <w:rFonts w:asciiTheme="majorBidi" w:hAnsiTheme="majorBidi" w:cstheme="majorBidi"/>
          <w:sz w:val="24"/>
          <w:szCs w:val="24"/>
          <w:lang w:val="sv-SE"/>
        </w:rPr>
        <w:t xml:space="preserve"> dari tahun 2017</w:t>
      </w:r>
      <w:r w:rsidR="00220D41" w:rsidRPr="00D17A2E">
        <w:rPr>
          <w:rFonts w:asciiTheme="majorBidi" w:hAnsiTheme="majorBidi" w:cstheme="majorBidi"/>
          <w:sz w:val="24"/>
          <w:szCs w:val="24"/>
          <w:lang w:val="sv-SE"/>
        </w:rPr>
        <w:t xml:space="preserve"> dengan target DPK Rp. 43,036 Miliyar</w:t>
      </w:r>
      <w:r w:rsidR="00452609" w:rsidRPr="00D17A2E">
        <w:rPr>
          <w:rFonts w:asciiTheme="majorBidi" w:hAnsiTheme="majorBidi" w:cstheme="majorBidi"/>
          <w:sz w:val="24"/>
          <w:szCs w:val="24"/>
          <w:lang w:val="sv-SE"/>
        </w:rPr>
        <w:t xml:space="preserve">. Pada tahun 2019 berjumlah 21,913, mengalami penurunan sebesar Rp. 5,921 Miliyar atau turun </w:t>
      </w:r>
      <w:r w:rsidR="006C4607" w:rsidRPr="00D17A2E">
        <w:rPr>
          <w:rFonts w:asciiTheme="majorBidi" w:hAnsiTheme="majorBidi" w:cstheme="majorBidi"/>
          <w:sz w:val="24"/>
          <w:szCs w:val="24"/>
          <w:lang w:val="sv-SE"/>
        </w:rPr>
        <w:t>21</w:t>
      </w:r>
      <w:r w:rsidR="00452609" w:rsidRPr="00D17A2E">
        <w:rPr>
          <w:rFonts w:asciiTheme="majorBidi" w:hAnsiTheme="majorBidi" w:cstheme="majorBidi"/>
          <w:sz w:val="24"/>
          <w:szCs w:val="24"/>
          <w:lang w:val="sv-SE"/>
        </w:rPr>
        <w:t>%</w:t>
      </w:r>
      <w:r w:rsidR="0088560D" w:rsidRPr="00D17A2E">
        <w:rPr>
          <w:rFonts w:asciiTheme="majorBidi" w:hAnsiTheme="majorBidi" w:cstheme="majorBidi"/>
          <w:sz w:val="24"/>
          <w:szCs w:val="24"/>
          <w:lang w:val="sv-SE"/>
        </w:rPr>
        <w:t xml:space="preserve"> dari tahun 2018</w:t>
      </w:r>
      <w:r w:rsidR="00220D41" w:rsidRPr="00D17A2E">
        <w:rPr>
          <w:rFonts w:asciiTheme="majorBidi" w:hAnsiTheme="majorBidi" w:cstheme="majorBidi"/>
          <w:sz w:val="24"/>
          <w:szCs w:val="24"/>
          <w:lang w:val="sv-SE"/>
        </w:rPr>
        <w:t xml:space="preserve"> dengan target DPK Rp. 46,692 Miliyar</w:t>
      </w:r>
      <w:r w:rsidR="00452609" w:rsidRPr="00D17A2E">
        <w:rPr>
          <w:rFonts w:asciiTheme="majorBidi" w:hAnsiTheme="majorBidi" w:cstheme="majorBidi"/>
          <w:sz w:val="24"/>
          <w:szCs w:val="24"/>
          <w:lang w:val="sv-SE"/>
        </w:rPr>
        <w:t xml:space="preserve">. Pada tahun 2020 berjumlah Rp. 22,776 Miliyar, mengalami peningkatan sebesar Rp. 863 Miliyar atau naik </w:t>
      </w:r>
      <w:r w:rsidR="006C4607" w:rsidRPr="00D17A2E">
        <w:rPr>
          <w:rFonts w:asciiTheme="majorBidi" w:hAnsiTheme="majorBidi" w:cstheme="majorBidi"/>
          <w:sz w:val="24"/>
          <w:szCs w:val="24"/>
          <w:lang w:val="sv-SE"/>
        </w:rPr>
        <w:t>4</w:t>
      </w:r>
      <w:r w:rsidR="00452609" w:rsidRPr="00D17A2E">
        <w:rPr>
          <w:rFonts w:asciiTheme="majorBidi" w:hAnsiTheme="majorBidi" w:cstheme="majorBidi"/>
          <w:sz w:val="24"/>
          <w:szCs w:val="24"/>
          <w:lang w:val="sv-SE"/>
        </w:rPr>
        <w:t>%</w:t>
      </w:r>
      <w:r w:rsidR="0088560D" w:rsidRPr="00D17A2E">
        <w:rPr>
          <w:rFonts w:asciiTheme="majorBidi" w:hAnsiTheme="majorBidi" w:cstheme="majorBidi"/>
          <w:sz w:val="24"/>
          <w:szCs w:val="24"/>
          <w:lang w:val="sv-SE"/>
        </w:rPr>
        <w:t xml:space="preserve"> dari tahun 2019</w:t>
      </w:r>
      <w:r w:rsidR="00220D41" w:rsidRPr="00D17A2E">
        <w:rPr>
          <w:rFonts w:asciiTheme="majorBidi" w:hAnsiTheme="majorBidi" w:cstheme="majorBidi"/>
          <w:sz w:val="24"/>
          <w:szCs w:val="24"/>
          <w:lang w:val="sv-SE"/>
        </w:rPr>
        <w:t xml:space="preserve"> dengan target DPK Rp. 40,172</w:t>
      </w:r>
      <w:r w:rsidR="00452609" w:rsidRPr="00D17A2E">
        <w:rPr>
          <w:rFonts w:asciiTheme="majorBidi" w:hAnsiTheme="majorBidi" w:cstheme="majorBidi"/>
          <w:sz w:val="24"/>
          <w:szCs w:val="24"/>
          <w:lang w:val="sv-SE"/>
        </w:rPr>
        <w:t>. Pada tahun 2021 berjumlah Rp. 24,689, mengalami peningkatan sebesar Rp. 1,913 atau naik 8%</w:t>
      </w:r>
      <w:r w:rsidR="0088560D" w:rsidRPr="00D17A2E">
        <w:rPr>
          <w:rFonts w:asciiTheme="majorBidi" w:hAnsiTheme="majorBidi" w:cstheme="majorBidi"/>
          <w:sz w:val="24"/>
          <w:szCs w:val="24"/>
          <w:lang w:val="sv-SE"/>
        </w:rPr>
        <w:t xml:space="preserve"> dari tahun 2020</w:t>
      </w:r>
      <w:r w:rsidR="00220D41" w:rsidRPr="00D17A2E">
        <w:rPr>
          <w:rFonts w:asciiTheme="majorBidi" w:hAnsiTheme="majorBidi" w:cstheme="majorBidi"/>
          <w:sz w:val="24"/>
          <w:szCs w:val="24"/>
          <w:lang w:val="sv-SE"/>
        </w:rPr>
        <w:t xml:space="preserve"> dengan target DPK Rp. 45,224 Miliyar</w:t>
      </w:r>
      <w:r w:rsidR="00452609" w:rsidRPr="00D17A2E">
        <w:rPr>
          <w:rFonts w:asciiTheme="majorBidi" w:hAnsiTheme="majorBidi" w:cstheme="majorBidi"/>
          <w:sz w:val="24"/>
          <w:szCs w:val="24"/>
          <w:lang w:val="sv-SE"/>
        </w:rPr>
        <w:t xml:space="preserve">. Pada tahun 2022 berjumlah Rp. 25,143 Miliyar, mengalami peningkatan sebesar Rp. 454 Miliyar atau naik </w:t>
      </w:r>
      <w:r w:rsidR="006C4607" w:rsidRPr="00D17A2E">
        <w:rPr>
          <w:rFonts w:asciiTheme="majorBidi" w:hAnsiTheme="majorBidi" w:cstheme="majorBidi"/>
          <w:sz w:val="24"/>
          <w:szCs w:val="24"/>
          <w:lang w:val="sv-SE"/>
        </w:rPr>
        <w:t>2</w:t>
      </w:r>
      <w:r w:rsidR="00452609" w:rsidRPr="00D17A2E">
        <w:rPr>
          <w:rFonts w:asciiTheme="majorBidi" w:hAnsiTheme="majorBidi" w:cstheme="majorBidi"/>
          <w:sz w:val="24"/>
          <w:szCs w:val="24"/>
          <w:lang w:val="sv-SE"/>
        </w:rPr>
        <w:t>%</w:t>
      </w:r>
      <w:r w:rsidR="0088560D" w:rsidRPr="00D17A2E">
        <w:rPr>
          <w:rFonts w:asciiTheme="majorBidi" w:hAnsiTheme="majorBidi" w:cstheme="majorBidi"/>
          <w:sz w:val="24"/>
          <w:szCs w:val="24"/>
          <w:lang w:val="sv-SE"/>
        </w:rPr>
        <w:t xml:space="preserve"> dari tahun 2021</w:t>
      </w:r>
      <w:r w:rsidR="00220D41" w:rsidRPr="00D17A2E">
        <w:rPr>
          <w:rFonts w:asciiTheme="majorBidi" w:hAnsiTheme="majorBidi" w:cstheme="majorBidi"/>
          <w:sz w:val="24"/>
          <w:szCs w:val="24"/>
          <w:lang w:val="sv-SE"/>
        </w:rPr>
        <w:t xml:space="preserve"> dengan target DPK Rp. 48,871 Miliyar</w:t>
      </w:r>
      <w:r w:rsidR="00452609" w:rsidRPr="00D17A2E">
        <w:rPr>
          <w:rFonts w:asciiTheme="majorBidi" w:hAnsiTheme="majorBidi" w:cstheme="majorBidi"/>
          <w:sz w:val="24"/>
          <w:szCs w:val="24"/>
          <w:lang w:val="sv-SE"/>
        </w:rPr>
        <w:t xml:space="preserve">. </w:t>
      </w:r>
      <w:r w:rsidR="0088560D" w:rsidRPr="00D17A2E">
        <w:rPr>
          <w:rFonts w:asciiTheme="majorBidi" w:hAnsiTheme="majorBidi" w:cstheme="majorBidi"/>
          <w:sz w:val="24"/>
          <w:szCs w:val="24"/>
          <w:lang w:val="sv-SE"/>
        </w:rPr>
        <w:t xml:space="preserve">Hal ini menunjukkan minat nasabah yang membaik. </w:t>
      </w:r>
      <w:r w:rsidR="00220D41" w:rsidRPr="00D17A2E">
        <w:rPr>
          <w:rFonts w:asciiTheme="majorBidi" w:hAnsiTheme="majorBidi" w:cstheme="majorBidi"/>
          <w:sz w:val="24"/>
          <w:szCs w:val="24"/>
          <w:lang w:val="sv-SE"/>
        </w:rPr>
        <w:t>Akan tetapi, p</w:t>
      </w:r>
      <w:r w:rsidR="00452609" w:rsidRPr="00D17A2E">
        <w:rPr>
          <w:rFonts w:asciiTheme="majorBidi" w:hAnsiTheme="majorBidi" w:cstheme="majorBidi"/>
          <w:sz w:val="24"/>
          <w:szCs w:val="24"/>
          <w:lang w:val="sv-SE"/>
        </w:rPr>
        <w:t>ada tahun 2023 berjumlah Rp. 24,822, kembali mengalami penurunan sebesar Rp. 321 Miliyar atau turun 1% dari tahun 2022</w:t>
      </w:r>
      <w:r w:rsidR="00220D41" w:rsidRPr="00D17A2E">
        <w:rPr>
          <w:rFonts w:asciiTheme="majorBidi" w:hAnsiTheme="majorBidi" w:cstheme="majorBidi"/>
          <w:sz w:val="24"/>
          <w:szCs w:val="24"/>
          <w:lang w:val="sv-SE"/>
        </w:rPr>
        <w:t xml:space="preserve"> dengan target DPK </w:t>
      </w:r>
      <w:r w:rsidR="006F79AF" w:rsidRPr="00D17A2E">
        <w:rPr>
          <w:rFonts w:asciiTheme="majorBidi" w:hAnsiTheme="majorBidi" w:cstheme="majorBidi"/>
          <w:sz w:val="24"/>
          <w:szCs w:val="24"/>
          <w:lang w:val="sv-SE"/>
        </w:rPr>
        <w:t>Rp. 55.656 Miliyar</w:t>
      </w:r>
      <w:r w:rsidR="00452609" w:rsidRPr="00D17A2E">
        <w:rPr>
          <w:rFonts w:asciiTheme="majorBidi" w:hAnsiTheme="majorBidi" w:cstheme="majorBidi"/>
          <w:sz w:val="24"/>
          <w:szCs w:val="24"/>
          <w:lang w:val="sv-SE"/>
        </w:rPr>
        <w:t>.</w:t>
      </w:r>
      <w:r w:rsidR="006C4607" w:rsidRPr="00D17A2E">
        <w:rPr>
          <w:rFonts w:asciiTheme="majorBidi" w:hAnsiTheme="majorBidi" w:cstheme="majorBidi"/>
          <w:sz w:val="24"/>
          <w:szCs w:val="24"/>
          <w:lang w:val="sv-SE"/>
        </w:rPr>
        <w:t xml:space="preserve"> Pada tahun 2024 berjumlah Rp. 19,280 Miliyar, mengalami penurunan sebesar Rp. 5,542 Miliyar atau turun 22% dari tahun 2023. </w:t>
      </w:r>
      <w:r w:rsidRPr="00B51544">
        <w:rPr>
          <w:rFonts w:asciiTheme="majorBidi" w:hAnsiTheme="majorBidi" w:cstheme="majorBidi"/>
          <w:sz w:val="24"/>
          <w:szCs w:val="24"/>
          <w:lang w:val="sv-SE"/>
        </w:rPr>
        <w:t>Perubahan ini mencerminkan faktor-faktor yang memengaruhi keputusan nasabah dalam investasi deposito mudharabah.</w:t>
      </w:r>
    </w:p>
    <w:p w14:paraId="7068638D" w14:textId="35F866D6" w:rsidR="00BE0174" w:rsidRPr="00B51544" w:rsidRDefault="006D64F3" w:rsidP="00FE470D">
      <w:pPr>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Risiko pada perbankan terdapat pada setiap produk yang dimiliki bank. Produk pembiayaan merupakan salah satu produk yang memberikan pendapatan paling tinggi. Pada produk pembiayaan di setiap bank selalu berhadapan segala macam risiko, salah satunya yaitu risiko pembiayaan bermasalah yang diakibatkan oleh faktor eksternal maupun internal perusahaan. Risiko pembiayaan bermasalah tidak dapat dihindari akan tetapi dapat dikelola </w:t>
      </w:r>
      <w:r w:rsidRPr="00B51544">
        <w:rPr>
          <w:rFonts w:asciiTheme="majorBidi" w:hAnsiTheme="majorBidi" w:cstheme="majorBidi"/>
          <w:sz w:val="24"/>
          <w:szCs w:val="24"/>
          <w:lang w:val="sv-SE"/>
        </w:rPr>
        <w:lastRenderedPageBreak/>
        <w:t>serta dikendalikan dengan mitigasi risiko agar tidak memberikan efek yang signifikan bagi perusahaan. Salah satu cara untuk meminimalisir terjadinya pembiayaan bermasalah yaitu dengan melakukan mitigasi risiko.</w:t>
      </w:r>
      <w:r w:rsidRPr="00B51544">
        <w:rPr>
          <w:rStyle w:val="FootnoteReference"/>
          <w:rFonts w:asciiTheme="majorBidi" w:hAnsiTheme="majorBidi" w:cstheme="majorBidi"/>
          <w:sz w:val="24"/>
          <w:szCs w:val="24"/>
          <w:lang w:val="sv-SE"/>
        </w:rPr>
        <w:footnoteReference w:id="13"/>
      </w:r>
    </w:p>
    <w:p w14:paraId="3E60299F" w14:textId="158DF59D" w:rsidR="00C65BDD" w:rsidRPr="00B51544" w:rsidRDefault="00D125B0" w:rsidP="00877500">
      <w:pPr>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Bank syariah harus mampu memenuhi kebutuhan likuiditasnya dengan memelihara likuiditas aset atau menciptakan likuiditas dengan cara meminjam dana. Apabalia bank menahan aset seperti surat berharga yang dapat dijual untuk memenuhi kebutuhan dananya, r</w:t>
      </w:r>
      <w:r w:rsidR="00462470" w:rsidRPr="00B51544">
        <w:rPr>
          <w:rFonts w:asciiTheme="majorBidi" w:hAnsiTheme="majorBidi" w:cstheme="majorBidi"/>
          <w:sz w:val="24"/>
          <w:szCs w:val="24"/>
          <w:lang w:val="sv-SE"/>
        </w:rPr>
        <w:t>i</w:t>
      </w:r>
      <w:r w:rsidRPr="00B51544">
        <w:rPr>
          <w:rFonts w:asciiTheme="majorBidi" w:hAnsiTheme="majorBidi" w:cstheme="majorBidi"/>
          <w:sz w:val="24"/>
          <w:szCs w:val="24"/>
          <w:lang w:val="sv-SE"/>
        </w:rPr>
        <w:t>siko likuiditas menjadi rendah. R</w:t>
      </w:r>
      <w:r w:rsidR="00462470" w:rsidRPr="00B51544">
        <w:rPr>
          <w:rFonts w:asciiTheme="majorBidi" w:hAnsiTheme="majorBidi" w:cstheme="majorBidi"/>
          <w:sz w:val="24"/>
          <w:szCs w:val="24"/>
          <w:lang w:val="sv-SE"/>
        </w:rPr>
        <w:t>i</w:t>
      </w:r>
      <w:r w:rsidRPr="00B51544">
        <w:rPr>
          <w:rFonts w:asciiTheme="majorBidi" w:hAnsiTheme="majorBidi" w:cstheme="majorBidi"/>
          <w:sz w:val="24"/>
          <w:szCs w:val="24"/>
          <w:lang w:val="sv-SE"/>
        </w:rPr>
        <w:t>siko likuiditas adalah risiko yang timbul dari keidak mampuan bank syariah dalam memenuhi kewajibannya pada waktu yang telah ditentukan pada nasabah. Risiko likuidtas merupakan risiko yang paling fundamental dalam industri perbankan. Disebut fundamental karena pemicu utama kebangkrutan yang dialami oleh bank. Oleh karena itu jika suatu bank tidak bisa mengatasi masalah fundamental tersebut, maka sudah bisa dipastikan bahwa bank tersebut akan kehilangan nasabahnya.</w:t>
      </w:r>
      <w:r w:rsidRPr="00B51544">
        <w:rPr>
          <w:rStyle w:val="FootnoteReference"/>
          <w:rFonts w:asciiTheme="majorBidi" w:hAnsiTheme="majorBidi" w:cstheme="majorBidi"/>
          <w:sz w:val="24"/>
          <w:szCs w:val="24"/>
          <w:lang w:val="sv-SE"/>
        </w:rPr>
        <w:footnoteReference w:id="14"/>
      </w:r>
    </w:p>
    <w:p w14:paraId="2BCE1A2A" w14:textId="6A02D1EC" w:rsidR="00BE0174" w:rsidRPr="00B51544" w:rsidRDefault="00D125B0" w:rsidP="00A4276F">
      <w:pPr>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Pengelolaan risiko yang dilakukan oleh bank mencangkup antara cangkupan identifikasi risiko, pengukuran risiko, pengelolaan risiko, pembatasan risiko dan pemantauan risiko. </w:t>
      </w:r>
      <w:r w:rsidR="00852568" w:rsidRPr="00852568">
        <w:rPr>
          <w:rFonts w:asciiTheme="majorBidi" w:hAnsiTheme="majorBidi" w:cstheme="majorBidi"/>
          <w:sz w:val="24"/>
          <w:szCs w:val="24"/>
          <w:lang w:val="sv-SE"/>
        </w:rPr>
        <w:t>Melalui metode ini, ukuran risiko dan pengembalian dapat dihitung, sehingga nasabah dapat mendapatkan peluang bagi hasil yang terbaik dan menjanjikan. Dengan demikian, dalam situasi ini, perlu dilakukan penelitian mengenai seberapa besar bobot bersih dari bagi hasil yang diperoleh melalui investasi di deposito mudharabah di Bank Muamalat Indonesia yang efektif dalam mengelola dan memanfaatkan dana investasi</w:t>
      </w:r>
      <w:r w:rsidRPr="00B51544">
        <w:rPr>
          <w:rFonts w:asciiTheme="majorBidi" w:hAnsiTheme="majorBidi" w:cstheme="majorBidi"/>
          <w:sz w:val="24"/>
          <w:szCs w:val="24"/>
          <w:lang w:val="sv-SE"/>
        </w:rPr>
        <w:t>.</w:t>
      </w:r>
      <w:r w:rsidRPr="00B51544">
        <w:rPr>
          <w:rStyle w:val="FootnoteReference"/>
          <w:rFonts w:asciiTheme="majorBidi" w:hAnsiTheme="majorBidi" w:cstheme="majorBidi"/>
          <w:sz w:val="24"/>
          <w:szCs w:val="24"/>
          <w:lang w:val="sv-SE"/>
        </w:rPr>
        <w:footnoteReference w:id="15"/>
      </w:r>
    </w:p>
    <w:p w14:paraId="21F33581" w14:textId="443409BC" w:rsidR="00D1413E" w:rsidRDefault="00EC0225" w:rsidP="00A4276F">
      <w:pPr>
        <w:spacing w:after="0" w:line="360" w:lineRule="auto"/>
        <w:ind w:left="426" w:firstLine="709"/>
        <w:jc w:val="both"/>
        <w:rPr>
          <w:rFonts w:asciiTheme="majorBidi" w:hAnsiTheme="majorBidi" w:cstheme="majorBidi"/>
          <w:sz w:val="24"/>
          <w:szCs w:val="24"/>
          <w:lang w:val="sv-SE"/>
        </w:rPr>
      </w:pPr>
      <w:r w:rsidRPr="00EC0225">
        <w:rPr>
          <w:rFonts w:asciiTheme="majorBidi" w:hAnsiTheme="majorBidi" w:cstheme="majorBidi"/>
          <w:sz w:val="24"/>
          <w:szCs w:val="24"/>
          <w:lang w:val="sv-SE"/>
        </w:rPr>
        <w:t xml:space="preserve">Bagi hasil yang disediakan oleh bank syariah menggunakan rasio bagi hasil. Rasio bagi hasil adalah pembagian keuntungan antara nasabah dan bank syariah yang biasanya dinyatakan dalam persentase. Sistem bagi hasil dianggap </w:t>
      </w:r>
      <w:r>
        <w:rPr>
          <w:rFonts w:asciiTheme="majorBidi" w:hAnsiTheme="majorBidi" w:cstheme="majorBidi"/>
          <w:sz w:val="24"/>
          <w:szCs w:val="24"/>
          <w:lang w:val="sv-SE"/>
        </w:rPr>
        <w:t>penting</w:t>
      </w:r>
      <w:r w:rsidRPr="00EC0225">
        <w:rPr>
          <w:rFonts w:asciiTheme="majorBidi" w:hAnsiTheme="majorBidi" w:cstheme="majorBidi"/>
          <w:sz w:val="24"/>
          <w:szCs w:val="24"/>
          <w:lang w:val="sv-SE"/>
        </w:rPr>
        <w:t xml:space="preserve"> untuk meningkatkan total deposito mudharabah dan menjadi salah satu faktor yang mempengaruhi keputusan nasabah untuk menanamkan dananya dalam produk deposito. Besar kecilnya bagi hasil yang diberikan bank kepada nasabah sangat berpengaruh pada ketertarikan nasabah untuk menempatkan uangnya di bank tersebut</w:t>
      </w:r>
      <w:r w:rsidR="00EB6351" w:rsidRPr="00B51544">
        <w:rPr>
          <w:rFonts w:asciiTheme="majorBidi" w:hAnsiTheme="majorBidi" w:cstheme="majorBidi"/>
          <w:sz w:val="24"/>
          <w:szCs w:val="24"/>
          <w:lang w:val="sv-SE"/>
        </w:rPr>
        <w:t>.</w:t>
      </w:r>
      <w:r w:rsidR="00EB6351" w:rsidRPr="00B51544">
        <w:rPr>
          <w:rStyle w:val="FootnoteReference"/>
          <w:rFonts w:asciiTheme="majorBidi" w:hAnsiTheme="majorBidi" w:cstheme="majorBidi"/>
          <w:sz w:val="24"/>
          <w:szCs w:val="24"/>
          <w:lang w:val="sv-SE"/>
        </w:rPr>
        <w:footnoteReference w:id="16"/>
      </w:r>
    </w:p>
    <w:p w14:paraId="7DB397F2" w14:textId="77777777" w:rsidR="001F420D" w:rsidRPr="00B51544" w:rsidRDefault="001F420D" w:rsidP="00A4276F">
      <w:pPr>
        <w:spacing w:after="0" w:line="360" w:lineRule="auto"/>
        <w:ind w:left="426" w:firstLine="709"/>
        <w:jc w:val="both"/>
        <w:rPr>
          <w:rFonts w:asciiTheme="majorBidi" w:hAnsiTheme="majorBidi" w:cstheme="majorBidi"/>
          <w:sz w:val="24"/>
          <w:szCs w:val="24"/>
          <w:lang w:val="sv-SE"/>
        </w:rPr>
      </w:pPr>
    </w:p>
    <w:p w14:paraId="3F9A2287" w14:textId="22716F2F" w:rsidR="007E368F" w:rsidRPr="00D1413E" w:rsidRDefault="00D1413E" w:rsidP="00A4276F">
      <w:pPr>
        <w:pStyle w:val="Caption"/>
        <w:spacing w:after="0"/>
        <w:ind w:right="-613"/>
        <w:jc w:val="center"/>
        <w:rPr>
          <w:rFonts w:asciiTheme="majorBidi" w:hAnsiTheme="majorBidi" w:cstheme="majorBidi"/>
          <w:b/>
          <w:bCs/>
          <w:i w:val="0"/>
          <w:iCs w:val="0"/>
          <w:color w:val="auto"/>
          <w:sz w:val="24"/>
          <w:szCs w:val="24"/>
          <w:lang w:val="sv-SE"/>
        </w:rPr>
      </w:pPr>
      <w:bookmarkStart w:id="21" w:name="_Toc200569477"/>
      <w:bookmarkStart w:id="22" w:name="_Toc200572089"/>
      <w:r w:rsidRPr="00D1413E">
        <w:rPr>
          <w:rFonts w:asciiTheme="majorBidi" w:hAnsiTheme="majorBidi" w:cstheme="majorBidi"/>
          <w:b/>
          <w:bCs/>
          <w:i w:val="0"/>
          <w:iCs w:val="0"/>
          <w:color w:val="auto"/>
          <w:sz w:val="24"/>
          <w:szCs w:val="24"/>
          <w:lang w:val="sv-SE"/>
        </w:rPr>
        <w:lastRenderedPageBreak/>
        <w:t xml:space="preserve">Tabel 1. </w:t>
      </w:r>
      <w:r w:rsidRPr="00D1413E">
        <w:rPr>
          <w:rFonts w:asciiTheme="majorBidi" w:hAnsiTheme="majorBidi" w:cstheme="majorBidi"/>
          <w:b/>
          <w:bCs/>
          <w:i w:val="0"/>
          <w:iCs w:val="0"/>
          <w:color w:val="auto"/>
          <w:sz w:val="24"/>
          <w:szCs w:val="24"/>
        </w:rPr>
        <w:fldChar w:fldCharType="begin"/>
      </w:r>
      <w:r w:rsidRPr="00D1413E">
        <w:rPr>
          <w:rFonts w:asciiTheme="majorBidi" w:hAnsiTheme="majorBidi" w:cstheme="majorBidi"/>
          <w:b/>
          <w:bCs/>
          <w:i w:val="0"/>
          <w:iCs w:val="0"/>
          <w:color w:val="auto"/>
          <w:sz w:val="24"/>
          <w:szCs w:val="24"/>
          <w:lang w:val="sv-SE"/>
        </w:rPr>
        <w:instrText xml:space="preserve"> SEQ Tabel_1. \* ARABIC </w:instrText>
      </w:r>
      <w:r w:rsidRPr="00D1413E">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3</w:t>
      </w:r>
      <w:r w:rsidRPr="00D1413E">
        <w:rPr>
          <w:rFonts w:asciiTheme="majorBidi" w:hAnsiTheme="majorBidi" w:cstheme="majorBidi"/>
          <w:b/>
          <w:bCs/>
          <w:i w:val="0"/>
          <w:iCs w:val="0"/>
          <w:color w:val="auto"/>
          <w:sz w:val="24"/>
          <w:szCs w:val="24"/>
        </w:rPr>
        <w:fldChar w:fldCharType="end"/>
      </w:r>
      <w:r w:rsidRPr="00D1413E">
        <w:rPr>
          <w:rFonts w:asciiTheme="majorBidi" w:hAnsiTheme="majorBidi" w:cstheme="majorBidi"/>
          <w:b/>
          <w:bCs/>
          <w:i w:val="0"/>
          <w:iCs w:val="0"/>
          <w:color w:val="auto"/>
          <w:sz w:val="24"/>
          <w:szCs w:val="24"/>
          <w:lang w:val="sv-SE"/>
        </w:rPr>
        <w:t xml:space="preserve"> </w:t>
      </w:r>
      <w:r>
        <w:rPr>
          <w:rFonts w:asciiTheme="majorBidi" w:hAnsiTheme="majorBidi" w:cstheme="majorBidi"/>
          <w:b/>
          <w:bCs/>
          <w:i w:val="0"/>
          <w:iCs w:val="0"/>
          <w:color w:val="auto"/>
          <w:sz w:val="24"/>
          <w:szCs w:val="24"/>
          <w:lang w:val="sv-SE"/>
        </w:rPr>
        <w:br/>
      </w:r>
      <w:r w:rsidRPr="00D1413E">
        <w:rPr>
          <w:rFonts w:asciiTheme="majorBidi" w:hAnsiTheme="majorBidi" w:cstheme="majorBidi"/>
          <w:b/>
          <w:bCs/>
          <w:i w:val="0"/>
          <w:iCs w:val="0"/>
          <w:color w:val="auto"/>
          <w:sz w:val="24"/>
          <w:szCs w:val="24"/>
          <w:lang w:val="sv-SE"/>
        </w:rPr>
        <w:t xml:space="preserve">Risiko Pembiayaan (NPF), Risiko Likuiditas (FDR) Dan Nisbah Bagi Hasil </w:t>
      </w:r>
      <w:r>
        <w:rPr>
          <w:rFonts w:asciiTheme="majorBidi" w:hAnsiTheme="majorBidi" w:cstheme="majorBidi"/>
          <w:b/>
          <w:bCs/>
          <w:i w:val="0"/>
          <w:iCs w:val="0"/>
          <w:color w:val="auto"/>
          <w:sz w:val="24"/>
          <w:szCs w:val="24"/>
          <w:lang w:val="sv-SE"/>
        </w:rPr>
        <w:br/>
      </w:r>
      <w:r w:rsidRPr="00D1413E">
        <w:rPr>
          <w:rFonts w:asciiTheme="majorBidi" w:hAnsiTheme="majorBidi" w:cstheme="majorBidi"/>
          <w:b/>
          <w:bCs/>
          <w:i w:val="0"/>
          <w:iCs w:val="0"/>
          <w:color w:val="auto"/>
          <w:sz w:val="24"/>
          <w:szCs w:val="24"/>
          <w:lang w:val="sv-SE"/>
        </w:rPr>
        <w:t>Pada Deposito Mudharabah Di Bank Muamalat Indonesia Periode 2017-2024</w:t>
      </w:r>
      <w:bookmarkEnd w:id="21"/>
      <w:bookmarkEnd w:id="22"/>
    </w:p>
    <w:p w14:paraId="5079F5F9" w14:textId="51E47BCE" w:rsidR="00D1413E" w:rsidRPr="00D1413E" w:rsidRDefault="00A4276F" w:rsidP="00D1413E">
      <w:pPr>
        <w:rPr>
          <w:lang w:val="sv-SE"/>
        </w:rPr>
      </w:pPr>
      <w:r w:rsidRPr="00B51544">
        <w:rPr>
          <w:rFonts w:asciiTheme="majorBidi" w:hAnsiTheme="majorBidi" w:cstheme="majorBidi"/>
          <w:noProof/>
          <w:sz w:val="24"/>
          <w:szCs w:val="24"/>
          <w:lang w:val="sv-SE"/>
        </w:rPr>
        <mc:AlternateContent>
          <mc:Choice Requires="wps">
            <w:drawing>
              <wp:anchor distT="0" distB="0" distL="114300" distR="114300" simplePos="0" relativeHeight="251699200" behindDoc="0" locked="0" layoutInCell="1" allowOverlap="1" wp14:anchorId="1C7FD136" wp14:editId="03C29144">
                <wp:simplePos x="0" y="0"/>
                <wp:positionH relativeFrom="column">
                  <wp:posOffset>280670</wp:posOffset>
                </wp:positionH>
                <wp:positionV relativeFrom="paragraph">
                  <wp:posOffset>6425565</wp:posOffset>
                </wp:positionV>
                <wp:extent cx="4391025" cy="393065"/>
                <wp:effectExtent l="0" t="0" r="0" b="6985"/>
                <wp:wrapNone/>
                <wp:docPr id="316871609" name="Text Box 7"/>
                <wp:cNvGraphicFramePr/>
                <a:graphic xmlns:a="http://schemas.openxmlformats.org/drawingml/2006/main">
                  <a:graphicData uri="http://schemas.microsoft.com/office/word/2010/wordprocessingShape">
                    <wps:wsp>
                      <wps:cNvSpPr txBox="1"/>
                      <wps:spPr>
                        <a:xfrm>
                          <a:off x="0" y="0"/>
                          <a:ext cx="4391025" cy="3930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012017" w14:textId="740AD554" w:rsidR="001A4A06" w:rsidRPr="001A4A06" w:rsidRDefault="001A4A06">
                            <w:pPr>
                              <w:rPr>
                                <w:rFonts w:asciiTheme="majorBidi" w:hAnsiTheme="majorBidi" w:cstheme="majorBidi"/>
                                <w:sz w:val="24"/>
                                <w:szCs w:val="24"/>
                                <w:lang w:val="sv-SE"/>
                              </w:rPr>
                            </w:pPr>
                            <w:r w:rsidRPr="001A4A06">
                              <w:rPr>
                                <w:rFonts w:asciiTheme="majorBidi" w:hAnsiTheme="majorBidi" w:cstheme="majorBidi"/>
                                <w:sz w:val="24"/>
                                <w:szCs w:val="24"/>
                                <w:lang w:val="sv-SE"/>
                              </w:rPr>
                              <w:t>Sumber : Laporan Triwulan Bank Muamalat Indonesia 2017-2024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FD136" id="Text Box 7" o:spid="_x0000_s1028" type="#_x0000_t202" style="position:absolute;margin-left:22.1pt;margin-top:505.95pt;width:345.75pt;height:30.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" filled="f" stroked="f">
                <v:textbox>
                  <w:txbxContent>
                    <w:p w14:paraId="13012017" w14:textId="740AD554" w:rsidR="001A4A06" w:rsidRPr="001A4A06" w:rsidRDefault="001A4A06">
                      <w:pPr>
                        <w:rPr>
                          <w:rFonts w:asciiTheme="majorBidi" w:hAnsiTheme="majorBidi" w:cstheme="majorBidi"/>
                          <w:sz w:val="24"/>
                          <w:szCs w:val="24"/>
                          <w:lang w:val="sv-SE"/>
                        </w:rPr>
                      </w:pPr>
                      <w:r w:rsidRPr="001A4A06">
                        <w:rPr>
                          <w:rFonts w:asciiTheme="majorBidi" w:hAnsiTheme="majorBidi" w:cstheme="majorBidi"/>
                          <w:sz w:val="24"/>
                          <w:szCs w:val="24"/>
                          <w:lang w:val="sv-SE"/>
                        </w:rPr>
                        <w:t>Sumber : Laporan Triwulan Bank Muamalat Indonesia 2017-2024</w:t>
                      </w:r>
                    </w:p>
                  </w:txbxContent>
                </v:textbox>
              </v:shape>
            </w:pict>
          </mc:Fallback>
        </mc:AlternateContent>
      </w:r>
      <w:r w:rsidRPr="00D64F26">
        <w:rPr>
          <w:noProof/>
        </w:rPr>
        <w:drawing>
          <wp:anchor distT="0" distB="0" distL="114300" distR="114300" simplePos="0" relativeHeight="251790336" behindDoc="0" locked="0" layoutInCell="1" allowOverlap="1" wp14:anchorId="4894062D" wp14:editId="2C89718D">
            <wp:simplePos x="0" y="0"/>
            <wp:positionH relativeFrom="column">
              <wp:posOffset>280670</wp:posOffset>
            </wp:positionH>
            <wp:positionV relativeFrom="paragraph">
              <wp:posOffset>325120</wp:posOffset>
            </wp:positionV>
            <wp:extent cx="5618480" cy="6124575"/>
            <wp:effectExtent l="0" t="0" r="1270" b="9525"/>
            <wp:wrapSquare wrapText="bothSides"/>
            <wp:docPr id="6119165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8480" cy="6124575"/>
                    </a:xfrm>
                    <a:prstGeom prst="rect">
                      <a:avLst/>
                    </a:prstGeom>
                    <a:noFill/>
                    <a:ln>
                      <a:noFill/>
                    </a:ln>
                  </pic:spPr>
                </pic:pic>
              </a:graphicData>
            </a:graphic>
            <wp14:sizeRelV relativeFrom="margin">
              <wp14:pctHeight>0</wp14:pctHeight>
            </wp14:sizeRelV>
          </wp:anchor>
        </w:drawing>
      </w:r>
    </w:p>
    <w:p w14:paraId="1F07C7C8" w14:textId="71BC1905" w:rsidR="00D1413E" w:rsidRDefault="00D1413E" w:rsidP="00D1413E">
      <w:pPr>
        <w:spacing w:line="360" w:lineRule="auto"/>
        <w:ind w:left="426" w:firstLine="709"/>
        <w:jc w:val="both"/>
        <w:rPr>
          <w:rFonts w:asciiTheme="majorBidi" w:hAnsiTheme="majorBidi" w:cstheme="majorBidi"/>
          <w:sz w:val="24"/>
          <w:szCs w:val="24"/>
          <w:lang w:val="sv-SE"/>
        </w:rPr>
      </w:pPr>
    </w:p>
    <w:p w14:paraId="49E64F84" w14:textId="2CF1C377" w:rsidR="00852568" w:rsidRDefault="00852568" w:rsidP="00A4276F">
      <w:pPr>
        <w:spacing w:after="0" w:line="360" w:lineRule="auto"/>
        <w:ind w:left="426" w:firstLine="709"/>
        <w:jc w:val="both"/>
        <w:rPr>
          <w:rFonts w:asciiTheme="majorBidi" w:hAnsiTheme="majorBidi" w:cstheme="majorBidi"/>
          <w:sz w:val="24"/>
          <w:szCs w:val="24"/>
          <w:lang w:val="sv-SE"/>
        </w:rPr>
      </w:pPr>
      <w:r w:rsidRPr="00852568">
        <w:rPr>
          <w:rFonts w:asciiTheme="majorBidi" w:hAnsiTheme="majorBidi" w:cstheme="majorBidi"/>
          <w:sz w:val="24"/>
          <w:szCs w:val="24"/>
          <w:lang w:val="sv-SE"/>
        </w:rPr>
        <w:t xml:space="preserve">Dari tabel di atas, terlihat bahwa deposito mudharabah di Bank Muamalat Indonesia mengalami perubahan yang signifikan selama delapan tahun terakhir. Pada kuartal keempat tahun 2024, nilainya turun drastis menjadi Rp. 16. 124. 334. Tabel 1. 3 memperlihatkan bahwa angka NPF antara tahun 2017 hingga 2020 juga mengalami fluktuasi yang cukup besar dan meloncat menjadi 2,50% pada kuartal ketiga tahun 2018. Di kuartal ketiga tahun 2020, NPF meningkat hingga 4,95%, bersamaan dengan kenaikan jumlah deposito mudharabah. Namun, </w:t>
      </w:r>
      <w:r w:rsidRPr="00852568">
        <w:rPr>
          <w:rFonts w:asciiTheme="majorBidi" w:hAnsiTheme="majorBidi" w:cstheme="majorBidi"/>
          <w:sz w:val="24"/>
          <w:szCs w:val="24"/>
          <w:lang w:val="sv-SE"/>
        </w:rPr>
        <w:lastRenderedPageBreak/>
        <w:t>di kuartal terakhir Q4, angka NPF turun sebesar 2,74% dan jumlah deposito mudharabah juga mengalami penurunan.</w:t>
      </w:r>
    </w:p>
    <w:p w14:paraId="19B1A952" w14:textId="0AFDE928" w:rsidR="00F76794" w:rsidRPr="00B51544" w:rsidRDefault="00EC0225" w:rsidP="00A4276F">
      <w:pPr>
        <w:spacing w:after="0" w:line="360" w:lineRule="auto"/>
        <w:ind w:left="426" w:firstLine="709"/>
        <w:jc w:val="both"/>
        <w:rPr>
          <w:rFonts w:asciiTheme="majorBidi" w:hAnsiTheme="majorBidi" w:cstheme="majorBidi"/>
          <w:sz w:val="24"/>
          <w:szCs w:val="24"/>
          <w:lang w:val="sv-SE"/>
        </w:rPr>
      </w:pPr>
      <w:r w:rsidRPr="00EC0225">
        <w:rPr>
          <w:rFonts w:asciiTheme="majorBidi" w:hAnsiTheme="majorBidi" w:cstheme="majorBidi"/>
          <w:sz w:val="24"/>
          <w:szCs w:val="24"/>
          <w:lang w:val="sv-SE"/>
        </w:rPr>
        <w:t>Secara teoritis, kenaikan nilai NPF akan mengurangi jumlah deposito mudharabah. Hal ini disebabkan oleh fakta bahwa bank akan mengurangi proporsi DPK untuk dialokasikan ke pembiayaan di sektor keuangan seiring dengan peningkatan NPF. NPF yang tinggi mengakibatkan penurunan pada profitabilitas dan juga menurunkan tingkat partisipasi laba. Selain itu, ketika NPF menurun, profitabilitas menjadi lebih baik dan ini juga meningkatkan nisbah bagi hasil. Penurunan dalam pembiayaan akan berdampak pada berkurangnya profitabilitas bank, sehingga nisbah bagi hasil yang diterima nasabah dari pendapatan pembiayaan juga akan menurun. Yang lebih mengkhawatirkan adalah rendahnya tingkat pengembalian dapat membahayakan keberlangsungan bank karena nasabah menjadi kurang berminat untuk berinvestasi di dalamnya</w:t>
      </w:r>
      <w:r w:rsidR="00F76794" w:rsidRPr="00B51544">
        <w:rPr>
          <w:rFonts w:asciiTheme="majorBidi" w:hAnsiTheme="majorBidi" w:cstheme="majorBidi"/>
          <w:sz w:val="24"/>
          <w:szCs w:val="24"/>
          <w:lang w:val="sv-SE"/>
        </w:rPr>
        <w:t>.</w:t>
      </w:r>
      <w:r w:rsidR="00F76794" w:rsidRPr="00B51544">
        <w:rPr>
          <w:rStyle w:val="FootnoteReference"/>
          <w:rFonts w:asciiTheme="majorBidi" w:hAnsiTheme="majorBidi" w:cstheme="majorBidi"/>
          <w:sz w:val="24"/>
          <w:szCs w:val="24"/>
          <w:lang w:val="sv-SE"/>
        </w:rPr>
        <w:footnoteReference w:id="17"/>
      </w:r>
      <w:r w:rsidR="00F76794" w:rsidRPr="00B51544">
        <w:rPr>
          <w:rFonts w:asciiTheme="majorBidi" w:hAnsiTheme="majorBidi" w:cstheme="majorBidi"/>
          <w:sz w:val="24"/>
          <w:szCs w:val="24"/>
          <w:lang w:val="sv-SE"/>
        </w:rPr>
        <w:t xml:space="preserve"> Oleh karena itu, bank perlu mengelola dananya secara optimal, karena menyediakan ruang yang cukup dalam hal uang dan likuiditas</w:t>
      </w:r>
      <w:r w:rsidR="004D4B36" w:rsidRPr="00B51544">
        <w:rPr>
          <w:rFonts w:asciiTheme="majorBidi" w:hAnsiTheme="majorBidi" w:cstheme="majorBidi"/>
          <w:sz w:val="24"/>
          <w:szCs w:val="24"/>
          <w:lang w:val="sv-SE"/>
        </w:rPr>
        <w:t>.</w:t>
      </w:r>
    </w:p>
    <w:p w14:paraId="18557230" w14:textId="77777777" w:rsidR="00852568" w:rsidRDefault="00852568" w:rsidP="001F420D">
      <w:pPr>
        <w:spacing w:after="0" w:line="360" w:lineRule="auto"/>
        <w:ind w:left="426" w:firstLine="709"/>
        <w:jc w:val="both"/>
        <w:rPr>
          <w:rFonts w:asciiTheme="majorBidi" w:hAnsiTheme="majorBidi" w:cstheme="majorBidi"/>
          <w:sz w:val="24"/>
          <w:szCs w:val="24"/>
          <w:lang w:val="sv-SE"/>
        </w:rPr>
      </w:pPr>
      <w:r w:rsidRPr="00852568">
        <w:rPr>
          <w:rFonts w:asciiTheme="majorBidi" w:hAnsiTheme="majorBidi" w:cstheme="majorBidi"/>
          <w:sz w:val="24"/>
          <w:szCs w:val="24"/>
          <w:lang w:val="sv-SE"/>
        </w:rPr>
        <w:t>Likuiditas dalam bank syariah dipengaruhi secara signifikan oleh pemasukan dari Dana Pihak Ketiga, seperti dana investasi dan rekening giro yang kemudian akan digunakan untuk pembiayaan berdasarkan prinsip syariah. Kekurangan likuiditas dapat menyebabkan bank menghadapi kebangkrutan secara cepat, sementara likuiditas yang berlebihan juga dapat menimbulkan risiko serupa. Oleh karena itu, risiko likuiditas harus diperhatikan oleh para investor atau nasabah ketika memilih bank sebagai tempat penyimpanan uang mereka.</w:t>
      </w:r>
    </w:p>
    <w:p w14:paraId="4F934CDA" w14:textId="01F85116" w:rsidR="004D4B36" w:rsidRPr="001F420D" w:rsidRDefault="00EC0225" w:rsidP="001F420D">
      <w:pPr>
        <w:spacing w:after="0" w:line="360" w:lineRule="auto"/>
        <w:ind w:left="426" w:firstLine="709"/>
        <w:jc w:val="both"/>
        <w:rPr>
          <w:rFonts w:asciiTheme="majorBidi" w:hAnsiTheme="majorBidi" w:cstheme="majorBidi"/>
          <w:sz w:val="24"/>
          <w:szCs w:val="24"/>
          <w:lang w:val="sv-SE"/>
        </w:rPr>
      </w:pPr>
      <w:r w:rsidRPr="00EC0225">
        <w:rPr>
          <w:rFonts w:asciiTheme="majorBidi" w:hAnsiTheme="majorBidi" w:cstheme="majorBidi"/>
          <w:sz w:val="24"/>
          <w:szCs w:val="24"/>
          <w:lang w:val="sv-SE"/>
        </w:rPr>
        <w:t>Pentingnya peran bank dalam mengelola likuiditas secara efektif, khususnya untuk mengurangi risiko likuiditas yang muncul akibat kekurangan aset</w:t>
      </w:r>
      <w:r w:rsidR="004D4B36" w:rsidRPr="00B51544">
        <w:rPr>
          <w:rFonts w:asciiTheme="majorBidi" w:hAnsiTheme="majorBidi" w:cstheme="majorBidi"/>
          <w:sz w:val="24"/>
          <w:szCs w:val="24"/>
          <w:lang w:val="sv-SE"/>
        </w:rPr>
        <w:t xml:space="preserve">. Rasio yang digunakan untuk mengukur likuiditas adalah  </w:t>
      </w:r>
      <w:r w:rsidR="004D4B36" w:rsidRPr="00B51544">
        <w:rPr>
          <w:rFonts w:asciiTheme="majorBidi" w:hAnsiTheme="majorBidi" w:cstheme="majorBidi"/>
          <w:i/>
          <w:iCs/>
          <w:sz w:val="24"/>
          <w:szCs w:val="24"/>
          <w:lang w:val="sv-SE"/>
        </w:rPr>
        <w:t>financing to deposit ratio</w:t>
      </w:r>
      <w:r w:rsidR="004D4B36" w:rsidRPr="00B51544">
        <w:rPr>
          <w:rFonts w:asciiTheme="majorBidi" w:hAnsiTheme="majorBidi" w:cstheme="majorBidi"/>
          <w:sz w:val="24"/>
          <w:szCs w:val="24"/>
          <w:lang w:val="sv-SE"/>
        </w:rPr>
        <w:t xml:space="preserve"> (FDR). </w:t>
      </w:r>
      <w:r w:rsidRPr="00EC0225">
        <w:rPr>
          <w:rFonts w:asciiTheme="majorBidi" w:hAnsiTheme="majorBidi" w:cstheme="majorBidi"/>
          <w:sz w:val="24"/>
          <w:szCs w:val="24"/>
          <w:lang w:val="sv-SE"/>
        </w:rPr>
        <w:t>FDR menunjukkan sejauh mana bank dapat memenuhi kewajiban untuk mengembalikan dana yang ditarik oleh nasabah dengan memanfaatkan pinjaman yang telah diberikan sebagai sumber likuiditas</w:t>
      </w:r>
      <w:r w:rsidR="004D4B36" w:rsidRPr="00B51544">
        <w:rPr>
          <w:rFonts w:asciiTheme="majorBidi" w:hAnsiTheme="majorBidi" w:cstheme="majorBidi"/>
          <w:sz w:val="24"/>
          <w:szCs w:val="24"/>
          <w:lang w:val="sv-SE"/>
        </w:rPr>
        <w:t>.</w:t>
      </w:r>
      <w:r w:rsidR="004D4B36" w:rsidRPr="00B51544">
        <w:rPr>
          <w:rStyle w:val="FootnoteReference"/>
          <w:rFonts w:asciiTheme="majorBidi" w:hAnsiTheme="majorBidi" w:cstheme="majorBidi"/>
          <w:sz w:val="24"/>
          <w:szCs w:val="24"/>
        </w:rPr>
        <w:footnoteReference w:id="18"/>
      </w:r>
      <w:r w:rsidR="001F420D">
        <w:rPr>
          <w:rFonts w:asciiTheme="majorBidi" w:hAnsiTheme="majorBidi" w:cstheme="majorBidi"/>
          <w:sz w:val="24"/>
          <w:szCs w:val="24"/>
          <w:lang w:val="sv-SE"/>
        </w:rPr>
        <w:t xml:space="preserve"> </w:t>
      </w:r>
      <w:r w:rsidR="001F420D" w:rsidRPr="001F420D">
        <w:rPr>
          <w:rFonts w:asciiTheme="majorBidi" w:hAnsiTheme="majorBidi" w:cstheme="majorBidi"/>
          <w:sz w:val="24"/>
          <w:szCs w:val="24"/>
          <w:lang w:val="sv-SE"/>
        </w:rPr>
        <w:t>Semakin tinggi rasio FDR, maka semakin besar proporsi dana pihak ketiga yang disalurkan ke pembiayaan, namun hal ini juga berpotensi meningkatkan risiko likuiditas jika tidak diimbangi dengan manajemen yang baik. Oleh karena itu, bank harus mampu menjaga keseimbangan antara penyaluran pembiayaan dan ketersediaan dana likuid agar tetap dapat memenuhi kebutuhan penarikan dana nasabah sewaktu-waktu.</w:t>
      </w:r>
    </w:p>
    <w:p w14:paraId="09A295C6" w14:textId="77777777" w:rsidR="00852568" w:rsidRDefault="00852568" w:rsidP="00A4276F">
      <w:pPr>
        <w:spacing w:after="0" w:line="360" w:lineRule="auto"/>
        <w:ind w:left="426" w:firstLine="709"/>
        <w:jc w:val="both"/>
        <w:rPr>
          <w:rFonts w:asciiTheme="majorBidi" w:hAnsiTheme="majorBidi" w:cstheme="majorBidi"/>
          <w:sz w:val="24"/>
          <w:szCs w:val="24"/>
          <w:lang w:val="sv-SE"/>
        </w:rPr>
      </w:pPr>
      <w:r w:rsidRPr="00852568">
        <w:rPr>
          <w:rFonts w:asciiTheme="majorBidi" w:hAnsiTheme="majorBidi" w:cstheme="majorBidi"/>
          <w:sz w:val="24"/>
          <w:szCs w:val="24"/>
          <w:lang w:val="sv-SE"/>
        </w:rPr>
        <w:lastRenderedPageBreak/>
        <w:t>Dilihat pada tabel 1. 3, nilai FDR pada periode 2017 sampai 2024 menunjukkan perubahan yang tidak stabil. Pada triwulan ketiga tahun 2018, nilai FDR bertambah menjadi 79,03% dan total deposito mudharabah juga mengalami kenaikan. Di triwulan ketiga tahun 2020, angka FDR meningkat sebesar 73,80% dan jumlah deposito mudharabah juga ikut naik. Namun, di triwulan terakhir Q4, nilai FDR mengalami penurunan sebesar 40,08% dan total deposito mudharabah juga menyusut.</w:t>
      </w:r>
    </w:p>
    <w:p w14:paraId="21F23EBC" w14:textId="77777777" w:rsidR="00852568" w:rsidRDefault="00852568" w:rsidP="00A4276F">
      <w:pPr>
        <w:tabs>
          <w:tab w:val="left" w:pos="426"/>
        </w:tabs>
        <w:spacing w:after="0" w:line="360" w:lineRule="auto"/>
        <w:ind w:left="426" w:firstLine="709"/>
        <w:jc w:val="both"/>
        <w:rPr>
          <w:rFonts w:asciiTheme="majorBidi" w:hAnsiTheme="majorBidi" w:cstheme="majorBidi"/>
          <w:sz w:val="24"/>
          <w:szCs w:val="24"/>
          <w:lang w:val="sv-SE"/>
        </w:rPr>
      </w:pPr>
      <w:r w:rsidRPr="00852568">
        <w:rPr>
          <w:rFonts w:asciiTheme="majorBidi" w:hAnsiTheme="majorBidi" w:cstheme="majorBidi"/>
          <w:sz w:val="24"/>
          <w:szCs w:val="24"/>
          <w:lang w:val="sv-SE"/>
        </w:rPr>
        <w:t>Secara teori, peningkatan rasio FDR menunjukkan bahwa likuiditas bank tersebut sedang melemah, karena FDR yang terlalu tinggi menunjukkan bahwa dana pihak ketiga tidak mencukupi untuk menutupi pembiayaan yang diberikan. Masalah yang dihadapi oleh bank tidak hanya disebabkan oleh kerugian, tetapi lebih pada ketidakmampuannya dalam memenuhi kebutuhan likuiditas. Oleh karena itu, dapat disimpulkan bahwa kekhawatiran nasabah tentang risiko likuiditas akan menyebabkan penurunan jumlah simpanan mudharabah jika rasio FDR berada pada nilai yang tinggi.</w:t>
      </w:r>
    </w:p>
    <w:p w14:paraId="5F05E70F" w14:textId="77777777" w:rsidR="00852568" w:rsidRDefault="00852568" w:rsidP="00A4276F">
      <w:pPr>
        <w:tabs>
          <w:tab w:val="left" w:pos="426"/>
        </w:tabs>
        <w:spacing w:after="0" w:line="360" w:lineRule="auto"/>
        <w:ind w:left="426" w:firstLine="709"/>
        <w:jc w:val="both"/>
        <w:rPr>
          <w:rFonts w:asciiTheme="majorBidi" w:hAnsiTheme="majorBidi" w:cstheme="majorBidi"/>
          <w:sz w:val="24"/>
          <w:szCs w:val="24"/>
          <w:lang w:val="sv-SE"/>
        </w:rPr>
      </w:pPr>
      <w:r w:rsidRPr="00852568">
        <w:rPr>
          <w:rFonts w:asciiTheme="majorBidi" w:hAnsiTheme="majorBidi" w:cstheme="majorBidi"/>
          <w:sz w:val="24"/>
          <w:szCs w:val="24"/>
          <w:lang w:val="sv-SE"/>
        </w:rPr>
        <w:t>Indikator bagi para klien dalam memilih produk deposito mudharabah, selain risiko, adalah nisbah bagi hasil. Dari penjelasan data pada tabel 1. 3, tampak bahwa setiap tahun angka nisbah bagi hasil deposito mudharabah di Bank Muamalat Indonesia sangat beragam. Bank syariah menawarkan imbal hasil yang tidak konsisten tergantung pada sistem mudharabah, yang berperan sebagai pembagian hasil ketika ada laba dari usaha. Jika bank syariah menghadapi kerugian, nasabah yang memiliki dana tetap akan mendapatkan perlindungan oleh Lembaga Penjamin Simpanan (LPS). Dengan demikian, dapat disimpulkan bahwa tingkat bagi hasil sangat bergantung pada kemampuan bank dalam mengelola investasi yang diberikan kepadanya.</w:t>
      </w:r>
    </w:p>
    <w:p w14:paraId="7E4A7F36" w14:textId="1A8A0CA5" w:rsidR="00BE0174" w:rsidRPr="00B839FE" w:rsidRDefault="00335B29" w:rsidP="00A4276F">
      <w:pPr>
        <w:tabs>
          <w:tab w:val="left" w:pos="426"/>
        </w:tabs>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Beberapa penelitian sebelumnya telah membahas faktor yang mempengaruhi deposito mudharabah, namun banyak yang fokus pada</w:t>
      </w:r>
      <w:r w:rsidR="00963480" w:rsidRPr="00B51544">
        <w:rPr>
          <w:rFonts w:asciiTheme="majorBidi" w:hAnsiTheme="majorBidi" w:cstheme="majorBidi"/>
          <w:sz w:val="24"/>
          <w:szCs w:val="24"/>
          <w:lang w:val="sv-SE"/>
        </w:rPr>
        <w:t xml:space="preserve"> risiko </w:t>
      </w:r>
      <w:r w:rsidR="00EB6351" w:rsidRPr="00B51544">
        <w:rPr>
          <w:rFonts w:asciiTheme="majorBidi" w:hAnsiTheme="majorBidi" w:cstheme="majorBidi"/>
          <w:sz w:val="24"/>
          <w:szCs w:val="24"/>
          <w:lang w:val="sv-SE"/>
        </w:rPr>
        <w:t>pembiayaan</w:t>
      </w:r>
      <w:r w:rsidR="00963480"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dan</w:t>
      </w:r>
      <w:r w:rsidR="00E85EEB"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 xml:space="preserve">likuiditas, tanpa mempertimbangkan </w:t>
      </w:r>
      <w:r w:rsidR="00963480" w:rsidRPr="00B51544">
        <w:rPr>
          <w:rFonts w:asciiTheme="majorBidi" w:hAnsiTheme="majorBidi" w:cstheme="majorBidi"/>
          <w:sz w:val="24"/>
          <w:szCs w:val="24"/>
          <w:lang w:val="sv-SE"/>
        </w:rPr>
        <w:t>nisbah bagi hasil</w:t>
      </w:r>
      <w:r w:rsidRPr="00B51544">
        <w:rPr>
          <w:rFonts w:asciiTheme="majorBidi" w:hAnsiTheme="majorBidi" w:cstheme="majorBidi"/>
          <w:sz w:val="24"/>
          <w:szCs w:val="24"/>
          <w:lang w:val="sv-SE"/>
        </w:rPr>
        <w:t>. </w:t>
      </w:r>
      <w:r w:rsidR="00E85EEB" w:rsidRPr="00B51544">
        <w:rPr>
          <w:rFonts w:asciiTheme="majorBidi" w:hAnsiTheme="majorBidi" w:cstheme="majorBidi"/>
          <w:sz w:val="24"/>
          <w:szCs w:val="24"/>
          <w:lang w:val="sv-SE"/>
        </w:rPr>
        <w:t xml:space="preserve">Misalnya penelitian </w:t>
      </w:r>
      <w:r w:rsidR="00963480" w:rsidRPr="00B51544">
        <w:rPr>
          <w:rFonts w:asciiTheme="majorBidi" w:hAnsiTheme="majorBidi" w:cstheme="majorBidi"/>
          <w:sz w:val="24"/>
          <w:szCs w:val="24"/>
          <w:lang w:val="sv-SE"/>
        </w:rPr>
        <w:t xml:space="preserve">yang dilakukan </w:t>
      </w:r>
      <w:r w:rsidR="00DA36D0" w:rsidRPr="00B51544">
        <w:rPr>
          <w:rFonts w:asciiTheme="majorBidi" w:hAnsiTheme="majorBidi" w:cstheme="majorBidi"/>
          <w:sz w:val="24"/>
          <w:szCs w:val="24"/>
          <w:lang w:val="sv-SE"/>
        </w:rPr>
        <w:t>N</w:t>
      </w:r>
      <w:r w:rsidR="000D5FFF" w:rsidRPr="00B51544">
        <w:rPr>
          <w:rFonts w:asciiTheme="majorBidi" w:hAnsiTheme="majorBidi" w:cstheme="majorBidi"/>
          <w:sz w:val="24"/>
          <w:szCs w:val="24"/>
          <w:lang w:val="sv-SE"/>
        </w:rPr>
        <w:t>ovia</w:t>
      </w:r>
      <w:r w:rsidR="00DA36D0" w:rsidRPr="00B51544">
        <w:rPr>
          <w:rFonts w:asciiTheme="majorBidi" w:hAnsiTheme="majorBidi" w:cstheme="majorBidi"/>
          <w:sz w:val="24"/>
          <w:szCs w:val="24"/>
          <w:lang w:val="sv-SE"/>
        </w:rPr>
        <w:t>(202</w:t>
      </w:r>
      <w:r w:rsidR="000D5FFF" w:rsidRPr="00B51544">
        <w:rPr>
          <w:rFonts w:asciiTheme="majorBidi" w:hAnsiTheme="majorBidi" w:cstheme="majorBidi"/>
          <w:sz w:val="24"/>
          <w:szCs w:val="24"/>
          <w:lang w:val="sv-SE"/>
        </w:rPr>
        <w:t>2</w:t>
      </w:r>
      <w:r w:rsidR="00DA36D0" w:rsidRPr="00B51544">
        <w:rPr>
          <w:rFonts w:asciiTheme="majorBidi" w:hAnsiTheme="majorBidi" w:cstheme="majorBidi"/>
          <w:sz w:val="24"/>
          <w:szCs w:val="24"/>
          <w:lang w:val="sv-SE"/>
        </w:rPr>
        <w:t>)</w:t>
      </w:r>
      <w:r w:rsidR="00DA36D0" w:rsidRPr="00B51544">
        <w:rPr>
          <w:rStyle w:val="FootnoteReference"/>
          <w:rFonts w:asciiTheme="majorBidi" w:hAnsiTheme="majorBidi" w:cstheme="majorBidi"/>
          <w:sz w:val="24"/>
          <w:szCs w:val="24"/>
          <w:lang w:val="sv-SE"/>
        </w:rPr>
        <w:footnoteReference w:id="19"/>
      </w:r>
      <w:r w:rsidR="00E1650B" w:rsidRPr="00B51544">
        <w:rPr>
          <w:rFonts w:asciiTheme="majorBidi" w:hAnsiTheme="majorBidi" w:cstheme="majorBidi"/>
          <w:sz w:val="24"/>
          <w:szCs w:val="24"/>
          <w:lang w:val="sv-SE"/>
        </w:rPr>
        <w:t xml:space="preserve"> </w:t>
      </w:r>
      <w:r w:rsidR="00963480" w:rsidRPr="00B51544">
        <w:rPr>
          <w:rFonts w:asciiTheme="majorBidi" w:hAnsiTheme="majorBidi" w:cstheme="majorBidi"/>
          <w:sz w:val="24"/>
          <w:szCs w:val="24"/>
          <w:lang w:val="sv-SE"/>
        </w:rPr>
        <w:t xml:space="preserve">menjelaskan bahwasanya Risiko </w:t>
      </w:r>
      <w:r w:rsidR="00F94DF3" w:rsidRPr="00B51544">
        <w:rPr>
          <w:rFonts w:asciiTheme="majorBidi" w:hAnsiTheme="majorBidi" w:cstheme="majorBidi"/>
          <w:sz w:val="24"/>
          <w:szCs w:val="24"/>
          <w:lang w:val="sv-SE"/>
        </w:rPr>
        <w:t>Pembiayaan</w:t>
      </w:r>
      <w:r w:rsidR="00E1650B" w:rsidRPr="00B51544">
        <w:rPr>
          <w:rFonts w:asciiTheme="majorBidi" w:hAnsiTheme="majorBidi" w:cstheme="majorBidi"/>
          <w:sz w:val="24"/>
          <w:szCs w:val="24"/>
          <w:lang w:val="sv-SE"/>
        </w:rPr>
        <w:t xml:space="preserve"> </w:t>
      </w:r>
      <w:r w:rsidR="00963480" w:rsidRPr="00B51544">
        <w:rPr>
          <w:rFonts w:asciiTheme="majorBidi" w:hAnsiTheme="majorBidi" w:cstheme="majorBidi"/>
          <w:sz w:val="24"/>
          <w:szCs w:val="24"/>
          <w:lang w:val="sv-SE"/>
        </w:rPr>
        <w:t>berpengaruh</w:t>
      </w:r>
      <w:r w:rsidR="00F94DF3" w:rsidRPr="00B51544">
        <w:rPr>
          <w:rFonts w:asciiTheme="majorBidi" w:hAnsiTheme="majorBidi" w:cstheme="majorBidi"/>
          <w:sz w:val="24"/>
          <w:szCs w:val="24"/>
          <w:lang w:val="sv-SE"/>
        </w:rPr>
        <w:t xml:space="preserve"> </w:t>
      </w:r>
      <w:r w:rsidR="000D5FFF" w:rsidRPr="00B51544">
        <w:rPr>
          <w:rFonts w:asciiTheme="majorBidi" w:hAnsiTheme="majorBidi" w:cstheme="majorBidi"/>
          <w:sz w:val="24"/>
          <w:szCs w:val="24"/>
          <w:lang w:val="sv-SE"/>
        </w:rPr>
        <w:t>signifikan</w:t>
      </w:r>
      <w:r w:rsidR="00963480" w:rsidRPr="00B51544">
        <w:rPr>
          <w:rFonts w:asciiTheme="majorBidi" w:hAnsiTheme="majorBidi" w:cstheme="majorBidi"/>
          <w:sz w:val="24"/>
          <w:szCs w:val="24"/>
          <w:lang w:val="sv-SE"/>
        </w:rPr>
        <w:t xml:space="preserve"> terhadap  Deposito Mudharabah, hal ini berbeda ditunjukkan oleh </w:t>
      </w:r>
      <w:r w:rsidR="00780318" w:rsidRPr="00B51544">
        <w:rPr>
          <w:rFonts w:asciiTheme="majorBidi" w:hAnsiTheme="majorBidi" w:cstheme="majorBidi"/>
          <w:sz w:val="24"/>
          <w:szCs w:val="24"/>
          <w:lang w:val="sv-SE"/>
        </w:rPr>
        <w:t>Wilda (2021)</w:t>
      </w:r>
      <w:r w:rsidR="00780318" w:rsidRPr="00B51544">
        <w:rPr>
          <w:rStyle w:val="FootnoteReference"/>
          <w:rFonts w:asciiTheme="majorBidi" w:hAnsiTheme="majorBidi" w:cstheme="majorBidi"/>
          <w:sz w:val="24"/>
          <w:szCs w:val="24"/>
          <w:lang w:val="sv-SE"/>
        </w:rPr>
        <w:footnoteReference w:id="20"/>
      </w:r>
      <w:r w:rsidR="00780318" w:rsidRPr="00B51544">
        <w:rPr>
          <w:rFonts w:asciiTheme="majorBidi" w:hAnsiTheme="majorBidi" w:cstheme="majorBidi"/>
          <w:sz w:val="24"/>
          <w:szCs w:val="24"/>
          <w:lang w:val="sv-SE"/>
        </w:rPr>
        <w:t xml:space="preserve"> </w:t>
      </w:r>
      <w:r w:rsidR="006C7242" w:rsidRPr="00B51544">
        <w:rPr>
          <w:rFonts w:asciiTheme="majorBidi" w:hAnsiTheme="majorBidi" w:cstheme="majorBidi"/>
          <w:sz w:val="24"/>
          <w:szCs w:val="24"/>
          <w:lang w:val="sv-SE"/>
        </w:rPr>
        <w:t>menunjukkan</w:t>
      </w:r>
      <w:r w:rsidR="00780318" w:rsidRPr="00B51544">
        <w:rPr>
          <w:rFonts w:asciiTheme="majorBidi" w:hAnsiTheme="majorBidi" w:cstheme="majorBidi"/>
          <w:sz w:val="24"/>
          <w:szCs w:val="24"/>
          <w:lang w:val="sv-SE"/>
        </w:rPr>
        <w:t xml:space="preserve"> </w:t>
      </w:r>
      <w:r w:rsidR="002E7062" w:rsidRPr="00B51544">
        <w:rPr>
          <w:rFonts w:asciiTheme="majorBidi" w:hAnsiTheme="majorBidi" w:cstheme="majorBidi"/>
          <w:sz w:val="24"/>
          <w:szCs w:val="24"/>
          <w:lang w:val="sv-SE"/>
        </w:rPr>
        <w:t xml:space="preserve">risiko pembiayaan (NPF) bahwasanya </w:t>
      </w:r>
      <w:r w:rsidR="00142DC5" w:rsidRPr="00142DC5">
        <w:rPr>
          <w:rFonts w:asciiTheme="majorBidi" w:hAnsiTheme="majorBidi" w:cstheme="majorBidi"/>
          <w:sz w:val="24"/>
          <w:szCs w:val="24"/>
          <w:lang w:val="sv-SE"/>
        </w:rPr>
        <w:t>berpengaruh positif tidak signifikan</w:t>
      </w:r>
      <w:r w:rsidR="002E7062" w:rsidRPr="00B51544">
        <w:rPr>
          <w:rFonts w:asciiTheme="majorBidi" w:hAnsiTheme="majorBidi" w:cstheme="majorBidi"/>
          <w:sz w:val="24"/>
          <w:szCs w:val="24"/>
          <w:lang w:val="sv-SE"/>
        </w:rPr>
        <w:t xml:space="preserve"> terhadap deposito </w:t>
      </w:r>
      <w:r w:rsidR="002E7062" w:rsidRPr="00B51544">
        <w:rPr>
          <w:rFonts w:asciiTheme="majorBidi" w:hAnsiTheme="majorBidi" w:cstheme="majorBidi"/>
          <w:sz w:val="24"/>
          <w:szCs w:val="24"/>
          <w:lang w:val="sv-SE"/>
        </w:rPr>
        <w:lastRenderedPageBreak/>
        <w:t>mudharabah</w:t>
      </w:r>
      <w:r w:rsidR="00301974" w:rsidRPr="00B839FE">
        <w:rPr>
          <w:rFonts w:asciiTheme="majorBidi" w:hAnsiTheme="majorBidi" w:cstheme="majorBidi"/>
          <w:sz w:val="24"/>
          <w:szCs w:val="24"/>
          <w:lang w:val="sv-SE"/>
        </w:rPr>
        <w:t>.</w:t>
      </w:r>
      <w:r w:rsidR="00B839FE" w:rsidRPr="00B839FE">
        <w:rPr>
          <w:rFonts w:asciiTheme="majorBidi" w:hAnsiTheme="majorBidi" w:cstheme="majorBidi"/>
          <w:sz w:val="24"/>
          <w:szCs w:val="24"/>
          <w:lang w:val="sv-SE"/>
        </w:rPr>
        <w:t xml:space="preserve"> Akan</w:t>
      </w:r>
      <w:r w:rsidR="00B839FE">
        <w:rPr>
          <w:rFonts w:asciiTheme="majorBidi" w:hAnsiTheme="majorBidi" w:cstheme="majorBidi"/>
          <w:b/>
          <w:bCs/>
          <w:sz w:val="24"/>
          <w:szCs w:val="24"/>
          <w:lang w:val="sv-SE"/>
        </w:rPr>
        <w:t xml:space="preserve"> </w:t>
      </w:r>
      <w:r w:rsidR="00B839FE" w:rsidRPr="00B839FE">
        <w:rPr>
          <w:rFonts w:asciiTheme="majorBidi" w:hAnsiTheme="majorBidi" w:cstheme="majorBidi"/>
          <w:sz w:val="24"/>
          <w:szCs w:val="24"/>
          <w:lang w:val="sv-SE"/>
        </w:rPr>
        <w:t>tetapi pene</w:t>
      </w:r>
      <w:r w:rsidR="00B839FE">
        <w:rPr>
          <w:rFonts w:asciiTheme="majorBidi" w:hAnsiTheme="majorBidi" w:cstheme="majorBidi"/>
          <w:sz w:val="24"/>
          <w:szCs w:val="24"/>
          <w:lang w:val="sv-SE"/>
        </w:rPr>
        <w:t>litian yang dilakukan oleh Agung Yulianto (2016)</w:t>
      </w:r>
      <w:r w:rsidR="00B839FE">
        <w:rPr>
          <w:rStyle w:val="FootnoteReference"/>
          <w:rFonts w:asciiTheme="majorBidi" w:hAnsiTheme="majorBidi" w:cstheme="majorBidi"/>
          <w:sz w:val="24"/>
          <w:szCs w:val="24"/>
          <w:lang w:val="sv-SE"/>
        </w:rPr>
        <w:footnoteReference w:id="21"/>
      </w:r>
      <w:r w:rsidR="00B839FE">
        <w:rPr>
          <w:rFonts w:asciiTheme="majorBidi" w:hAnsiTheme="majorBidi" w:cstheme="majorBidi"/>
          <w:sz w:val="24"/>
          <w:szCs w:val="24"/>
          <w:lang w:val="sv-SE"/>
        </w:rPr>
        <w:t xml:space="preserve"> menunjukkan risiko pembiayaan (NPF) berpengaruh negatif terhadap deposito mudharabah.</w:t>
      </w:r>
    </w:p>
    <w:p w14:paraId="1E778C65" w14:textId="44847B18" w:rsidR="00BE0174" w:rsidRPr="00B51544" w:rsidRDefault="00963480" w:rsidP="00A4276F">
      <w:pPr>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Penelitian yang dilakukan Nini (2020)</w:t>
      </w:r>
      <w:r w:rsidRPr="00B51544">
        <w:rPr>
          <w:rStyle w:val="FootnoteReference"/>
          <w:rFonts w:asciiTheme="majorBidi" w:hAnsiTheme="majorBidi" w:cstheme="majorBidi"/>
          <w:sz w:val="24"/>
          <w:szCs w:val="24"/>
          <w:lang w:val="sv-SE"/>
        </w:rPr>
        <w:footnoteReference w:id="22"/>
      </w:r>
      <w:r w:rsidR="009F5161" w:rsidRPr="00B51544">
        <w:rPr>
          <w:rFonts w:asciiTheme="majorBidi" w:hAnsiTheme="majorBidi" w:cstheme="majorBidi"/>
          <w:sz w:val="24"/>
          <w:szCs w:val="24"/>
          <w:lang w:val="sv-SE"/>
        </w:rPr>
        <w:t xml:space="preserve"> </w:t>
      </w:r>
      <w:r w:rsidR="00FF5856" w:rsidRPr="00B51544">
        <w:rPr>
          <w:rFonts w:asciiTheme="majorBidi" w:hAnsiTheme="majorBidi" w:cstheme="majorBidi"/>
          <w:sz w:val="24"/>
          <w:szCs w:val="24"/>
          <w:lang w:val="sv-SE"/>
        </w:rPr>
        <w:t>dan</w:t>
      </w:r>
      <w:r w:rsidRPr="00B51544">
        <w:rPr>
          <w:rFonts w:asciiTheme="majorBidi" w:hAnsiTheme="majorBidi" w:cstheme="majorBidi"/>
          <w:sz w:val="24"/>
          <w:szCs w:val="24"/>
          <w:lang w:val="sv-SE"/>
        </w:rPr>
        <w:t xml:space="preserve"> Laily (2024)</w:t>
      </w:r>
      <w:r w:rsidRPr="00B51544">
        <w:rPr>
          <w:rStyle w:val="FootnoteReference"/>
          <w:rFonts w:asciiTheme="majorBidi" w:hAnsiTheme="majorBidi" w:cstheme="majorBidi"/>
          <w:sz w:val="24"/>
          <w:szCs w:val="24"/>
          <w:lang w:val="sv-SE"/>
        </w:rPr>
        <w:footnoteReference w:id="23"/>
      </w:r>
      <w:r w:rsidRPr="00B51544">
        <w:rPr>
          <w:rFonts w:asciiTheme="majorBidi" w:hAnsiTheme="majorBidi" w:cstheme="majorBidi"/>
          <w:sz w:val="24"/>
          <w:szCs w:val="24"/>
          <w:lang w:val="sv-SE"/>
        </w:rPr>
        <w:t xml:space="preserve"> menjelaskan bahwasanya Risiko Likuiditas </w:t>
      </w:r>
      <w:r w:rsidR="009F5161" w:rsidRPr="00B51544">
        <w:rPr>
          <w:rFonts w:asciiTheme="majorBidi" w:hAnsiTheme="majorBidi" w:cstheme="majorBidi"/>
          <w:sz w:val="24"/>
          <w:szCs w:val="24"/>
          <w:lang w:val="sv-SE"/>
        </w:rPr>
        <w:t>(FDR)</w:t>
      </w:r>
      <w:r w:rsidRPr="00B51544">
        <w:rPr>
          <w:rFonts w:asciiTheme="majorBidi" w:hAnsiTheme="majorBidi" w:cstheme="majorBidi"/>
          <w:sz w:val="24"/>
          <w:szCs w:val="24"/>
          <w:lang w:val="sv-SE"/>
        </w:rPr>
        <w:t xml:space="preserve"> berpengaruh terhadap  Deposito Mudharabah, tetapi hal ini berbeda ditunjukkan oleh Maulana (2018)</w:t>
      </w:r>
      <w:r w:rsidRPr="00B51544">
        <w:rPr>
          <w:rStyle w:val="FootnoteReference"/>
          <w:rFonts w:asciiTheme="majorBidi" w:hAnsiTheme="majorBidi" w:cstheme="majorBidi"/>
          <w:sz w:val="24"/>
          <w:szCs w:val="24"/>
          <w:lang w:val="sv-SE"/>
        </w:rPr>
        <w:footnoteReference w:id="24"/>
      </w:r>
      <w:r w:rsidR="009F5161" w:rsidRPr="00B51544">
        <w:rPr>
          <w:rFonts w:asciiTheme="majorBidi" w:hAnsiTheme="majorBidi" w:cstheme="majorBidi"/>
          <w:sz w:val="24"/>
          <w:szCs w:val="24"/>
          <w:lang w:val="sv-SE"/>
        </w:rPr>
        <w:t>, Fauzan (2016)</w:t>
      </w:r>
      <w:r w:rsidR="009F5161" w:rsidRPr="00B51544">
        <w:rPr>
          <w:rStyle w:val="FootnoteReference"/>
          <w:rFonts w:asciiTheme="majorBidi" w:hAnsiTheme="majorBidi" w:cstheme="majorBidi"/>
          <w:sz w:val="24"/>
          <w:szCs w:val="24"/>
          <w:lang w:val="sv-SE"/>
        </w:rPr>
        <w:footnoteReference w:id="25"/>
      </w:r>
      <w:r w:rsidR="009F5161" w:rsidRPr="00B51544">
        <w:rPr>
          <w:rFonts w:asciiTheme="majorBidi" w:hAnsiTheme="majorBidi" w:cstheme="majorBidi"/>
          <w:sz w:val="24"/>
          <w:szCs w:val="24"/>
          <w:lang w:val="sv-SE"/>
        </w:rPr>
        <w:t xml:space="preserve"> dan Akhris (2018)</w:t>
      </w:r>
      <w:r w:rsidR="009F5161" w:rsidRPr="00B51544">
        <w:rPr>
          <w:rStyle w:val="FootnoteReference"/>
          <w:rFonts w:asciiTheme="majorBidi" w:hAnsiTheme="majorBidi" w:cstheme="majorBidi"/>
          <w:sz w:val="24"/>
          <w:szCs w:val="24"/>
          <w:lang w:val="sv-SE"/>
        </w:rPr>
        <w:footnoteReference w:id="26"/>
      </w:r>
      <w:r w:rsidR="009F5161"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 xml:space="preserve">menjelaskan bahwasanya </w:t>
      </w:r>
      <w:r w:rsidR="009F5161" w:rsidRPr="00B51544">
        <w:rPr>
          <w:rFonts w:asciiTheme="majorBidi" w:hAnsiTheme="majorBidi" w:cstheme="majorBidi"/>
          <w:sz w:val="24"/>
          <w:szCs w:val="24"/>
          <w:lang w:val="sv-SE"/>
        </w:rPr>
        <w:t>risiko likuiditas (FDR)</w:t>
      </w:r>
      <w:r w:rsidRPr="00B51544">
        <w:rPr>
          <w:rFonts w:asciiTheme="majorBidi" w:hAnsiTheme="majorBidi" w:cstheme="majorBidi"/>
          <w:sz w:val="24"/>
          <w:szCs w:val="24"/>
          <w:lang w:val="sv-SE"/>
        </w:rPr>
        <w:t xml:space="preserve"> tidak berpengaruh </w:t>
      </w:r>
      <w:r w:rsidR="009F5161" w:rsidRPr="00B51544">
        <w:rPr>
          <w:rFonts w:asciiTheme="majorBidi" w:hAnsiTheme="majorBidi" w:cstheme="majorBidi"/>
          <w:sz w:val="24"/>
          <w:szCs w:val="24"/>
          <w:lang w:val="sv-SE"/>
        </w:rPr>
        <w:t xml:space="preserve">signifikan </w:t>
      </w:r>
      <w:r w:rsidRPr="00B51544">
        <w:rPr>
          <w:rFonts w:asciiTheme="majorBidi" w:hAnsiTheme="majorBidi" w:cstheme="majorBidi"/>
          <w:sz w:val="24"/>
          <w:szCs w:val="24"/>
          <w:lang w:val="sv-SE"/>
        </w:rPr>
        <w:t xml:space="preserve">terhadap </w:t>
      </w:r>
      <w:r w:rsidR="009F5161" w:rsidRPr="00B51544">
        <w:rPr>
          <w:rFonts w:asciiTheme="majorBidi" w:hAnsiTheme="majorBidi" w:cstheme="majorBidi"/>
          <w:sz w:val="24"/>
          <w:szCs w:val="24"/>
          <w:lang w:val="sv-SE"/>
        </w:rPr>
        <w:t>deposito mudharabah</w:t>
      </w:r>
      <w:r w:rsidRPr="00B51544">
        <w:rPr>
          <w:rFonts w:asciiTheme="majorBidi" w:hAnsiTheme="majorBidi" w:cstheme="majorBidi"/>
          <w:sz w:val="24"/>
          <w:szCs w:val="24"/>
          <w:lang w:val="sv-SE"/>
        </w:rPr>
        <w:t>.</w:t>
      </w:r>
      <w:r w:rsidR="006C7242" w:rsidRPr="00B51544">
        <w:rPr>
          <w:rFonts w:asciiTheme="majorBidi" w:hAnsiTheme="majorBidi" w:cstheme="majorBidi"/>
          <w:sz w:val="24"/>
          <w:szCs w:val="24"/>
          <w:lang w:val="sv-SE"/>
        </w:rPr>
        <w:t xml:space="preserve"> Akan tetapi penelitian yang dilakukan oleh </w:t>
      </w:r>
      <w:r w:rsidR="00FF5856" w:rsidRPr="00B51544">
        <w:rPr>
          <w:rFonts w:asciiTheme="majorBidi" w:hAnsiTheme="majorBidi" w:cstheme="majorBidi"/>
          <w:sz w:val="24"/>
          <w:szCs w:val="24"/>
          <w:lang w:val="sv-SE"/>
        </w:rPr>
        <w:t>Shoona (2020)</w:t>
      </w:r>
      <w:r w:rsidR="00FF5856" w:rsidRPr="00B51544">
        <w:rPr>
          <w:rStyle w:val="FootnoteReference"/>
          <w:rFonts w:asciiTheme="majorBidi" w:hAnsiTheme="majorBidi" w:cstheme="majorBidi"/>
          <w:sz w:val="24"/>
          <w:szCs w:val="24"/>
          <w:lang w:val="sv-SE"/>
        </w:rPr>
        <w:footnoteReference w:id="27"/>
      </w:r>
      <w:r w:rsidR="00EB7547" w:rsidRPr="00B51544">
        <w:rPr>
          <w:rFonts w:asciiTheme="majorBidi" w:hAnsiTheme="majorBidi" w:cstheme="majorBidi"/>
          <w:sz w:val="24"/>
          <w:szCs w:val="24"/>
          <w:lang w:val="sv-SE"/>
        </w:rPr>
        <w:t xml:space="preserve">, </w:t>
      </w:r>
      <w:r w:rsidR="00FF5856" w:rsidRPr="00B51544">
        <w:rPr>
          <w:rFonts w:asciiTheme="majorBidi" w:hAnsiTheme="majorBidi" w:cstheme="majorBidi"/>
          <w:sz w:val="24"/>
          <w:szCs w:val="24"/>
          <w:lang w:val="sv-SE"/>
        </w:rPr>
        <w:t>Rani(2021)</w:t>
      </w:r>
      <w:r w:rsidR="00FF5856" w:rsidRPr="00B51544">
        <w:rPr>
          <w:rStyle w:val="FootnoteReference"/>
          <w:rFonts w:asciiTheme="majorBidi" w:hAnsiTheme="majorBidi" w:cstheme="majorBidi"/>
          <w:sz w:val="24"/>
          <w:szCs w:val="24"/>
          <w:lang w:val="sv-SE"/>
        </w:rPr>
        <w:footnoteReference w:id="28"/>
      </w:r>
      <w:r w:rsidR="00FF5856" w:rsidRPr="00B51544">
        <w:rPr>
          <w:rFonts w:asciiTheme="majorBidi" w:hAnsiTheme="majorBidi" w:cstheme="majorBidi"/>
          <w:sz w:val="24"/>
          <w:szCs w:val="24"/>
          <w:lang w:val="sv-SE"/>
        </w:rPr>
        <w:t xml:space="preserve"> </w:t>
      </w:r>
      <w:r w:rsidR="00EB7547" w:rsidRPr="00B51544">
        <w:rPr>
          <w:rFonts w:asciiTheme="majorBidi" w:hAnsiTheme="majorBidi" w:cstheme="majorBidi"/>
          <w:sz w:val="24"/>
          <w:szCs w:val="24"/>
          <w:lang w:val="sv-SE"/>
        </w:rPr>
        <w:t>dan Firda (2019)</w:t>
      </w:r>
      <w:r w:rsidR="00EB7547" w:rsidRPr="00B51544">
        <w:rPr>
          <w:rStyle w:val="FootnoteReference"/>
          <w:rFonts w:asciiTheme="majorBidi" w:hAnsiTheme="majorBidi" w:cstheme="majorBidi"/>
          <w:sz w:val="24"/>
          <w:szCs w:val="24"/>
          <w:lang w:val="sv-SE"/>
        </w:rPr>
        <w:footnoteReference w:id="29"/>
      </w:r>
      <w:r w:rsidR="00EB7547" w:rsidRPr="00B51544">
        <w:rPr>
          <w:rFonts w:asciiTheme="majorBidi" w:hAnsiTheme="majorBidi" w:cstheme="majorBidi"/>
          <w:sz w:val="24"/>
          <w:szCs w:val="24"/>
          <w:lang w:val="sv-SE"/>
        </w:rPr>
        <w:t xml:space="preserve"> </w:t>
      </w:r>
      <w:r w:rsidR="006C7242" w:rsidRPr="00B51544">
        <w:rPr>
          <w:rFonts w:asciiTheme="majorBidi" w:hAnsiTheme="majorBidi" w:cstheme="majorBidi"/>
          <w:sz w:val="24"/>
          <w:szCs w:val="24"/>
          <w:lang w:val="sv-SE"/>
        </w:rPr>
        <w:t xml:space="preserve">menunjukkan </w:t>
      </w:r>
      <w:r w:rsidR="00EB7547" w:rsidRPr="00B51544">
        <w:rPr>
          <w:rFonts w:asciiTheme="majorBidi" w:hAnsiTheme="majorBidi" w:cstheme="majorBidi"/>
          <w:sz w:val="24"/>
          <w:szCs w:val="24"/>
          <w:lang w:val="sv-SE"/>
        </w:rPr>
        <w:t xml:space="preserve">risiko likuiditas (FDR) </w:t>
      </w:r>
      <w:r w:rsidR="00FF5856" w:rsidRPr="00B51544">
        <w:rPr>
          <w:rFonts w:asciiTheme="majorBidi" w:hAnsiTheme="majorBidi" w:cstheme="majorBidi"/>
          <w:sz w:val="24"/>
          <w:szCs w:val="24"/>
          <w:lang w:val="sv-SE"/>
        </w:rPr>
        <w:t>berpengaruh negatif</w:t>
      </w:r>
      <w:r w:rsidR="00EB7547" w:rsidRPr="00B51544">
        <w:rPr>
          <w:rFonts w:asciiTheme="majorBidi" w:hAnsiTheme="majorBidi" w:cstheme="majorBidi"/>
          <w:sz w:val="24"/>
          <w:szCs w:val="24"/>
          <w:lang w:val="sv-SE"/>
        </w:rPr>
        <w:t xml:space="preserve"> terhadap deposito mudharabah</w:t>
      </w:r>
      <w:r w:rsidR="006C7242" w:rsidRPr="00B51544">
        <w:rPr>
          <w:rFonts w:asciiTheme="majorBidi" w:hAnsiTheme="majorBidi" w:cstheme="majorBidi"/>
          <w:sz w:val="24"/>
          <w:szCs w:val="24"/>
          <w:lang w:val="sv-SE"/>
        </w:rPr>
        <w:t>.</w:t>
      </w:r>
    </w:p>
    <w:p w14:paraId="2BD2A6EB" w14:textId="02B4E9B9" w:rsidR="00BE0174" w:rsidRPr="00B51544" w:rsidRDefault="00963480" w:rsidP="00A4276F">
      <w:pPr>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Dan penelitian – penelitian yang dilakukan Rika (2016)</w:t>
      </w:r>
      <w:r w:rsidRPr="00B51544">
        <w:rPr>
          <w:rStyle w:val="FootnoteReference"/>
          <w:rFonts w:asciiTheme="majorBidi" w:hAnsiTheme="majorBidi" w:cstheme="majorBidi"/>
          <w:sz w:val="24"/>
          <w:szCs w:val="24"/>
          <w:lang w:val="sv-SE"/>
        </w:rPr>
        <w:footnoteReference w:id="30"/>
      </w:r>
      <w:r w:rsidR="006F6C68" w:rsidRPr="00B51544">
        <w:rPr>
          <w:rFonts w:asciiTheme="majorBidi" w:hAnsiTheme="majorBidi" w:cstheme="majorBidi"/>
          <w:sz w:val="24"/>
          <w:szCs w:val="24"/>
          <w:lang w:val="sv-SE"/>
        </w:rPr>
        <w:t xml:space="preserve"> </w:t>
      </w:r>
      <w:r w:rsidR="00EB7547" w:rsidRPr="00B51544">
        <w:rPr>
          <w:rFonts w:asciiTheme="majorBidi" w:hAnsiTheme="majorBidi" w:cstheme="majorBidi"/>
          <w:sz w:val="24"/>
          <w:szCs w:val="24"/>
          <w:lang w:val="sv-SE"/>
        </w:rPr>
        <w:t xml:space="preserve">dan </w:t>
      </w:r>
      <w:r w:rsidRPr="00B51544">
        <w:rPr>
          <w:rFonts w:asciiTheme="majorBidi" w:hAnsiTheme="majorBidi" w:cstheme="majorBidi"/>
          <w:sz w:val="24"/>
          <w:szCs w:val="24"/>
          <w:lang w:val="sv-SE"/>
        </w:rPr>
        <w:t>Nurhidayatus (2022)</w:t>
      </w:r>
      <w:r w:rsidRPr="00B51544">
        <w:rPr>
          <w:rStyle w:val="FootnoteReference"/>
          <w:rFonts w:asciiTheme="majorBidi" w:hAnsiTheme="majorBidi" w:cstheme="majorBidi"/>
          <w:sz w:val="24"/>
          <w:szCs w:val="24"/>
          <w:lang w:val="sv-SE"/>
        </w:rPr>
        <w:footnoteReference w:id="31"/>
      </w:r>
      <w:r w:rsidR="009B6DEE"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menjelaskan bahwasanya Nisbah Bagi Hasil</w:t>
      </w:r>
      <w:r w:rsidR="00EB7547"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berpengaruh</w:t>
      </w:r>
      <w:r w:rsidR="00EB7547" w:rsidRPr="00B51544">
        <w:rPr>
          <w:rFonts w:asciiTheme="majorBidi" w:hAnsiTheme="majorBidi" w:cstheme="majorBidi"/>
          <w:sz w:val="24"/>
          <w:szCs w:val="24"/>
          <w:lang w:val="sv-SE"/>
        </w:rPr>
        <w:t xml:space="preserve"> signifikan</w:t>
      </w:r>
      <w:r w:rsidRPr="00B51544">
        <w:rPr>
          <w:rFonts w:asciiTheme="majorBidi" w:hAnsiTheme="majorBidi" w:cstheme="majorBidi"/>
          <w:sz w:val="24"/>
          <w:szCs w:val="24"/>
          <w:lang w:val="sv-SE"/>
        </w:rPr>
        <w:t xml:space="preserve"> terhadap  Deposito Mudharabah, tetapi hal ini berbeda ditunjukkan oleh</w:t>
      </w:r>
      <w:r w:rsidR="00EB7547" w:rsidRPr="00B51544">
        <w:rPr>
          <w:rFonts w:asciiTheme="majorBidi" w:hAnsiTheme="majorBidi" w:cstheme="majorBidi"/>
          <w:sz w:val="24"/>
          <w:szCs w:val="24"/>
          <w:lang w:val="sv-SE"/>
        </w:rPr>
        <w:t xml:space="preserve"> Nafisah (2022)</w:t>
      </w:r>
      <w:r w:rsidR="00EB7547" w:rsidRPr="00B51544">
        <w:rPr>
          <w:rStyle w:val="FootnoteReference"/>
          <w:rFonts w:asciiTheme="majorBidi" w:hAnsiTheme="majorBidi" w:cstheme="majorBidi"/>
          <w:sz w:val="24"/>
          <w:szCs w:val="24"/>
          <w:lang w:val="sv-SE"/>
        </w:rPr>
        <w:footnoteReference w:id="32"/>
      </w:r>
      <w:r w:rsidRPr="00B51544">
        <w:rPr>
          <w:rFonts w:asciiTheme="majorBidi" w:hAnsiTheme="majorBidi" w:cstheme="majorBidi"/>
          <w:sz w:val="24"/>
          <w:szCs w:val="24"/>
          <w:lang w:val="sv-SE"/>
        </w:rPr>
        <w:t xml:space="preserve"> </w:t>
      </w:r>
      <w:r w:rsidR="00EB7547" w:rsidRPr="00B51544">
        <w:rPr>
          <w:rFonts w:asciiTheme="majorBidi" w:hAnsiTheme="majorBidi" w:cstheme="majorBidi"/>
          <w:sz w:val="24"/>
          <w:szCs w:val="24"/>
          <w:lang w:val="sv-SE"/>
        </w:rPr>
        <w:t xml:space="preserve">menjelaskan bahwasanya nisbah bagi hasil berpengaruh positif terhadap deposito mudharabah. Akan tetapi, penelitian yang dilakukan oleh  </w:t>
      </w:r>
      <w:r w:rsidRPr="00B51544">
        <w:rPr>
          <w:rFonts w:asciiTheme="majorBidi" w:hAnsiTheme="majorBidi" w:cstheme="majorBidi"/>
          <w:sz w:val="24"/>
          <w:szCs w:val="24"/>
          <w:lang w:val="sv-SE"/>
        </w:rPr>
        <w:t>Fauzan (2016)</w:t>
      </w:r>
      <w:r w:rsidRPr="00B51544">
        <w:rPr>
          <w:rStyle w:val="FootnoteReference"/>
          <w:rFonts w:asciiTheme="majorBidi" w:hAnsiTheme="majorBidi" w:cstheme="majorBidi"/>
          <w:sz w:val="24"/>
          <w:szCs w:val="24"/>
          <w:lang w:val="sv-SE"/>
        </w:rPr>
        <w:footnoteReference w:id="33"/>
      </w:r>
      <w:r w:rsidR="00A34E7D"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 xml:space="preserve">menjelaskan bahwasanya </w:t>
      </w:r>
      <w:r w:rsidR="00A34E7D" w:rsidRPr="00B51544">
        <w:rPr>
          <w:rFonts w:asciiTheme="majorBidi" w:hAnsiTheme="majorBidi" w:cstheme="majorBidi"/>
          <w:sz w:val="24"/>
          <w:szCs w:val="24"/>
          <w:lang w:val="sv-SE"/>
        </w:rPr>
        <w:t xml:space="preserve">nisbah bagi hasil </w:t>
      </w:r>
      <w:r w:rsidRPr="00B51544">
        <w:rPr>
          <w:rFonts w:asciiTheme="majorBidi" w:hAnsiTheme="majorBidi" w:cstheme="majorBidi"/>
          <w:sz w:val="24"/>
          <w:szCs w:val="24"/>
          <w:lang w:val="sv-SE"/>
        </w:rPr>
        <w:t xml:space="preserve">tidak berpengaruh terhadap </w:t>
      </w:r>
      <w:bookmarkStart w:id="23" w:name="_Hlk191279800"/>
      <w:r w:rsidR="00942114" w:rsidRPr="00B51544">
        <w:rPr>
          <w:rFonts w:asciiTheme="majorBidi" w:hAnsiTheme="majorBidi" w:cstheme="majorBidi"/>
          <w:sz w:val="24"/>
          <w:szCs w:val="24"/>
          <w:lang w:val="sv-SE"/>
        </w:rPr>
        <w:t>deposito mudharabah</w:t>
      </w:r>
      <w:r w:rsidR="00A34E7D" w:rsidRPr="00B51544">
        <w:rPr>
          <w:rFonts w:asciiTheme="majorBidi" w:hAnsiTheme="majorBidi" w:cstheme="majorBidi"/>
          <w:sz w:val="24"/>
          <w:szCs w:val="24"/>
          <w:lang w:val="sv-SE"/>
        </w:rPr>
        <w:t xml:space="preserve"> dan penelitian yang dilakukan Anggi </w:t>
      </w:r>
      <w:r w:rsidR="00A34E7D" w:rsidRPr="00B51544">
        <w:rPr>
          <w:rFonts w:asciiTheme="majorBidi" w:hAnsiTheme="majorBidi" w:cstheme="majorBidi"/>
          <w:sz w:val="24"/>
          <w:szCs w:val="24"/>
          <w:lang w:val="sv-SE"/>
        </w:rPr>
        <w:lastRenderedPageBreak/>
        <w:t>(2020)</w:t>
      </w:r>
      <w:r w:rsidR="00A34E7D" w:rsidRPr="00B51544">
        <w:rPr>
          <w:rStyle w:val="FootnoteReference"/>
          <w:rFonts w:asciiTheme="majorBidi" w:hAnsiTheme="majorBidi" w:cstheme="majorBidi"/>
          <w:sz w:val="24"/>
          <w:szCs w:val="24"/>
          <w:lang w:val="sv-SE"/>
        </w:rPr>
        <w:footnoteReference w:id="34"/>
      </w:r>
      <w:r w:rsidR="00A34E7D" w:rsidRPr="00B51544">
        <w:rPr>
          <w:rFonts w:asciiTheme="majorBidi" w:hAnsiTheme="majorBidi" w:cstheme="majorBidi"/>
          <w:sz w:val="24"/>
          <w:szCs w:val="24"/>
          <w:lang w:val="sv-SE"/>
        </w:rPr>
        <w:t xml:space="preserve"> menunjukan nisbah bagi hasil berpengaruh tidak signifikan terhadap deposito mudharabah.</w:t>
      </w:r>
    </w:p>
    <w:p w14:paraId="2A9863D9" w14:textId="6C1453EF" w:rsidR="00BE0174" w:rsidRPr="00B51544" w:rsidRDefault="00120B7F" w:rsidP="00A4276F">
      <w:pPr>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Penelitian terdahulu umumnya menganalisis satu atau dua variabel, seperti risiko investasi, risiko likuiditas atau nisbah bagi hasil secara terpisah. Sedangkan penelitian ini yakni menggabungkan tiga variabel utama sekaligus (risiko </w:t>
      </w:r>
      <w:r w:rsidR="00A53BD1" w:rsidRPr="00B51544">
        <w:rPr>
          <w:rFonts w:asciiTheme="majorBidi" w:hAnsiTheme="majorBidi" w:cstheme="majorBidi"/>
          <w:sz w:val="24"/>
          <w:szCs w:val="24"/>
          <w:lang w:val="sv-SE"/>
        </w:rPr>
        <w:t>pembiayaan</w:t>
      </w:r>
      <w:r w:rsidRPr="00B51544">
        <w:rPr>
          <w:rFonts w:asciiTheme="majorBidi" w:hAnsiTheme="majorBidi" w:cstheme="majorBidi"/>
          <w:sz w:val="24"/>
          <w:szCs w:val="24"/>
          <w:lang w:val="sv-SE"/>
        </w:rPr>
        <w:t>, risiko likuiditas dan nisbah bagi hasil) dalm satu model untuk melihat dampaknya terhadap deposito mudharabah di Bank Muamalat Indonesia. Penelitian sebelumnya dilakukan diberbagai bank syariah, baik Bank Syariah Indonesia, BPRS, maupun bank syariah lainnya dan penelitian ini secara khusus meneliti Bank Muamalat Indonesia selama periode 2017-202</w:t>
      </w:r>
      <w:r w:rsidR="006C4607" w:rsidRPr="00B51544">
        <w:rPr>
          <w:rFonts w:asciiTheme="majorBidi" w:hAnsiTheme="majorBidi" w:cstheme="majorBidi"/>
          <w:sz w:val="24"/>
          <w:szCs w:val="24"/>
          <w:lang w:val="sv-SE"/>
        </w:rPr>
        <w:t>4</w:t>
      </w:r>
      <w:r w:rsidRPr="00B51544">
        <w:rPr>
          <w:rFonts w:asciiTheme="majorBidi" w:hAnsiTheme="majorBidi" w:cstheme="majorBidi"/>
          <w:sz w:val="24"/>
          <w:szCs w:val="24"/>
          <w:lang w:val="sv-SE"/>
        </w:rPr>
        <w:t>, yang belum banyak dikaji dalam penelitian sebelumnya.</w:t>
      </w:r>
    </w:p>
    <w:p w14:paraId="447251AF" w14:textId="20CFA087" w:rsidR="006C7242" w:rsidRDefault="00416A23" w:rsidP="00A4276F">
      <w:pPr>
        <w:spacing w:after="0"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Dengan demikian, penelitian ini diharapkan dapat memberikan informasi tentang risiko dan nisbah bagi hasil pada deposito mudharabah yang ditawarkan oleh Bank Muamalat Indonesia kepada nasabahnya. Oleh karena itu, penulis mengangkat judul ”</w:t>
      </w:r>
      <w:r w:rsidR="00D1413E" w:rsidRPr="00D1413E">
        <w:rPr>
          <w:rFonts w:asciiTheme="majorBidi" w:hAnsiTheme="majorBidi" w:cstheme="majorBidi"/>
          <w:b/>
          <w:bCs/>
          <w:sz w:val="24"/>
          <w:szCs w:val="24"/>
          <w:lang w:val="sv-SE"/>
        </w:rPr>
        <w:t>PENGARUH</w:t>
      </w:r>
      <w:r w:rsidR="00D1413E">
        <w:rPr>
          <w:rFonts w:asciiTheme="majorBidi" w:hAnsiTheme="majorBidi" w:cstheme="majorBidi"/>
          <w:sz w:val="24"/>
          <w:szCs w:val="24"/>
          <w:lang w:val="sv-SE"/>
        </w:rPr>
        <w:t xml:space="preserve"> </w:t>
      </w:r>
      <w:r w:rsidR="002853D2" w:rsidRPr="00B51544">
        <w:rPr>
          <w:rFonts w:asciiTheme="majorBidi" w:hAnsiTheme="majorBidi" w:cstheme="majorBidi"/>
          <w:b/>
          <w:bCs/>
          <w:sz w:val="24"/>
          <w:szCs w:val="24"/>
          <w:lang w:val="sv-SE"/>
        </w:rPr>
        <w:t xml:space="preserve">ANALISIS </w:t>
      </w:r>
      <w:r w:rsidR="00335B29" w:rsidRPr="00B51544">
        <w:rPr>
          <w:rFonts w:asciiTheme="majorBidi" w:hAnsiTheme="majorBidi" w:cstheme="majorBidi"/>
          <w:b/>
          <w:bCs/>
          <w:sz w:val="24"/>
          <w:szCs w:val="24"/>
          <w:lang w:val="sv-SE"/>
        </w:rPr>
        <w:t xml:space="preserve">RISIKO </w:t>
      </w:r>
      <w:r w:rsidR="004A09EF" w:rsidRPr="00B51544">
        <w:rPr>
          <w:rFonts w:asciiTheme="majorBidi" w:hAnsiTheme="majorBidi" w:cstheme="majorBidi"/>
          <w:b/>
          <w:bCs/>
          <w:sz w:val="24"/>
          <w:szCs w:val="24"/>
          <w:lang w:val="sv-SE"/>
        </w:rPr>
        <w:t>PEMBIAYAAN</w:t>
      </w:r>
      <w:r w:rsidR="00335B29" w:rsidRPr="00B51544">
        <w:rPr>
          <w:rFonts w:asciiTheme="majorBidi" w:hAnsiTheme="majorBidi" w:cstheme="majorBidi"/>
          <w:b/>
          <w:bCs/>
          <w:sz w:val="24"/>
          <w:szCs w:val="24"/>
          <w:lang w:val="sv-SE"/>
        </w:rPr>
        <w:t>, RISIKO LIKUIDITAS, DAN NISBAH BAGI HASIL PADA DEPOSITO MUDHARABAH PT. BANK MUAMALAT INDONESIA</w:t>
      </w:r>
      <w:r w:rsidR="00E321E8" w:rsidRPr="00B51544">
        <w:rPr>
          <w:rFonts w:asciiTheme="majorBidi" w:hAnsiTheme="majorBidi" w:cstheme="majorBidi"/>
          <w:sz w:val="24"/>
          <w:szCs w:val="24"/>
          <w:lang w:val="sv-SE"/>
        </w:rPr>
        <w:t>”</w:t>
      </w:r>
    </w:p>
    <w:p w14:paraId="7A2D74D8" w14:textId="21927167" w:rsidR="00B1250B" w:rsidRDefault="00B1250B" w:rsidP="00A4276F">
      <w:pPr>
        <w:spacing w:after="0" w:line="360" w:lineRule="auto"/>
        <w:ind w:left="426" w:firstLine="709"/>
        <w:jc w:val="both"/>
        <w:rPr>
          <w:rFonts w:asciiTheme="majorBidi" w:hAnsiTheme="majorBidi" w:cstheme="majorBidi"/>
          <w:sz w:val="24"/>
          <w:szCs w:val="24"/>
          <w:lang w:val="sv-SE"/>
        </w:rPr>
      </w:pPr>
      <w:r w:rsidRPr="00B1250B">
        <w:rPr>
          <w:rFonts w:asciiTheme="majorBidi" w:hAnsiTheme="majorBidi" w:cstheme="majorBidi"/>
          <w:sz w:val="24"/>
          <w:szCs w:val="24"/>
          <w:lang w:val="sv-SE"/>
        </w:rPr>
        <w:t>Pemilihan variabel risiko pembiayaan (NPF), risiko likuiditas (FDR), dan nisbah bagi hasil dalam penelitian ini didasarkan pada relevansi dan urgensi ketiga variabel tersebut dalam memengaruhi minat dan keputusan nasabah untuk menempatkan dana pada deposito mudharabah. Risiko pembiayaan menunjukkan kualitas pengelolaan pembiayaan oleh bank, yang jika tinggi akan menurunkan kepercayaan masyarakat</w:t>
      </w:r>
      <w:r w:rsidR="00711EBA">
        <w:rPr>
          <w:rFonts w:asciiTheme="majorBidi" w:hAnsiTheme="majorBidi" w:cstheme="majorBidi"/>
          <w:sz w:val="24"/>
          <w:szCs w:val="24"/>
          <w:lang w:val="sv-SE"/>
        </w:rPr>
        <w:t>.</w:t>
      </w:r>
      <w:r>
        <w:rPr>
          <w:rStyle w:val="FootnoteReference"/>
          <w:rFonts w:asciiTheme="majorBidi" w:hAnsiTheme="majorBidi" w:cstheme="majorBidi"/>
          <w:sz w:val="24"/>
          <w:szCs w:val="24"/>
          <w:lang w:val="sv-SE"/>
        </w:rPr>
        <w:footnoteReference w:id="35"/>
      </w:r>
      <w:r w:rsidRPr="00B1250B">
        <w:rPr>
          <w:rFonts w:asciiTheme="majorBidi" w:hAnsiTheme="majorBidi" w:cstheme="majorBidi"/>
          <w:sz w:val="24"/>
          <w:szCs w:val="24"/>
          <w:lang w:val="sv-SE"/>
        </w:rPr>
        <w:t xml:space="preserve"> Risiko likuiditas mencerminkan kemampuan bank memenuhi kewajiban jangka pendeknya, yang sangat penting bagi nasabah sebagai jaminan keamanan dana.</w:t>
      </w:r>
      <w:r w:rsidR="00711EBA">
        <w:rPr>
          <w:rStyle w:val="FootnoteReference"/>
          <w:rFonts w:asciiTheme="majorBidi" w:hAnsiTheme="majorBidi" w:cstheme="majorBidi"/>
          <w:sz w:val="24"/>
          <w:szCs w:val="24"/>
          <w:lang w:val="sv-SE"/>
        </w:rPr>
        <w:footnoteReference w:id="36"/>
      </w:r>
      <w:r w:rsidRPr="00B1250B">
        <w:rPr>
          <w:rFonts w:asciiTheme="majorBidi" w:hAnsiTheme="majorBidi" w:cstheme="majorBidi"/>
          <w:sz w:val="24"/>
          <w:szCs w:val="24"/>
          <w:lang w:val="sv-SE"/>
        </w:rPr>
        <w:t xml:space="preserve"> Sedangkan nisbah bagi hasil merupakan faktor penentu utama bagi nasabah dalam mempertimbangkan potensi imbal hasil investasi mereka.</w:t>
      </w:r>
      <w:r w:rsidR="00E47DAC">
        <w:rPr>
          <w:rStyle w:val="FootnoteReference"/>
          <w:rFonts w:asciiTheme="majorBidi" w:hAnsiTheme="majorBidi" w:cstheme="majorBidi"/>
          <w:sz w:val="24"/>
          <w:szCs w:val="24"/>
          <w:lang w:val="sv-SE"/>
        </w:rPr>
        <w:footnoteReference w:id="37"/>
      </w:r>
      <w:r w:rsidRPr="00B1250B">
        <w:rPr>
          <w:rFonts w:asciiTheme="majorBidi" w:hAnsiTheme="majorBidi" w:cstheme="majorBidi"/>
          <w:sz w:val="24"/>
          <w:szCs w:val="24"/>
          <w:lang w:val="sv-SE"/>
        </w:rPr>
        <w:t xml:space="preserve"> Ketiga variabel ini juga telah banyak dibahas dalam penelitian terdahulu dan terbukti signifikan memengaruhi penghimpunan dana pihak ketiga. Oleh sebab itu, variabel lain seperti promosi, reputasi, atau pelayanan tidak dipilih karena lebih bersifat kualitatif dan sulit diukur secara objektif.</w:t>
      </w:r>
    </w:p>
    <w:p w14:paraId="1A702B5C" w14:textId="298A3EDB" w:rsidR="00A4276F" w:rsidRPr="00B51544" w:rsidRDefault="00711EBA" w:rsidP="001F420D">
      <w:pPr>
        <w:spacing w:after="0" w:line="360" w:lineRule="auto"/>
        <w:ind w:left="426" w:firstLine="709"/>
        <w:jc w:val="both"/>
        <w:rPr>
          <w:rFonts w:asciiTheme="majorBidi" w:hAnsiTheme="majorBidi" w:cstheme="majorBidi"/>
          <w:sz w:val="24"/>
          <w:szCs w:val="24"/>
          <w:lang w:val="sv-SE"/>
        </w:rPr>
      </w:pPr>
      <w:r w:rsidRPr="00711EBA">
        <w:rPr>
          <w:rFonts w:asciiTheme="majorBidi" w:hAnsiTheme="majorBidi" w:cstheme="majorBidi"/>
          <w:sz w:val="24"/>
          <w:szCs w:val="24"/>
          <w:lang w:val="sv-SE"/>
        </w:rPr>
        <w:lastRenderedPageBreak/>
        <w:t>Pemilihan periode penelitian 2017–2024 dilakukan untuk memberikan gambaran menyeluruh dan terkini mengenai kinerja Bank Muamalat Indonesia dalam menghimpun deposito mudharabah. Rentang waktu ini mencakup kondisi sebelum, saat, dan sesudah pandemi COVID-19 yang sangat memengaruhi perekonomian, termasuk kondisi risiko bank dan perilaku nasabah</w:t>
      </w:r>
      <w:r>
        <w:rPr>
          <w:rFonts w:asciiTheme="majorBidi" w:hAnsiTheme="majorBidi" w:cstheme="majorBidi"/>
          <w:sz w:val="24"/>
          <w:szCs w:val="24"/>
          <w:lang w:val="sv-SE"/>
        </w:rPr>
        <w:t xml:space="preserve">. </w:t>
      </w:r>
      <w:r w:rsidRPr="00711EBA">
        <w:rPr>
          <w:rFonts w:asciiTheme="majorBidi" w:hAnsiTheme="majorBidi" w:cstheme="majorBidi"/>
          <w:sz w:val="24"/>
          <w:szCs w:val="24"/>
          <w:lang w:val="sv-SE"/>
        </w:rPr>
        <w:t>Selain itu, periode ini juga menunjukkan fase perbaikan manajemen risiko dan inovasi strategi bank untuk meningkatkan daya tarik deposito. Dengan</w:t>
      </w:r>
      <w:r>
        <w:rPr>
          <w:rFonts w:asciiTheme="majorBidi" w:hAnsiTheme="majorBidi" w:cstheme="majorBidi"/>
          <w:sz w:val="24"/>
          <w:szCs w:val="24"/>
          <w:lang w:val="sv-SE"/>
        </w:rPr>
        <w:t xml:space="preserve"> </w:t>
      </w:r>
      <w:r w:rsidRPr="00711EBA">
        <w:rPr>
          <w:rFonts w:asciiTheme="majorBidi" w:hAnsiTheme="majorBidi" w:cstheme="majorBidi"/>
          <w:sz w:val="24"/>
          <w:szCs w:val="24"/>
          <w:lang w:val="sv-SE"/>
        </w:rPr>
        <w:t>demikian, penggunaan periode ini diharapkan mampu memberikan</w:t>
      </w:r>
      <w:r>
        <w:rPr>
          <w:rFonts w:asciiTheme="majorBidi" w:hAnsiTheme="majorBidi" w:cstheme="majorBidi"/>
          <w:sz w:val="24"/>
          <w:szCs w:val="24"/>
          <w:lang w:val="sv-SE"/>
        </w:rPr>
        <w:t xml:space="preserve"> </w:t>
      </w:r>
      <w:r w:rsidRPr="00711EBA">
        <w:rPr>
          <w:rFonts w:asciiTheme="majorBidi" w:hAnsiTheme="majorBidi" w:cstheme="majorBidi"/>
          <w:sz w:val="24"/>
          <w:szCs w:val="24"/>
          <w:lang w:val="sv-SE"/>
        </w:rPr>
        <w:t>hasil yang relevan serta menjadi kontribusi ilmiah dan praktis bagi pengembangan perbankan syariah ke depan</w:t>
      </w:r>
      <w:r>
        <w:rPr>
          <w:rFonts w:asciiTheme="majorBidi" w:hAnsiTheme="majorBidi" w:cstheme="majorBidi"/>
          <w:sz w:val="24"/>
          <w:szCs w:val="24"/>
          <w:lang w:val="sv-SE"/>
        </w:rPr>
        <w:t>.</w:t>
      </w:r>
    </w:p>
    <w:p w14:paraId="7518DBAA" w14:textId="7498C4F1" w:rsidR="00DA737B" w:rsidRPr="00B51544" w:rsidRDefault="00335B29">
      <w:pPr>
        <w:pStyle w:val="Heading2"/>
        <w:numPr>
          <w:ilvl w:val="1"/>
          <w:numId w:val="9"/>
        </w:numPr>
        <w:tabs>
          <w:tab w:val="left" w:pos="0"/>
          <w:tab w:val="left" w:pos="426"/>
        </w:tabs>
        <w:spacing w:line="360" w:lineRule="auto"/>
        <w:ind w:left="0" w:firstLine="0"/>
        <w:jc w:val="both"/>
        <w:rPr>
          <w:rFonts w:asciiTheme="majorBidi" w:hAnsiTheme="majorBidi"/>
          <w:b/>
          <w:bCs/>
          <w:color w:val="auto"/>
          <w:sz w:val="24"/>
          <w:szCs w:val="24"/>
          <w:lang w:val="sv-SE"/>
        </w:rPr>
      </w:pPr>
      <w:bookmarkStart w:id="24" w:name="_Toc201063299"/>
      <w:r w:rsidRPr="00B51544">
        <w:rPr>
          <w:rFonts w:asciiTheme="majorBidi" w:hAnsiTheme="majorBidi"/>
          <w:b/>
          <w:bCs/>
          <w:color w:val="auto"/>
          <w:sz w:val="24"/>
          <w:szCs w:val="24"/>
          <w:lang w:val="sv-SE"/>
        </w:rPr>
        <w:t>Rumusan Masalah</w:t>
      </w:r>
      <w:bookmarkEnd w:id="24"/>
    </w:p>
    <w:p w14:paraId="2986DD72" w14:textId="03B292E9" w:rsidR="00DA737B" w:rsidRPr="00B51544" w:rsidRDefault="002E5952">
      <w:pPr>
        <w:pStyle w:val="ListParagraph"/>
        <w:numPr>
          <w:ilvl w:val="0"/>
          <w:numId w:val="12"/>
        </w:numPr>
        <w:spacing w:line="360" w:lineRule="auto"/>
        <w:ind w:left="851"/>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Seberapa besar pengaruh risiko </w:t>
      </w:r>
      <w:r w:rsidR="00942114" w:rsidRPr="00B51544">
        <w:rPr>
          <w:rFonts w:asciiTheme="majorBidi" w:hAnsiTheme="majorBidi" w:cstheme="majorBidi"/>
          <w:sz w:val="24"/>
          <w:szCs w:val="24"/>
          <w:lang w:val="sv-SE"/>
        </w:rPr>
        <w:t>pembiayaan</w:t>
      </w:r>
      <w:r w:rsidRPr="00B51544">
        <w:rPr>
          <w:rFonts w:asciiTheme="majorBidi" w:hAnsiTheme="majorBidi" w:cstheme="majorBidi"/>
          <w:sz w:val="24"/>
          <w:szCs w:val="24"/>
          <w:lang w:val="sv-SE"/>
        </w:rPr>
        <w:t xml:space="preserve"> terhadap tingkat deposito mudharabah di Bank Muamalat indonesia periode 2017-202</w:t>
      </w:r>
      <w:r w:rsidR="006C4607" w:rsidRPr="00B51544">
        <w:rPr>
          <w:rFonts w:asciiTheme="majorBidi" w:hAnsiTheme="majorBidi" w:cstheme="majorBidi"/>
          <w:sz w:val="24"/>
          <w:szCs w:val="24"/>
          <w:lang w:val="sv-SE"/>
        </w:rPr>
        <w:t>4</w:t>
      </w:r>
      <w:r w:rsidRPr="00B51544">
        <w:rPr>
          <w:rFonts w:asciiTheme="majorBidi" w:hAnsiTheme="majorBidi" w:cstheme="majorBidi"/>
          <w:sz w:val="24"/>
          <w:szCs w:val="24"/>
          <w:lang w:val="sv-SE"/>
        </w:rPr>
        <w:t xml:space="preserve"> ?</w:t>
      </w:r>
    </w:p>
    <w:p w14:paraId="0C50B7CC" w14:textId="2348D387" w:rsidR="00420B70" w:rsidRPr="00B51544" w:rsidRDefault="002E5952">
      <w:pPr>
        <w:pStyle w:val="ListParagraph"/>
        <w:numPr>
          <w:ilvl w:val="0"/>
          <w:numId w:val="12"/>
        </w:numPr>
        <w:spacing w:line="360" w:lineRule="auto"/>
        <w:ind w:left="851"/>
        <w:jc w:val="both"/>
        <w:rPr>
          <w:rFonts w:asciiTheme="majorBidi" w:hAnsiTheme="majorBidi" w:cstheme="majorBidi"/>
          <w:sz w:val="24"/>
          <w:szCs w:val="24"/>
          <w:lang w:val="pt-BR"/>
        </w:rPr>
      </w:pPr>
      <w:r w:rsidRPr="00B51544">
        <w:rPr>
          <w:rFonts w:asciiTheme="majorBidi" w:hAnsiTheme="majorBidi" w:cstheme="majorBidi"/>
          <w:sz w:val="24"/>
          <w:szCs w:val="24"/>
          <w:lang w:val="pt-BR"/>
        </w:rPr>
        <w:t>Seberapa besar pengaruh risiko likuiditas terhadap tingkat deposito mudharabah di Bank Muamalat indonesia periode 2017-202</w:t>
      </w:r>
      <w:r w:rsidR="006C4607" w:rsidRPr="00B51544">
        <w:rPr>
          <w:rFonts w:asciiTheme="majorBidi" w:hAnsiTheme="majorBidi" w:cstheme="majorBidi"/>
          <w:sz w:val="24"/>
          <w:szCs w:val="24"/>
          <w:lang w:val="pt-BR"/>
        </w:rPr>
        <w:t>4</w:t>
      </w:r>
      <w:r w:rsidRPr="00B51544">
        <w:rPr>
          <w:rFonts w:asciiTheme="majorBidi" w:hAnsiTheme="majorBidi" w:cstheme="majorBidi"/>
          <w:sz w:val="24"/>
          <w:szCs w:val="24"/>
          <w:lang w:val="pt-BR"/>
        </w:rPr>
        <w:t xml:space="preserve"> ?</w:t>
      </w:r>
    </w:p>
    <w:p w14:paraId="635B9000" w14:textId="435C2791" w:rsidR="00420B70" w:rsidRPr="00B51544" w:rsidRDefault="002E5952">
      <w:pPr>
        <w:pStyle w:val="ListParagraph"/>
        <w:numPr>
          <w:ilvl w:val="0"/>
          <w:numId w:val="12"/>
        </w:numPr>
        <w:spacing w:line="360" w:lineRule="auto"/>
        <w:ind w:left="851"/>
        <w:jc w:val="both"/>
        <w:rPr>
          <w:rFonts w:asciiTheme="majorBidi" w:hAnsiTheme="majorBidi" w:cstheme="majorBidi"/>
          <w:sz w:val="24"/>
          <w:szCs w:val="24"/>
          <w:lang w:val="pt-BR"/>
        </w:rPr>
      </w:pPr>
      <w:r w:rsidRPr="00B51544">
        <w:rPr>
          <w:rFonts w:asciiTheme="majorBidi" w:hAnsiTheme="majorBidi" w:cstheme="majorBidi"/>
          <w:sz w:val="24"/>
          <w:szCs w:val="24"/>
          <w:lang w:val="pt-BR"/>
        </w:rPr>
        <w:t>Seberapa besar pengaruh nisbah bagi hasil terhadap tingkat deposito mudharabah di Bank Muamalat indonesia periode 2017-202</w:t>
      </w:r>
      <w:r w:rsidR="006C4607" w:rsidRPr="00B51544">
        <w:rPr>
          <w:rFonts w:asciiTheme="majorBidi" w:hAnsiTheme="majorBidi" w:cstheme="majorBidi"/>
          <w:sz w:val="24"/>
          <w:szCs w:val="24"/>
          <w:lang w:val="pt-BR"/>
        </w:rPr>
        <w:t>4</w:t>
      </w:r>
      <w:r w:rsidRPr="00B51544">
        <w:rPr>
          <w:rFonts w:asciiTheme="majorBidi" w:hAnsiTheme="majorBidi" w:cstheme="majorBidi"/>
          <w:sz w:val="24"/>
          <w:szCs w:val="24"/>
          <w:lang w:val="pt-BR"/>
        </w:rPr>
        <w:t xml:space="preserve"> ?</w:t>
      </w:r>
      <w:bookmarkEnd w:id="23"/>
    </w:p>
    <w:p w14:paraId="52B2A244" w14:textId="4C5FD219" w:rsidR="00B627E5" w:rsidRPr="00B51544" w:rsidRDefault="0072691E" w:rsidP="00B51544">
      <w:pPr>
        <w:pStyle w:val="Heading2"/>
        <w:spacing w:line="360" w:lineRule="auto"/>
        <w:jc w:val="both"/>
        <w:rPr>
          <w:rFonts w:asciiTheme="majorBidi" w:hAnsiTheme="majorBidi"/>
          <w:b/>
          <w:bCs/>
          <w:color w:val="auto"/>
          <w:sz w:val="24"/>
          <w:szCs w:val="24"/>
          <w:lang w:val="pt-BR"/>
        </w:rPr>
      </w:pPr>
      <w:bookmarkStart w:id="25" w:name="_Toc201063300"/>
      <w:r w:rsidRPr="00B51544">
        <w:rPr>
          <w:rFonts w:asciiTheme="majorBidi" w:hAnsiTheme="majorBidi"/>
          <w:b/>
          <w:bCs/>
          <w:color w:val="auto"/>
          <w:sz w:val="24"/>
          <w:szCs w:val="24"/>
          <w:lang w:val="pt-BR"/>
        </w:rPr>
        <w:t xml:space="preserve">1.3 </w:t>
      </w:r>
      <w:r w:rsidR="00335B29" w:rsidRPr="00B51544">
        <w:rPr>
          <w:rFonts w:asciiTheme="majorBidi" w:hAnsiTheme="majorBidi"/>
          <w:b/>
          <w:bCs/>
          <w:color w:val="auto"/>
          <w:sz w:val="24"/>
          <w:szCs w:val="24"/>
          <w:lang w:val="pt-BR"/>
        </w:rPr>
        <w:t>Tujuan</w:t>
      </w:r>
      <w:bookmarkEnd w:id="25"/>
    </w:p>
    <w:p w14:paraId="3B2BE752" w14:textId="4CE6F0D9" w:rsidR="002E5952" w:rsidRPr="00B51544" w:rsidRDefault="00335B29" w:rsidP="00B51544">
      <w:pPr>
        <w:pStyle w:val="ListParagraph"/>
        <w:spacing w:line="360" w:lineRule="auto"/>
        <w:ind w:left="567" w:firstLine="142"/>
        <w:jc w:val="both"/>
        <w:rPr>
          <w:rFonts w:asciiTheme="majorBidi" w:hAnsiTheme="majorBidi" w:cstheme="majorBidi"/>
          <w:b/>
          <w:bCs/>
          <w:sz w:val="24"/>
          <w:szCs w:val="24"/>
          <w:lang w:val="pt-BR"/>
        </w:rPr>
      </w:pPr>
      <w:r w:rsidRPr="00B51544">
        <w:rPr>
          <w:rFonts w:asciiTheme="majorBidi" w:hAnsiTheme="majorBidi" w:cstheme="majorBidi"/>
          <w:sz w:val="24"/>
          <w:szCs w:val="24"/>
          <w:lang w:val="pt-BR"/>
        </w:rPr>
        <w:t xml:space="preserve">Berdasarkan rumusan masalah yang ada, dapat diketahui tujuan penelitian yaitu </w:t>
      </w:r>
      <w:r w:rsidR="002E5952" w:rsidRPr="00B51544">
        <w:rPr>
          <w:rFonts w:asciiTheme="majorBidi" w:hAnsiTheme="majorBidi" w:cstheme="majorBidi"/>
          <w:sz w:val="24"/>
          <w:szCs w:val="24"/>
          <w:lang w:val="pt-BR"/>
        </w:rPr>
        <w:t xml:space="preserve">: </w:t>
      </w:r>
    </w:p>
    <w:p w14:paraId="616E7A58" w14:textId="6ADCAE8E" w:rsidR="00DA737B" w:rsidRPr="00B51544" w:rsidRDefault="002E5952" w:rsidP="00B51544">
      <w:pPr>
        <w:pStyle w:val="ListParagraph"/>
        <w:numPr>
          <w:ilvl w:val="0"/>
          <w:numId w:val="1"/>
        </w:num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U</w:t>
      </w:r>
      <w:r w:rsidR="00335B29" w:rsidRPr="00B51544">
        <w:rPr>
          <w:rFonts w:asciiTheme="majorBidi" w:hAnsiTheme="majorBidi" w:cstheme="majorBidi"/>
          <w:sz w:val="24"/>
          <w:szCs w:val="24"/>
          <w:lang w:val="pt-BR"/>
        </w:rPr>
        <w:t xml:space="preserve">ntuk menganalisis </w:t>
      </w:r>
      <w:r w:rsidR="00A21146" w:rsidRPr="00B51544">
        <w:rPr>
          <w:rFonts w:asciiTheme="majorBidi" w:hAnsiTheme="majorBidi" w:cstheme="majorBidi"/>
          <w:sz w:val="24"/>
          <w:szCs w:val="24"/>
          <w:lang w:val="pt-BR"/>
        </w:rPr>
        <w:t xml:space="preserve">pengaruh risiko </w:t>
      </w:r>
      <w:r w:rsidR="00942114" w:rsidRPr="00B51544">
        <w:rPr>
          <w:rFonts w:asciiTheme="majorBidi" w:hAnsiTheme="majorBidi" w:cstheme="majorBidi"/>
          <w:sz w:val="24"/>
          <w:szCs w:val="24"/>
          <w:lang w:val="pt-BR"/>
        </w:rPr>
        <w:t>pembiayaan</w:t>
      </w:r>
      <w:r w:rsidRPr="00B51544">
        <w:rPr>
          <w:rFonts w:asciiTheme="majorBidi" w:hAnsiTheme="majorBidi" w:cstheme="majorBidi"/>
          <w:sz w:val="24"/>
          <w:szCs w:val="24"/>
          <w:lang w:val="pt-BR"/>
        </w:rPr>
        <w:t xml:space="preserve"> terhadap tingkat deposito mudharabah di Bank Muamalat indonesia periode 2017-202</w:t>
      </w:r>
      <w:r w:rsidR="006C4607" w:rsidRPr="00B51544">
        <w:rPr>
          <w:rFonts w:asciiTheme="majorBidi" w:hAnsiTheme="majorBidi" w:cstheme="majorBidi"/>
          <w:sz w:val="24"/>
          <w:szCs w:val="24"/>
          <w:lang w:val="pt-BR"/>
        </w:rPr>
        <w:t>4</w:t>
      </w:r>
      <w:r w:rsidRPr="00B51544">
        <w:rPr>
          <w:rFonts w:asciiTheme="majorBidi" w:hAnsiTheme="majorBidi" w:cstheme="majorBidi"/>
          <w:sz w:val="24"/>
          <w:szCs w:val="24"/>
          <w:lang w:val="pt-BR"/>
        </w:rPr>
        <w:t>.</w:t>
      </w:r>
    </w:p>
    <w:p w14:paraId="7568F4B0" w14:textId="5B511798" w:rsidR="00DA737B" w:rsidRPr="00B51544" w:rsidRDefault="002E5952" w:rsidP="00B51544">
      <w:pPr>
        <w:pStyle w:val="ListParagraph"/>
        <w:numPr>
          <w:ilvl w:val="0"/>
          <w:numId w:val="1"/>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Untuk menganalisis pengaruh risiko likuiditas terhadap tingkat deposito mudharabah di Bank Muamalat indonesia periode 2017-202</w:t>
      </w:r>
      <w:r w:rsidR="006C4607" w:rsidRPr="00B51544">
        <w:rPr>
          <w:rFonts w:asciiTheme="majorBidi" w:hAnsiTheme="majorBidi" w:cstheme="majorBidi"/>
          <w:sz w:val="24"/>
          <w:szCs w:val="24"/>
          <w:lang w:val="sv-SE"/>
        </w:rPr>
        <w:t>4</w:t>
      </w:r>
      <w:r w:rsidRPr="00B51544">
        <w:rPr>
          <w:rFonts w:asciiTheme="majorBidi" w:hAnsiTheme="majorBidi" w:cstheme="majorBidi"/>
          <w:sz w:val="24"/>
          <w:szCs w:val="24"/>
          <w:lang w:val="sv-SE"/>
        </w:rPr>
        <w:t>.</w:t>
      </w:r>
    </w:p>
    <w:p w14:paraId="6A069C23" w14:textId="0AB78BD0" w:rsidR="002E5952" w:rsidRPr="00B51544" w:rsidRDefault="002E5952" w:rsidP="00B51544">
      <w:pPr>
        <w:pStyle w:val="ListParagraph"/>
        <w:numPr>
          <w:ilvl w:val="0"/>
          <w:numId w:val="1"/>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Untuk menganalisis pengaruh nisbah bagi hasil terhadap tingkat deposito mudharabah di Bank Muamalat indonesia periode 2017-202</w:t>
      </w:r>
      <w:r w:rsidR="006C4607" w:rsidRPr="00B51544">
        <w:rPr>
          <w:rFonts w:asciiTheme="majorBidi" w:hAnsiTheme="majorBidi" w:cstheme="majorBidi"/>
          <w:sz w:val="24"/>
          <w:szCs w:val="24"/>
          <w:lang w:val="sv-SE"/>
        </w:rPr>
        <w:t>4</w:t>
      </w:r>
      <w:r w:rsidRPr="00B51544">
        <w:rPr>
          <w:rFonts w:asciiTheme="majorBidi" w:hAnsiTheme="majorBidi" w:cstheme="majorBidi"/>
          <w:sz w:val="24"/>
          <w:szCs w:val="24"/>
          <w:lang w:val="sv-SE"/>
        </w:rPr>
        <w:t>.</w:t>
      </w:r>
    </w:p>
    <w:p w14:paraId="13463CAA" w14:textId="5DD33117" w:rsidR="00B627E5" w:rsidRPr="00B51544" w:rsidRDefault="0072691E" w:rsidP="00B51544">
      <w:pPr>
        <w:pStyle w:val="Heading2"/>
        <w:spacing w:line="360" w:lineRule="auto"/>
        <w:jc w:val="both"/>
        <w:rPr>
          <w:rFonts w:asciiTheme="majorBidi" w:hAnsiTheme="majorBidi"/>
          <w:b/>
          <w:bCs/>
          <w:color w:val="auto"/>
          <w:sz w:val="24"/>
          <w:szCs w:val="24"/>
          <w:lang w:val="sv-SE"/>
        </w:rPr>
      </w:pPr>
      <w:bookmarkStart w:id="26" w:name="_Toc201063301"/>
      <w:r w:rsidRPr="00B51544">
        <w:rPr>
          <w:rFonts w:asciiTheme="majorBidi" w:hAnsiTheme="majorBidi"/>
          <w:b/>
          <w:bCs/>
          <w:color w:val="auto"/>
          <w:sz w:val="24"/>
          <w:szCs w:val="24"/>
          <w:lang w:val="sv-SE"/>
        </w:rPr>
        <w:t xml:space="preserve">1.4 </w:t>
      </w:r>
      <w:r w:rsidR="00335B29" w:rsidRPr="00B51544">
        <w:rPr>
          <w:rFonts w:asciiTheme="majorBidi" w:hAnsiTheme="majorBidi"/>
          <w:b/>
          <w:bCs/>
          <w:color w:val="auto"/>
          <w:sz w:val="24"/>
          <w:szCs w:val="24"/>
          <w:lang w:val="sv-SE"/>
        </w:rPr>
        <w:t>Manfaat</w:t>
      </w:r>
      <w:bookmarkEnd w:id="26"/>
    </w:p>
    <w:bookmarkEnd w:id="0"/>
    <w:p w14:paraId="70207B31" w14:textId="43DB87C0" w:rsidR="00C65BDD" w:rsidRPr="00B51544" w:rsidRDefault="001F420D" w:rsidP="001F420D">
      <w:pPr>
        <w:spacing w:line="360" w:lineRule="auto"/>
        <w:ind w:left="426" w:firstLine="709"/>
        <w:jc w:val="both"/>
        <w:rPr>
          <w:rFonts w:asciiTheme="majorBidi" w:hAnsiTheme="majorBidi" w:cstheme="majorBidi"/>
          <w:sz w:val="24"/>
          <w:szCs w:val="24"/>
          <w:lang w:val="sv-SE"/>
        </w:rPr>
      </w:pPr>
      <w:r w:rsidRPr="001F420D">
        <w:rPr>
          <w:rFonts w:asciiTheme="majorBidi" w:hAnsiTheme="majorBidi" w:cstheme="majorBidi"/>
          <w:sz w:val="24"/>
          <w:szCs w:val="24"/>
          <w:lang w:val="sv-SE"/>
        </w:rPr>
        <w:t xml:space="preserve">Penelitian ini diharapkan memberikan manfaat yang signifikan bagi nasabah, bank, dan industri perbankan syariah. Penelitian ini dapat membantu meningkatkan pemahaman risiko yang dihadapi bank dalam mengelola dana masyarakat, sehingga nasabah merasa lebih aman dan percaya. Selain itu, hasil penelitian ini juga dapat digunakan sebagai bahan evaluasi untuk meningkatkan kualitas produk dan layanan perbankan syariah agar semakin kompetitif. Dengan demikian, bank dapat memperbaiki strategi pengelolaan dana dan pembiayaan yang sesuai dengan prinsip syariah. Secara lebih luas, penelitian ini diharapkan mampu berkontribusi pada pengembangan industri perbankan syariah di Indonesia, mendukung </w:t>
      </w:r>
      <w:r w:rsidRPr="001F420D">
        <w:rPr>
          <w:rFonts w:asciiTheme="majorBidi" w:hAnsiTheme="majorBidi" w:cstheme="majorBidi"/>
          <w:sz w:val="24"/>
          <w:szCs w:val="24"/>
          <w:lang w:val="sv-SE"/>
        </w:rPr>
        <w:lastRenderedPageBreak/>
        <w:t>pertumbuhan ekonomi nasional, dan mendorong terciptanya sistem keuangan yang lebih stabil.</w:t>
      </w:r>
    </w:p>
    <w:bookmarkEnd w:id="14"/>
    <w:p w14:paraId="4082BB18" w14:textId="77777777" w:rsidR="00C65BDD" w:rsidRPr="00B51544" w:rsidRDefault="00C65BDD" w:rsidP="00B51544">
      <w:pPr>
        <w:spacing w:line="360" w:lineRule="auto"/>
        <w:ind w:left="426" w:firstLine="709"/>
        <w:jc w:val="both"/>
        <w:rPr>
          <w:rFonts w:asciiTheme="majorBidi" w:hAnsiTheme="majorBidi" w:cstheme="majorBidi"/>
          <w:sz w:val="24"/>
          <w:szCs w:val="24"/>
          <w:lang w:val="sv-SE"/>
        </w:rPr>
      </w:pPr>
    </w:p>
    <w:p w14:paraId="0DE9FD16" w14:textId="77777777" w:rsidR="00C65BDD" w:rsidRPr="00B51544" w:rsidRDefault="00C65BDD" w:rsidP="00B51544">
      <w:pPr>
        <w:spacing w:line="360" w:lineRule="auto"/>
        <w:ind w:left="426" w:firstLine="709"/>
        <w:jc w:val="both"/>
        <w:rPr>
          <w:rFonts w:asciiTheme="majorBidi" w:hAnsiTheme="majorBidi" w:cstheme="majorBidi"/>
          <w:sz w:val="24"/>
          <w:szCs w:val="24"/>
          <w:lang w:val="sv-SE"/>
        </w:rPr>
      </w:pPr>
    </w:p>
    <w:p w14:paraId="3F04185F" w14:textId="77777777" w:rsidR="00C65BDD" w:rsidRPr="00B51544" w:rsidRDefault="00C65BDD" w:rsidP="00B51544">
      <w:pPr>
        <w:spacing w:line="360" w:lineRule="auto"/>
        <w:ind w:left="426" w:firstLine="709"/>
        <w:jc w:val="both"/>
        <w:rPr>
          <w:rFonts w:asciiTheme="majorBidi" w:hAnsiTheme="majorBidi" w:cstheme="majorBidi"/>
          <w:sz w:val="24"/>
          <w:szCs w:val="24"/>
          <w:lang w:val="sv-SE"/>
        </w:rPr>
      </w:pPr>
    </w:p>
    <w:p w14:paraId="5EA60113" w14:textId="77777777" w:rsidR="00C65BDD" w:rsidRPr="00B51544" w:rsidRDefault="00C65BDD" w:rsidP="00B51544">
      <w:pPr>
        <w:spacing w:line="360" w:lineRule="auto"/>
        <w:ind w:left="426" w:firstLine="709"/>
        <w:jc w:val="both"/>
        <w:rPr>
          <w:rFonts w:asciiTheme="majorBidi" w:hAnsiTheme="majorBidi" w:cstheme="majorBidi"/>
          <w:sz w:val="24"/>
          <w:szCs w:val="24"/>
          <w:lang w:val="sv-SE"/>
        </w:rPr>
      </w:pPr>
    </w:p>
    <w:p w14:paraId="672B0657" w14:textId="77777777" w:rsidR="00C65BDD" w:rsidRPr="00B51544" w:rsidRDefault="00C65BDD" w:rsidP="00B51544">
      <w:pPr>
        <w:spacing w:line="360" w:lineRule="auto"/>
        <w:ind w:left="426" w:firstLine="709"/>
        <w:jc w:val="both"/>
        <w:rPr>
          <w:rFonts w:asciiTheme="majorBidi" w:hAnsiTheme="majorBidi" w:cstheme="majorBidi"/>
          <w:sz w:val="24"/>
          <w:szCs w:val="24"/>
          <w:lang w:val="sv-SE"/>
        </w:rPr>
      </w:pPr>
    </w:p>
    <w:p w14:paraId="7F195473" w14:textId="77777777" w:rsidR="00D64F26" w:rsidRDefault="00D64F26" w:rsidP="00B17575">
      <w:pPr>
        <w:spacing w:line="360" w:lineRule="auto"/>
        <w:jc w:val="both"/>
        <w:rPr>
          <w:rFonts w:asciiTheme="majorBidi" w:hAnsiTheme="majorBidi" w:cstheme="majorBidi"/>
          <w:b/>
          <w:bCs/>
          <w:sz w:val="24"/>
          <w:szCs w:val="24"/>
          <w:lang w:val="sv-SE"/>
        </w:rPr>
      </w:pPr>
    </w:p>
    <w:p w14:paraId="65E30140" w14:textId="77777777" w:rsidR="007F1C3F" w:rsidRDefault="007F1C3F" w:rsidP="00B17575">
      <w:pPr>
        <w:spacing w:line="360" w:lineRule="auto"/>
        <w:jc w:val="both"/>
        <w:rPr>
          <w:rFonts w:asciiTheme="majorBidi" w:hAnsiTheme="majorBidi" w:cstheme="majorBidi"/>
          <w:b/>
          <w:bCs/>
          <w:sz w:val="24"/>
          <w:szCs w:val="24"/>
          <w:lang w:val="sv-SE"/>
        </w:rPr>
      </w:pPr>
    </w:p>
    <w:p w14:paraId="2D5CFC1E" w14:textId="77777777" w:rsidR="007F1C3F" w:rsidRDefault="007F1C3F" w:rsidP="00B17575">
      <w:pPr>
        <w:spacing w:line="360" w:lineRule="auto"/>
        <w:jc w:val="both"/>
        <w:rPr>
          <w:rFonts w:asciiTheme="majorBidi" w:hAnsiTheme="majorBidi" w:cstheme="majorBidi"/>
          <w:b/>
          <w:bCs/>
          <w:sz w:val="24"/>
          <w:szCs w:val="24"/>
          <w:lang w:val="sv-SE"/>
        </w:rPr>
      </w:pPr>
    </w:p>
    <w:p w14:paraId="0FFB1E38" w14:textId="77777777" w:rsidR="007F1C3F" w:rsidRDefault="007F1C3F" w:rsidP="00B17575">
      <w:pPr>
        <w:spacing w:line="360" w:lineRule="auto"/>
        <w:jc w:val="both"/>
        <w:rPr>
          <w:rFonts w:asciiTheme="majorBidi" w:hAnsiTheme="majorBidi" w:cstheme="majorBidi"/>
          <w:b/>
          <w:bCs/>
          <w:sz w:val="24"/>
          <w:szCs w:val="24"/>
          <w:lang w:val="sv-SE"/>
        </w:rPr>
      </w:pPr>
    </w:p>
    <w:p w14:paraId="5441E171" w14:textId="77777777" w:rsidR="007F1C3F" w:rsidRDefault="007F1C3F" w:rsidP="00B17575">
      <w:pPr>
        <w:spacing w:line="360" w:lineRule="auto"/>
        <w:jc w:val="both"/>
        <w:rPr>
          <w:rFonts w:asciiTheme="majorBidi" w:hAnsiTheme="majorBidi" w:cstheme="majorBidi"/>
          <w:b/>
          <w:bCs/>
          <w:sz w:val="24"/>
          <w:szCs w:val="24"/>
          <w:lang w:val="sv-SE"/>
        </w:rPr>
      </w:pPr>
    </w:p>
    <w:p w14:paraId="3EA678BB" w14:textId="77777777" w:rsidR="007F1C3F" w:rsidRDefault="007F1C3F" w:rsidP="00B17575">
      <w:pPr>
        <w:spacing w:line="360" w:lineRule="auto"/>
        <w:jc w:val="both"/>
        <w:rPr>
          <w:rFonts w:asciiTheme="majorBidi" w:hAnsiTheme="majorBidi" w:cstheme="majorBidi"/>
          <w:b/>
          <w:bCs/>
          <w:sz w:val="24"/>
          <w:szCs w:val="24"/>
          <w:lang w:val="sv-SE"/>
        </w:rPr>
      </w:pPr>
    </w:p>
    <w:p w14:paraId="586449A0" w14:textId="77777777" w:rsidR="007F1C3F" w:rsidRDefault="007F1C3F" w:rsidP="00B17575">
      <w:pPr>
        <w:spacing w:line="360" w:lineRule="auto"/>
        <w:jc w:val="both"/>
        <w:rPr>
          <w:rFonts w:asciiTheme="majorBidi" w:hAnsiTheme="majorBidi" w:cstheme="majorBidi"/>
          <w:b/>
          <w:bCs/>
          <w:sz w:val="24"/>
          <w:szCs w:val="24"/>
          <w:lang w:val="sv-SE"/>
        </w:rPr>
      </w:pPr>
    </w:p>
    <w:p w14:paraId="54E6D069" w14:textId="77777777" w:rsidR="007F1C3F" w:rsidRDefault="007F1C3F" w:rsidP="00B17575">
      <w:pPr>
        <w:spacing w:line="360" w:lineRule="auto"/>
        <w:jc w:val="both"/>
        <w:rPr>
          <w:rFonts w:asciiTheme="majorBidi" w:hAnsiTheme="majorBidi" w:cstheme="majorBidi"/>
          <w:b/>
          <w:bCs/>
          <w:sz w:val="24"/>
          <w:szCs w:val="24"/>
          <w:lang w:val="sv-SE"/>
        </w:rPr>
      </w:pPr>
    </w:p>
    <w:p w14:paraId="7B38CCBA" w14:textId="77777777" w:rsidR="007F1C3F" w:rsidRDefault="007F1C3F" w:rsidP="00B17575">
      <w:pPr>
        <w:spacing w:line="360" w:lineRule="auto"/>
        <w:jc w:val="both"/>
        <w:rPr>
          <w:rFonts w:asciiTheme="majorBidi" w:hAnsiTheme="majorBidi" w:cstheme="majorBidi"/>
          <w:b/>
          <w:bCs/>
          <w:sz w:val="24"/>
          <w:szCs w:val="24"/>
          <w:lang w:val="sv-SE"/>
        </w:rPr>
      </w:pPr>
    </w:p>
    <w:p w14:paraId="6DE80D0E" w14:textId="77777777" w:rsidR="007F1C3F" w:rsidRDefault="007F1C3F" w:rsidP="00B17575">
      <w:pPr>
        <w:spacing w:line="360" w:lineRule="auto"/>
        <w:jc w:val="both"/>
        <w:rPr>
          <w:rFonts w:asciiTheme="majorBidi" w:hAnsiTheme="majorBidi" w:cstheme="majorBidi"/>
          <w:b/>
          <w:bCs/>
          <w:sz w:val="24"/>
          <w:szCs w:val="24"/>
          <w:lang w:val="sv-SE"/>
        </w:rPr>
      </w:pPr>
    </w:p>
    <w:p w14:paraId="09B0473F" w14:textId="77777777" w:rsidR="007F1C3F" w:rsidRDefault="007F1C3F" w:rsidP="00B17575">
      <w:pPr>
        <w:spacing w:line="360" w:lineRule="auto"/>
        <w:jc w:val="both"/>
        <w:rPr>
          <w:rFonts w:asciiTheme="majorBidi" w:hAnsiTheme="majorBidi" w:cstheme="majorBidi"/>
          <w:b/>
          <w:bCs/>
          <w:sz w:val="24"/>
          <w:szCs w:val="24"/>
          <w:lang w:val="sv-SE"/>
        </w:rPr>
      </w:pPr>
    </w:p>
    <w:p w14:paraId="20980749" w14:textId="77777777" w:rsidR="007F1C3F" w:rsidRDefault="007F1C3F" w:rsidP="00B17575">
      <w:pPr>
        <w:spacing w:line="360" w:lineRule="auto"/>
        <w:jc w:val="both"/>
        <w:rPr>
          <w:rFonts w:asciiTheme="majorBidi" w:hAnsiTheme="majorBidi" w:cstheme="majorBidi"/>
          <w:b/>
          <w:bCs/>
          <w:sz w:val="24"/>
          <w:szCs w:val="24"/>
          <w:lang w:val="sv-SE"/>
        </w:rPr>
      </w:pPr>
    </w:p>
    <w:p w14:paraId="1F9B7BC7" w14:textId="77777777" w:rsidR="007F1C3F" w:rsidRDefault="007F1C3F" w:rsidP="00B17575">
      <w:pPr>
        <w:spacing w:line="360" w:lineRule="auto"/>
        <w:jc w:val="both"/>
        <w:rPr>
          <w:rFonts w:asciiTheme="majorBidi" w:hAnsiTheme="majorBidi" w:cstheme="majorBidi"/>
          <w:b/>
          <w:bCs/>
          <w:sz w:val="24"/>
          <w:szCs w:val="24"/>
          <w:lang w:val="sv-SE"/>
        </w:rPr>
      </w:pPr>
    </w:p>
    <w:p w14:paraId="09D3A32F" w14:textId="77777777" w:rsidR="007F1C3F" w:rsidRDefault="007F1C3F" w:rsidP="00B17575">
      <w:pPr>
        <w:spacing w:line="360" w:lineRule="auto"/>
        <w:jc w:val="both"/>
        <w:rPr>
          <w:rFonts w:asciiTheme="majorBidi" w:hAnsiTheme="majorBidi" w:cstheme="majorBidi"/>
          <w:b/>
          <w:bCs/>
          <w:sz w:val="24"/>
          <w:szCs w:val="24"/>
          <w:lang w:val="sv-SE"/>
        </w:rPr>
      </w:pPr>
    </w:p>
    <w:p w14:paraId="6559E686" w14:textId="77777777" w:rsidR="007F1C3F" w:rsidRDefault="007F1C3F" w:rsidP="00B17575">
      <w:pPr>
        <w:spacing w:line="360" w:lineRule="auto"/>
        <w:jc w:val="both"/>
        <w:rPr>
          <w:rFonts w:asciiTheme="majorBidi" w:hAnsiTheme="majorBidi" w:cstheme="majorBidi"/>
          <w:b/>
          <w:bCs/>
          <w:sz w:val="24"/>
          <w:szCs w:val="24"/>
          <w:lang w:val="sv-SE"/>
        </w:rPr>
      </w:pPr>
    </w:p>
    <w:p w14:paraId="61646255" w14:textId="77777777" w:rsidR="007F1C3F" w:rsidRPr="00B51544" w:rsidRDefault="007F1C3F" w:rsidP="00B17575">
      <w:pPr>
        <w:spacing w:line="360" w:lineRule="auto"/>
        <w:jc w:val="both"/>
        <w:rPr>
          <w:rFonts w:asciiTheme="majorBidi" w:hAnsiTheme="majorBidi" w:cstheme="majorBidi"/>
          <w:b/>
          <w:bCs/>
          <w:sz w:val="24"/>
          <w:szCs w:val="24"/>
          <w:lang w:val="sv-SE"/>
        </w:rPr>
      </w:pPr>
    </w:p>
    <w:p w14:paraId="5FAB3B86" w14:textId="0CAA6595" w:rsidR="00B627E5" w:rsidRPr="00B51544" w:rsidRDefault="00CB67EB" w:rsidP="00D1413E">
      <w:pPr>
        <w:pStyle w:val="Heading1"/>
        <w:spacing w:line="360" w:lineRule="auto"/>
        <w:jc w:val="center"/>
        <w:rPr>
          <w:rFonts w:asciiTheme="majorBidi" w:hAnsiTheme="majorBidi"/>
          <w:b/>
          <w:bCs/>
          <w:color w:val="auto"/>
          <w:sz w:val="24"/>
          <w:szCs w:val="24"/>
        </w:rPr>
      </w:pPr>
      <w:bookmarkStart w:id="27" w:name="_Toc201063302"/>
      <w:bookmarkStart w:id="28" w:name="_Hlk201243630"/>
      <w:r w:rsidRPr="00B51544">
        <w:rPr>
          <w:rFonts w:asciiTheme="majorBidi" w:hAnsiTheme="majorBidi"/>
          <w:b/>
          <w:bCs/>
          <w:color w:val="auto"/>
          <w:sz w:val="24"/>
          <w:szCs w:val="24"/>
        </w:rPr>
        <w:lastRenderedPageBreak/>
        <w:t>BAB II</w:t>
      </w:r>
      <w:r w:rsidR="00D1413E">
        <w:rPr>
          <w:rFonts w:asciiTheme="majorBidi" w:hAnsiTheme="majorBidi"/>
          <w:b/>
          <w:bCs/>
          <w:color w:val="auto"/>
          <w:sz w:val="24"/>
          <w:szCs w:val="24"/>
        </w:rPr>
        <w:br/>
      </w:r>
      <w:r w:rsidRPr="00B51544">
        <w:rPr>
          <w:rFonts w:asciiTheme="majorBidi" w:hAnsiTheme="majorBidi"/>
          <w:b/>
          <w:bCs/>
          <w:color w:val="auto"/>
          <w:sz w:val="24"/>
          <w:szCs w:val="24"/>
        </w:rPr>
        <w:t>KAJIAN TEORI</w:t>
      </w:r>
      <w:bookmarkEnd w:id="27"/>
    </w:p>
    <w:p w14:paraId="5CB968D0" w14:textId="00469D05" w:rsidR="00B627E5" w:rsidRPr="00B51544" w:rsidRDefault="00420B70" w:rsidP="00B51544">
      <w:pPr>
        <w:pStyle w:val="Heading2"/>
        <w:spacing w:line="360" w:lineRule="auto"/>
        <w:jc w:val="both"/>
        <w:rPr>
          <w:rFonts w:asciiTheme="majorBidi" w:hAnsiTheme="majorBidi"/>
          <w:b/>
          <w:bCs/>
          <w:color w:val="auto"/>
          <w:sz w:val="24"/>
          <w:szCs w:val="24"/>
        </w:rPr>
      </w:pPr>
      <w:bookmarkStart w:id="29" w:name="_Toc201063303"/>
      <w:r w:rsidRPr="00B51544">
        <w:rPr>
          <w:rFonts w:asciiTheme="majorBidi" w:hAnsiTheme="majorBidi"/>
          <w:b/>
          <w:bCs/>
          <w:color w:val="auto"/>
          <w:sz w:val="24"/>
          <w:szCs w:val="24"/>
        </w:rPr>
        <w:t xml:space="preserve">2.1 </w:t>
      </w:r>
      <w:r w:rsidR="002838AF" w:rsidRPr="009B563B">
        <w:rPr>
          <w:rFonts w:asciiTheme="majorBidi" w:hAnsiTheme="majorBidi"/>
          <w:b/>
          <w:bCs/>
          <w:i/>
          <w:iCs/>
          <w:color w:val="auto"/>
          <w:sz w:val="24"/>
          <w:szCs w:val="24"/>
        </w:rPr>
        <w:t xml:space="preserve">Theory </w:t>
      </w:r>
      <w:r w:rsidR="00795242" w:rsidRPr="009B563B">
        <w:rPr>
          <w:rFonts w:asciiTheme="majorBidi" w:hAnsiTheme="majorBidi"/>
          <w:b/>
          <w:bCs/>
          <w:i/>
          <w:iCs/>
          <w:color w:val="auto"/>
          <w:sz w:val="24"/>
          <w:szCs w:val="24"/>
        </w:rPr>
        <w:t>Financial Intermediation</w:t>
      </w:r>
      <w:bookmarkEnd w:id="29"/>
    </w:p>
    <w:p w14:paraId="76509966" w14:textId="7E816F99" w:rsidR="00420B70" w:rsidRPr="00B51544" w:rsidRDefault="00795242" w:rsidP="00A4276F">
      <w:pPr>
        <w:spacing w:after="0" w:line="360" w:lineRule="auto"/>
        <w:ind w:left="426" w:firstLine="708"/>
        <w:jc w:val="both"/>
        <w:rPr>
          <w:rFonts w:asciiTheme="majorBidi" w:hAnsiTheme="majorBidi" w:cstheme="majorBidi"/>
          <w:b/>
          <w:bCs/>
          <w:sz w:val="24"/>
          <w:szCs w:val="24"/>
          <w:lang w:val="sv-SE"/>
        </w:rPr>
      </w:pPr>
      <w:r w:rsidRPr="00B51544">
        <w:rPr>
          <w:rFonts w:asciiTheme="majorBidi" w:hAnsiTheme="majorBidi" w:cstheme="majorBidi"/>
          <w:sz w:val="24"/>
          <w:szCs w:val="24"/>
        </w:rPr>
        <w:t xml:space="preserve">Teori yang relevan untuk dijadikan sebagai </w:t>
      </w:r>
      <w:r w:rsidRPr="00B51544">
        <w:rPr>
          <w:rFonts w:asciiTheme="majorBidi" w:hAnsiTheme="majorBidi" w:cstheme="majorBidi"/>
          <w:i/>
          <w:iCs/>
          <w:sz w:val="24"/>
          <w:szCs w:val="24"/>
        </w:rPr>
        <w:t>grand theory</w:t>
      </w:r>
      <w:r w:rsidRPr="00B51544">
        <w:rPr>
          <w:rFonts w:asciiTheme="majorBidi" w:hAnsiTheme="majorBidi" w:cstheme="majorBidi"/>
          <w:sz w:val="24"/>
          <w:szCs w:val="24"/>
        </w:rPr>
        <w:t xml:space="preserve"> dalam penelitian ini adalah </w:t>
      </w:r>
      <w:r w:rsidR="002838AF" w:rsidRPr="00B51544">
        <w:rPr>
          <w:rFonts w:asciiTheme="majorBidi" w:hAnsiTheme="majorBidi" w:cstheme="majorBidi"/>
          <w:i/>
          <w:iCs/>
          <w:sz w:val="24"/>
          <w:szCs w:val="24"/>
        </w:rPr>
        <w:t>theory of financial</w:t>
      </w:r>
      <w:r w:rsidR="002838AF" w:rsidRPr="00B51544">
        <w:rPr>
          <w:rFonts w:asciiTheme="majorBidi" w:hAnsiTheme="majorBidi" w:cstheme="majorBidi"/>
          <w:sz w:val="24"/>
          <w:szCs w:val="24"/>
        </w:rPr>
        <w:t xml:space="preserve"> intermediation atau teori intermediasi keuangan. </w:t>
      </w:r>
      <w:r w:rsidR="00BB39CC" w:rsidRPr="00BB39CC">
        <w:rPr>
          <w:rFonts w:asciiTheme="majorBidi" w:hAnsiTheme="majorBidi" w:cstheme="majorBidi"/>
          <w:sz w:val="24"/>
          <w:szCs w:val="24"/>
          <w:lang w:val="sv-SE"/>
        </w:rPr>
        <w:t xml:space="preserve">Teori ini </w:t>
      </w:r>
      <w:r w:rsidR="00BB39CC">
        <w:rPr>
          <w:rFonts w:asciiTheme="majorBidi" w:hAnsiTheme="majorBidi" w:cstheme="majorBidi"/>
          <w:sz w:val="24"/>
          <w:szCs w:val="24"/>
          <w:lang w:val="sv-SE"/>
        </w:rPr>
        <w:t xml:space="preserve">menjelaskan </w:t>
      </w:r>
      <w:r w:rsidR="00BB39CC" w:rsidRPr="00BB39CC">
        <w:rPr>
          <w:rFonts w:asciiTheme="majorBidi" w:hAnsiTheme="majorBidi" w:cstheme="majorBidi"/>
          <w:sz w:val="24"/>
          <w:szCs w:val="24"/>
          <w:lang w:val="sv-SE"/>
        </w:rPr>
        <w:t>peran bank sebagai penghubung antara mereka yang meminjam dan mereka yang menabung. Fungsi sebagai perantara ini sangat penting untuk menjaga agar perekonomian tetap berjalan lancar demi tercapainya stabilitas ekonomi. Umumnya, teori ini diterapkan untuk mengawasi kinerja bank yang sudah ada, guna menilai apakah operasionalnya efektif atau tidak. Semakin besar nilai intermediasi yang dilakukan oleh bank, semakin baik juga kondisi perbankan tersebut</w:t>
      </w:r>
      <w:r w:rsidR="002838AF" w:rsidRPr="00B51544">
        <w:rPr>
          <w:rFonts w:asciiTheme="majorBidi" w:hAnsiTheme="majorBidi" w:cstheme="majorBidi"/>
          <w:sz w:val="24"/>
          <w:szCs w:val="24"/>
          <w:lang w:val="sv-SE"/>
        </w:rPr>
        <w:t>.</w:t>
      </w:r>
      <w:r w:rsidR="00281950" w:rsidRPr="00B51544">
        <w:rPr>
          <w:rStyle w:val="FootnoteReference"/>
          <w:rFonts w:asciiTheme="majorBidi" w:hAnsiTheme="majorBidi" w:cstheme="majorBidi"/>
          <w:sz w:val="24"/>
          <w:szCs w:val="24"/>
          <w:lang w:val="sv-SE"/>
        </w:rPr>
        <w:footnoteReference w:id="38"/>
      </w:r>
    </w:p>
    <w:p w14:paraId="094A28FB" w14:textId="77777777" w:rsidR="00420B70" w:rsidRPr="00B51544" w:rsidRDefault="008B2DD2" w:rsidP="00A4276F">
      <w:pPr>
        <w:spacing w:after="0" w:line="360" w:lineRule="auto"/>
        <w:ind w:left="426" w:firstLine="708"/>
        <w:jc w:val="both"/>
        <w:rPr>
          <w:rFonts w:asciiTheme="majorBidi" w:hAnsiTheme="majorBidi" w:cstheme="majorBidi"/>
          <w:b/>
          <w:bCs/>
          <w:sz w:val="24"/>
          <w:szCs w:val="24"/>
          <w:lang w:val="sv-SE"/>
        </w:rPr>
      </w:pPr>
      <w:r w:rsidRPr="00B51544">
        <w:rPr>
          <w:rFonts w:asciiTheme="majorBidi" w:hAnsiTheme="majorBidi" w:cstheme="majorBidi"/>
          <w:sz w:val="24"/>
          <w:szCs w:val="24"/>
          <w:lang w:val="sv-SE"/>
        </w:rPr>
        <w:t>Menurut John Gurley Teori Intermediasi Keuangan yakni salah satu tanggungjawab utama bank sebagai mesin utama ekonomi suatu negara adalah memediasi transfer uang dari mereka yang memiliki kelebihan dana kepada mereka yang membutuhkannya. Seorang pialang yang memfasilitasi pertukaran produk dan layanan serta bertindak sebagai ”perantara” bagi para pelaku transaksi dikenal sebagai perantara, sedangkan intermediasi adalah penghubung.</w:t>
      </w:r>
      <w:r w:rsidR="00281950" w:rsidRPr="00B51544">
        <w:rPr>
          <w:rStyle w:val="FootnoteReference"/>
          <w:rFonts w:asciiTheme="majorBidi" w:hAnsiTheme="majorBidi" w:cstheme="majorBidi"/>
          <w:sz w:val="24"/>
          <w:szCs w:val="24"/>
          <w:lang w:val="sv-SE"/>
        </w:rPr>
        <w:footnoteReference w:id="39"/>
      </w:r>
      <w:r w:rsidR="00281950" w:rsidRPr="00B51544">
        <w:rPr>
          <w:rFonts w:asciiTheme="majorBidi" w:hAnsiTheme="majorBidi" w:cstheme="majorBidi"/>
          <w:sz w:val="24"/>
          <w:szCs w:val="24"/>
          <w:lang w:val="sv-SE"/>
        </w:rPr>
        <w:t xml:space="preserve"> </w:t>
      </w:r>
    </w:p>
    <w:p w14:paraId="148E652E" w14:textId="77777777" w:rsidR="00420B70" w:rsidRPr="00B51544" w:rsidRDefault="008B2DD2" w:rsidP="00A4276F">
      <w:pPr>
        <w:spacing w:after="0" w:line="360" w:lineRule="auto"/>
        <w:ind w:left="426" w:firstLine="708"/>
        <w:jc w:val="both"/>
        <w:rPr>
          <w:rFonts w:asciiTheme="majorBidi" w:hAnsiTheme="majorBidi" w:cstheme="majorBidi"/>
          <w:b/>
          <w:bCs/>
          <w:sz w:val="24"/>
          <w:szCs w:val="24"/>
          <w:lang w:val="sv-SE"/>
        </w:rPr>
      </w:pPr>
      <w:r w:rsidRPr="00B51544">
        <w:rPr>
          <w:rFonts w:asciiTheme="majorBidi" w:hAnsiTheme="majorBidi" w:cstheme="majorBidi"/>
          <w:sz w:val="24"/>
          <w:szCs w:val="24"/>
          <w:lang w:val="sv-SE"/>
        </w:rPr>
        <w:t>Selain itu, teori ini juga memberikan penjelasan mengenai fungsi perbankan, yakni perbankan mengemban tanggung jawab sebagai penopang perekonomian suatu negara melalui tugas intermediasi dana. Perbankan menjadi salah satu entitas bisnis yang secara langsung berhubungan dengan masyarakat. Salah satu peran perbankan, yaitu penghimpun dana dari masyarakat dapat dilakukan melalui produk investasi yaitu deposito. Intermediasi pada perusahaan perbankan menuntut perbankan harus memiliki kinerja keuangan yang baik dengan risiko seminimal mungkin.</w:t>
      </w:r>
      <w:r w:rsidR="00281950" w:rsidRPr="00B51544">
        <w:rPr>
          <w:rStyle w:val="FootnoteReference"/>
          <w:rFonts w:asciiTheme="majorBidi" w:hAnsiTheme="majorBidi" w:cstheme="majorBidi"/>
          <w:sz w:val="24"/>
          <w:szCs w:val="24"/>
          <w:lang w:val="sv-SE"/>
        </w:rPr>
        <w:footnoteReference w:id="40"/>
      </w:r>
    </w:p>
    <w:p w14:paraId="44DBE902" w14:textId="27A8DF61" w:rsidR="002838AF" w:rsidRPr="00B51544" w:rsidRDefault="00602A79" w:rsidP="00A4276F">
      <w:pPr>
        <w:spacing w:after="0" w:line="360" w:lineRule="auto"/>
        <w:ind w:left="426" w:firstLine="708"/>
        <w:jc w:val="both"/>
        <w:rPr>
          <w:rFonts w:asciiTheme="majorBidi" w:hAnsiTheme="majorBidi" w:cstheme="majorBidi"/>
          <w:b/>
          <w:bCs/>
          <w:sz w:val="24"/>
          <w:szCs w:val="24"/>
          <w:lang w:val="sv-SE"/>
        </w:rPr>
      </w:pPr>
      <w:r w:rsidRPr="00B51544">
        <w:rPr>
          <w:rFonts w:asciiTheme="majorBidi" w:hAnsiTheme="majorBidi" w:cstheme="majorBidi"/>
          <w:i/>
          <w:iCs/>
          <w:sz w:val="24"/>
          <w:szCs w:val="24"/>
          <w:lang w:val="sv-SE"/>
        </w:rPr>
        <w:t>The financial intermediation</w:t>
      </w:r>
      <w:r w:rsidRPr="00B51544">
        <w:rPr>
          <w:rFonts w:asciiTheme="majorBidi" w:hAnsiTheme="majorBidi" w:cstheme="majorBidi"/>
          <w:sz w:val="24"/>
          <w:szCs w:val="24"/>
          <w:lang w:val="sv-SE"/>
        </w:rPr>
        <w:t xml:space="preserve"> merupakan teori yang memiliki pendapat bahwa bank hanya bersifat perantara finansial. Dalam konteks deposito mudharabah menjelaskan bagaimana bank syariah berfungsi sebagai perantara antara pemilik dana (shahibul maal) dan pengelola dana (mudharib). Dalam akad mudharabah, bank mengelola dana yang disimpan </w:t>
      </w:r>
      <w:r w:rsidRPr="00B51544">
        <w:rPr>
          <w:rFonts w:asciiTheme="majorBidi" w:hAnsiTheme="majorBidi" w:cstheme="majorBidi"/>
          <w:sz w:val="24"/>
          <w:szCs w:val="24"/>
          <w:lang w:val="sv-SE"/>
        </w:rPr>
        <w:lastRenderedPageBreak/>
        <w:t>nasabah untuk investasi, dengan pembagian hasil yang disepakati, sehingga menciptakan sinergi antara penabung dan peminjam sesuai prinsip syariah.</w:t>
      </w:r>
      <w:r w:rsidR="00D51B6E" w:rsidRPr="00B51544">
        <w:rPr>
          <w:rStyle w:val="FootnoteReference"/>
          <w:rFonts w:asciiTheme="majorBidi" w:hAnsiTheme="majorBidi" w:cstheme="majorBidi"/>
          <w:sz w:val="24"/>
          <w:szCs w:val="24"/>
          <w:lang w:val="sv-SE"/>
        </w:rPr>
        <w:footnoteReference w:id="41"/>
      </w:r>
    </w:p>
    <w:p w14:paraId="66E40360" w14:textId="49CA63BD" w:rsidR="0000768D" w:rsidRPr="00B51544" w:rsidRDefault="0072691E" w:rsidP="00B51544">
      <w:pPr>
        <w:pStyle w:val="Heading2"/>
        <w:spacing w:line="360" w:lineRule="auto"/>
        <w:jc w:val="both"/>
        <w:rPr>
          <w:rFonts w:asciiTheme="majorBidi" w:hAnsiTheme="majorBidi"/>
          <w:b/>
          <w:bCs/>
          <w:color w:val="auto"/>
          <w:sz w:val="24"/>
          <w:szCs w:val="24"/>
          <w:lang w:val="sv-SE"/>
        </w:rPr>
      </w:pPr>
      <w:bookmarkStart w:id="30" w:name="_Toc201063304"/>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2</w:t>
      </w:r>
      <w:r w:rsidRPr="00B51544">
        <w:rPr>
          <w:rFonts w:asciiTheme="majorBidi" w:hAnsiTheme="majorBidi"/>
          <w:b/>
          <w:bCs/>
          <w:color w:val="auto"/>
          <w:sz w:val="24"/>
          <w:szCs w:val="24"/>
          <w:lang w:val="sv-SE"/>
        </w:rPr>
        <w:t xml:space="preserve"> </w:t>
      </w:r>
      <w:r w:rsidR="0000768D" w:rsidRPr="00B51544">
        <w:rPr>
          <w:rFonts w:asciiTheme="majorBidi" w:hAnsiTheme="majorBidi"/>
          <w:b/>
          <w:bCs/>
          <w:color w:val="auto"/>
          <w:sz w:val="24"/>
          <w:szCs w:val="24"/>
          <w:lang w:val="sv-SE"/>
        </w:rPr>
        <w:t>Risiko Pembiayaan</w:t>
      </w:r>
      <w:bookmarkEnd w:id="30"/>
    </w:p>
    <w:p w14:paraId="53C9590B" w14:textId="50701695" w:rsidR="0000768D" w:rsidRPr="00B51544" w:rsidRDefault="0072691E" w:rsidP="00B51544">
      <w:pPr>
        <w:pStyle w:val="Heading3"/>
        <w:spacing w:line="360" w:lineRule="auto"/>
        <w:ind w:left="426"/>
        <w:jc w:val="both"/>
        <w:rPr>
          <w:rFonts w:asciiTheme="majorBidi" w:hAnsiTheme="majorBidi"/>
          <w:b/>
          <w:bCs/>
          <w:color w:val="auto"/>
          <w:sz w:val="24"/>
          <w:szCs w:val="24"/>
          <w:lang w:val="sv-SE"/>
        </w:rPr>
      </w:pPr>
      <w:bookmarkStart w:id="31" w:name="_Toc201063305"/>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2</w:t>
      </w:r>
      <w:r w:rsidRPr="00B51544">
        <w:rPr>
          <w:rFonts w:asciiTheme="majorBidi" w:hAnsiTheme="majorBidi"/>
          <w:b/>
          <w:bCs/>
          <w:color w:val="auto"/>
          <w:sz w:val="24"/>
          <w:szCs w:val="24"/>
          <w:lang w:val="sv-SE"/>
        </w:rPr>
        <w:t xml:space="preserve">.1 </w:t>
      </w:r>
      <w:r w:rsidR="0000768D" w:rsidRPr="00B51544">
        <w:rPr>
          <w:rFonts w:asciiTheme="majorBidi" w:hAnsiTheme="majorBidi"/>
          <w:b/>
          <w:bCs/>
          <w:color w:val="auto"/>
          <w:sz w:val="24"/>
          <w:szCs w:val="24"/>
          <w:lang w:val="sv-SE"/>
        </w:rPr>
        <w:t>Pengertian Risiko Pembiayaan</w:t>
      </w:r>
      <w:bookmarkEnd w:id="31"/>
    </w:p>
    <w:p w14:paraId="7B5C9173" w14:textId="1528BA6C" w:rsidR="006D6DA0" w:rsidRPr="00B51544" w:rsidRDefault="0000768D" w:rsidP="00B51544">
      <w:pPr>
        <w:pStyle w:val="ListParagraph"/>
        <w:spacing w:line="360" w:lineRule="auto"/>
        <w:ind w:left="993" w:firstLine="698"/>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Risiko Pembiayaan merupakan risiko yang disebabkan oleh adanya </w:t>
      </w:r>
      <w:r w:rsidRPr="007F0752">
        <w:rPr>
          <w:rFonts w:asciiTheme="majorBidi" w:hAnsiTheme="majorBidi" w:cstheme="majorBidi"/>
          <w:i/>
          <w:iCs/>
          <w:sz w:val="24"/>
          <w:szCs w:val="24"/>
          <w:lang w:val="sv-SE"/>
        </w:rPr>
        <w:t>counterparty</w:t>
      </w:r>
      <w:r w:rsidRPr="00B51544">
        <w:rPr>
          <w:rFonts w:asciiTheme="majorBidi" w:hAnsiTheme="majorBidi" w:cstheme="majorBidi"/>
          <w:sz w:val="24"/>
          <w:szCs w:val="24"/>
          <w:lang w:val="sv-SE"/>
        </w:rPr>
        <w:t xml:space="preserve"> dalam memenuhi kewajibannya. </w:t>
      </w:r>
      <w:r w:rsidR="007F0752" w:rsidRPr="007F0752">
        <w:rPr>
          <w:rFonts w:asciiTheme="majorBidi" w:hAnsiTheme="majorBidi" w:cstheme="majorBidi"/>
          <w:sz w:val="24"/>
          <w:szCs w:val="24"/>
          <w:lang w:val="sv-SE"/>
        </w:rPr>
        <w:t>Risiko dalam dunia perbankan syariah adalah situasi yang mungkin terjadi, baik yang dapat diprediksi maupun yang tidak terduga, yang berdampak buruk pada penghasilan dan modal bank. Selain menghadapi risiko serupa dengan bank umum, bank syariah juga menghadapi risiko tambahan yang muncul karena perbedaan prinsip dari bank konvensional. Dalam hal ini, sistem bagi hasil yang diterapkan oleh bank syariah meningkatkan peluang terjadinya risiko-risiko baru.</w:t>
      </w:r>
      <w:r w:rsidR="00FB0CC9" w:rsidRPr="00B51544">
        <w:rPr>
          <w:rStyle w:val="FootnoteReference"/>
          <w:rFonts w:asciiTheme="majorBidi" w:hAnsiTheme="majorBidi" w:cstheme="majorBidi"/>
          <w:sz w:val="24"/>
          <w:szCs w:val="24"/>
          <w:lang w:val="sv-SE"/>
        </w:rPr>
        <w:footnoteReference w:id="42"/>
      </w:r>
    </w:p>
    <w:p w14:paraId="1C5BB88F" w14:textId="0CC88D65" w:rsidR="006D6DA0" w:rsidRPr="00B51544" w:rsidRDefault="00FB0CC9" w:rsidP="00B51544">
      <w:pPr>
        <w:pStyle w:val="ListParagraph"/>
        <w:spacing w:line="360" w:lineRule="auto"/>
        <w:ind w:left="993" w:firstLine="698"/>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Pembiayaan adalah risiko yang terjadi akibat kegagalan pihak lawan (</w:t>
      </w:r>
      <w:r w:rsidRPr="00B51544">
        <w:rPr>
          <w:rFonts w:asciiTheme="majorBidi" w:hAnsiTheme="majorBidi" w:cstheme="majorBidi"/>
          <w:i/>
          <w:iCs/>
          <w:sz w:val="24"/>
          <w:szCs w:val="24"/>
          <w:lang w:val="sv-SE"/>
        </w:rPr>
        <w:t>counterparty</w:t>
      </w:r>
      <w:r w:rsidRPr="00B51544">
        <w:rPr>
          <w:rFonts w:asciiTheme="majorBidi" w:hAnsiTheme="majorBidi" w:cstheme="majorBidi"/>
          <w:sz w:val="24"/>
          <w:szCs w:val="24"/>
          <w:lang w:val="sv-SE"/>
        </w:rPr>
        <w:t xml:space="preserve">) memenuhi kewajibannya. Risiko pembiayaan dapat bersumber dari berbagai aktivitas fungsional bank seperti pembiayaan (penyediaan dana). </w:t>
      </w:r>
      <w:r w:rsidR="007F0752" w:rsidRPr="007F0752">
        <w:rPr>
          <w:rFonts w:asciiTheme="majorBidi" w:hAnsiTheme="majorBidi" w:cstheme="majorBidi"/>
          <w:sz w:val="24"/>
          <w:szCs w:val="24"/>
          <w:lang w:val="sv-SE"/>
        </w:rPr>
        <w:t>Risiko pembiayaan seringkali dihubungkan dengan kemungkinan gagal bayar. Risiko ini merujuk pada kemungkinan kerugian yang dihadapi oleh bank saat pembiayaan yang diberikan tidak berjalan lancar. Debitur berada dalam situasi di mana ia tidak dapat memenuhi kewajiban untuk membayar pembiayaan kepada bank</w:t>
      </w:r>
      <w:r w:rsidRPr="00B51544">
        <w:rPr>
          <w:rFonts w:asciiTheme="majorBidi" w:hAnsiTheme="majorBidi" w:cstheme="majorBidi"/>
          <w:sz w:val="24"/>
          <w:szCs w:val="24"/>
          <w:lang w:val="sv-SE"/>
        </w:rPr>
        <w:t>.</w:t>
      </w:r>
      <w:r w:rsidRPr="00B51544">
        <w:rPr>
          <w:rStyle w:val="FootnoteReference"/>
          <w:rFonts w:asciiTheme="majorBidi" w:hAnsiTheme="majorBidi" w:cstheme="majorBidi"/>
          <w:sz w:val="24"/>
          <w:szCs w:val="24"/>
          <w:lang w:val="sv-SE"/>
        </w:rPr>
        <w:footnoteReference w:id="43"/>
      </w:r>
    </w:p>
    <w:p w14:paraId="13ADE947" w14:textId="3C8F711E" w:rsidR="006D6DA0" w:rsidRPr="00B51544" w:rsidRDefault="007F0752" w:rsidP="00B51544">
      <w:pPr>
        <w:pStyle w:val="ListParagraph"/>
        <w:spacing w:line="360" w:lineRule="auto"/>
        <w:ind w:left="993" w:firstLine="698"/>
        <w:jc w:val="both"/>
        <w:rPr>
          <w:rFonts w:asciiTheme="majorBidi" w:hAnsiTheme="majorBidi" w:cstheme="majorBidi"/>
          <w:sz w:val="24"/>
          <w:szCs w:val="24"/>
        </w:rPr>
      </w:pPr>
      <w:r w:rsidRPr="007F0752">
        <w:rPr>
          <w:rFonts w:asciiTheme="majorBidi" w:hAnsiTheme="majorBidi" w:cstheme="majorBidi"/>
          <w:sz w:val="24"/>
          <w:szCs w:val="24"/>
          <w:lang w:val="sv-SE"/>
        </w:rPr>
        <w:t>Menurut Umam, kredit macet atau NPL biasanya dimulai dengan terjadinya "</w:t>
      </w:r>
      <w:r w:rsidRPr="009B563B">
        <w:rPr>
          <w:rFonts w:asciiTheme="majorBidi" w:hAnsiTheme="majorBidi" w:cstheme="majorBidi"/>
          <w:i/>
          <w:iCs/>
          <w:sz w:val="24"/>
          <w:szCs w:val="24"/>
          <w:lang w:val="sv-SE"/>
        </w:rPr>
        <w:t>wanprestasi</w:t>
      </w:r>
      <w:r w:rsidRPr="007F0752">
        <w:rPr>
          <w:rFonts w:asciiTheme="majorBidi" w:hAnsiTheme="majorBidi" w:cstheme="majorBidi"/>
          <w:sz w:val="24"/>
          <w:szCs w:val="24"/>
          <w:lang w:val="sv-SE"/>
        </w:rPr>
        <w:t xml:space="preserve">", yakni situasi di mana debitur tidak mau atau tidak bisa memenuhi komitmen yang telah disepakati dalam perjanjian kredit, termasuk dalam perjanjian pembiayaan. </w:t>
      </w:r>
      <w:r w:rsidRPr="007F0752">
        <w:rPr>
          <w:rFonts w:asciiTheme="majorBidi" w:hAnsiTheme="majorBidi" w:cstheme="majorBidi"/>
          <w:sz w:val="24"/>
          <w:szCs w:val="24"/>
        </w:rPr>
        <w:t>NPL (</w:t>
      </w:r>
      <w:r w:rsidRPr="007F0752">
        <w:rPr>
          <w:rFonts w:asciiTheme="majorBidi" w:hAnsiTheme="majorBidi" w:cstheme="majorBidi"/>
          <w:i/>
          <w:iCs/>
          <w:sz w:val="24"/>
          <w:szCs w:val="24"/>
        </w:rPr>
        <w:t>Non Performing Loan</w:t>
      </w:r>
      <w:r w:rsidRPr="007F0752">
        <w:rPr>
          <w:rFonts w:asciiTheme="majorBidi" w:hAnsiTheme="majorBidi" w:cstheme="majorBidi"/>
          <w:sz w:val="24"/>
          <w:szCs w:val="24"/>
        </w:rPr>
        <w:t xml:space="preserve">) digunakan untuk mengukur kerugian yang muncul akibat risiko kredit. Istilah Non Performing Loan lebih umum digunakan di bank konvensional, sementara di perbankan syariah istilah yang dipakai adalah </w:t>
      </w:r>
      <w:r w:rsidRPr="009B563B">
        <w:rPr>
          <w:rFonts w:asciiTheme="majorBidi" w:hAnsiTheme="majorBidi" w:cstheme="majorBidi"/>
          <w:i/>
          <w:iCs/>
          <w:sz w:val="24"/>
          <w:szCs w:val="24"/>
        </w:rPr>
        <w:t xml:space="preserve">Non Performing Finance </w:t>
      </w:r>
      <w:r w:rsidRPr="007F0752">
        <w:rPr>
          <w:rFonts w:asciiTheme="majorBidi" w:hAnsiTheme="majorBidi" w:cstheme="majorBidi"/>
          <w:sz w:val="24"/>
          <w:szCs w:val="24"/>
        </w:rPr>
        <w:t xml:space="preserve">(NPF). </w:t>
      </w:r>
      <w:r w:rsidRPr="009B563B">
        <w:rPr>
          <w:rFonts w:asciiTheme="majorBidi" w:hAnsiTheme="majorBidi" w:cstheme="majorBidi"/>
          <w:i/>
          <w:iCs/>
          <w:sz w:val="24"/>
          <w:szCs w:val="24"/>
        </w:rPr>
        <w:t>Non Performing Finance</w:t>
      </w:r>
      <w:r w:rsidRPr="007F0752">
        <w:rPr>
          <w:rFonts w:asciiTheme="majorBidi" w:hAnsiTheme="majorBidi" w:cstheme="majorBidi"/>
          <w:sz w:val="24"/>
          <w:szCs w:val="24"/>
        </w:rPr>
        <w:t xml:space="preserve"> dianalisis dengan membandingkan pembiayaan yang bermasalah dengan total pembiayaan. Pembiayaan yang dianggap tidak lancar atau berisiko terdiri dari pembiayaan yang kurang lancar, yang diragukan, dan yang macet</w:t>
      </w:r>
      <w:r w:rsidR="008B6455" w:rsidRPr="00B51544">
        <w:rPr>
          <w:rFonts w:asciiTheme="majorBidi" w:hAnsiTheme="majorBidi" w:cstheme="majorBidi"/>
          <w:sz w:val="24"/>
          <w:szCs w:val="24"/>
        </w:rPr>
        <w:t>.</w:t>
      </w:r>
      <w:r w:rsidR="006E626C" w:rsidRPr="00B51544">
        <w:rPr>
          <w:rStyle w:val="FootnoteReference"/>
          <w:rFonts w:asciiTheme="majorBidi" w:hAnsiTheme="majorBidi" w:cstheme="majorBidi"/>
          <w:sz w:val="24"/>
          <w:szCs w:val="24"/>
        </w:rPr>
        <w:footnoteReference w:id="44"/>
      </w:r>
    </w:p>
    <w:p w14:paraId="2FBE444E" w14:textId="5A33E390" w:rsidR="00825953" w:rsidRPr="00B51544" w:rsidRDefault="00825953" w:rsidP="00B51544">
      <w:pPr>
        <w:pStyle w:val="ListParagraph"/>
        <w:spacing w:line="360" w:lineRule="auto"/>
        <w:ind w:left="993" w:firstLine="698"/>
        <w:jc w:val="both"/>
        <w:rPr>
          <w:rFonts w:asciiTheme="majorBidi" w:hAnsiTheme="majorBidi" w:cstheme="majorBidi"/>
          <w:sz w:val="24"/>
          <w:szCs w:val="24"/>
          <w:lang w:val="sv-SE"/>
        </w:rPr>
      </w:pPr>
      <w:r w:rsidRPr="00B51544">
        <w:rPr>
          <w:rFonts w:asciiTheme="majorBidi" w:hAnsiTheme="majorBidi" w:cstheme="majorBidi"/>
          <w:sz w:val="24"/>
          <w:szCs w:val="24"/>
        </w:rPr>
        <w:lastRenderedPageBreak/>
        <w:t>NPF adalah ukuran dari besarnya pembiayaan yang diberikan, yang akan memengaruhi risiko yang ditanggung oleh bank syariah. Risiko ini dapat berpotensi menyebabkan terjadinya kredit macet atau masalah dalam pembiayaan. Oleh karena itu, NPF berfungsi sebagai indikator untuk menilai kinerja bank dalam mengelola keuangan, apakah bank tersebut berhasil atau gagal dalam menjalankan fungsinya.</w:t>
      </w:r>
      <w:r w:rsidRPr="00B51544">
        <w:rPr>
          <w:rStyle w:val="FootnoteReference"/>
          <w:rFonts w:asciiTheme="majorBidi" w:hAnsiTheme="majorBidi" w:cstheme="majorBidi"/>
          <w:sz w:val="24"/>
          <w:szCs w:val="24"/>
        </w:rPr>
        <w:footnoteReference w:id="45"/>
      </w:r>
      <w:r w:rsidRPr="00B51544">
        <w:rPr>
          <w:rFonts w:asciiTheme="majorBidi" w:hAnsiTheme="majorBidi" w:cstheme="majorBidi"/>
          <w:sz w:val="24"/>
          <w:szCs w:val="24"/>
        </w:rPr>
        <w:t xml:space="preserve"> </w:t>
      </w:r>
      <w:r w:rsidRPr="00B51544">
        <w:rPr>
          <w:rFonts w:asciiTheme="majorBidi" w:hAnsiTheme="majorBidi" w:cstheme="majorBidi"/>
          <w:sz w:val="24"/>
          <w:szCs w:val="24"/>
          <w:lang w:val="sv-SE"/>
        </w:rPr>
        <w:t>Untuk mengukur nilai NPF suatu bank dapat dilakukan dengan menggunakan rumus berikut :</w:t>
      </w:r>
    </w:p>
    <w:p w14:paraId="314F253A" w14:textId="77777777" w:rsidR="00825953" w:rsidRPr="00B51544" w:rsidRDefault="00825953" w:rsidP="00B51544">
      <w:pPr>
        <w:pStyle w:val="ListParagraph"/>
        <w:spacing w:line="360" w:lineRule="auto"/>
        <w:ind w:left="993" w:firstLine="567"/>
        <w:jc w:val="center"/>
        <w:rPr>
          <w:rFonts w:asciiTheme="majorBidi" w:eastAsiaTheme="minorEastAsia" w:hAnsiTheme="majorBidi" w:cstheme="majorBidi"/>
          <w:sz w:val="24"/>
          <w:szCs w:val="24"/>
          <w:lang w:val="sv-SE"/>
        </w:rPr>
      </w:pPr>
      <w:r w:rsidRPr="00B51544">
        <w:rPr>
          <w:rFonts w:asciiTheme="majorBidi" w:eastAsiaTheme="minorEastAsia" w:hAnsiTheme="majorBidi" w:cstheme="majorBidi"/>
          <w:sz w:val="24"/>
          <w:szCs w:val="24"/>
          <w:lang w:val="sv-SE"/>
        </w:rPr>
        <w:t xml:space="preserve">NPF = </w:t>
      </w:r>
      <m:oMath>
        <m:f>
          <m:fPr>
            <m:ctrlPr>
              <w:rPr>
                <w:rFonts w:ascii="Cambria Math" w:eastAsiaTheme="minorEastAsia" w:hAnsi="Cambria Math" w:cstheme="majorBidi"/>
                <w:i/>
                <w:sz w:val="24"/>
                <w:szCs w:val="24"/>
                <w:lang w:val="sv-SE"/>
              </w:rPr>
            </m:ctrlPr>
          </m:fPr>
          <m:num>
            <m:r>
              <w:rPr>
                <w:rFonts w:ascii="Cambria Math" w:eastAsiaTheme="minorEastAsia" w:hAnsi="Cambria Math" w:cstheme="majorBidi"/>
                <w:sz w:val="24"/>
                <w:szCs w:val="24"/>
                <w:lang w:val="sv-SE"/>
              </w:rPr>
              <m:t>Pembiayaan Bermasalah</m:t>
            </m:r>
          </m:num>
          <m:den>
            <m:r>
              <w:rPr>
                <w:rFonts w:ascii="Cambria Math" w:eastAsiaTheme="minorEastAsia" w:hAnsi="Cambria Math" w:cstheme="majorBidi"/>
                <w:sz w:val="24"/>
                <w:szCs w:val="24"/>
                <w:lang w:val="sv-SE"/>
              </w:rPr>
              <m:t>Total Pembiayaan</m:t>
            </m:r>
          </m:den>
        </m:f>
      </m:oMath>
      <w:r w:rsidRPr="00B51544">
        <w:rPr>
          <w:rFonts w:asciiTheme="majorBidi" w:eastAsiaTheme="minorEastAsia" w:hAnsiTheme="majorBidi" w:cstheme="majorBidi"/>
          <w:sz w:val="24"/>
          <w:szCs w:val="24"/>
          <w:lang w:val="sv-SE"/>
        </w:rPr>
        <w:t xml:space="preserve"> x 100%</w:t>
      </w:r>
    </w:p>
    <w:p w14:paraId="4453E116" w14:textId="77777777" w:rsidR="00825953" w:rsidRPr="00B51544" w:rsidRDefault="00825953" w:rsidP="00B51544">
      <w:pPr>
        <w:pStyle w:val="ListParagraph"/>
        <w:spacing w:line="360" w:lineRule="auto"/>
        <w:ind w:left="993" w:firstLine="567"/>
        <w:jc w:val="both"/>
        <w:rPr>
          <w:rFonts w:asciiTheme="majorBidi" w:eastAsiaTheme="minorEastAsia" w:hAnsiTheme="majorBidi" w:cstheme="majorBidi"/>
          <w:sz w:val="24"/>
          <w:szCs w:val="24"/>
          <w:lang w:val="sv-SE"/>
        </w:rPr>
      </w:pPr>
    </w:p>
    <w:p w14:paraId="689F74A4" w14:textId="719C7778" w:rsidR="006C7242" w:rsidRPr="00B51544" w:rsidRDefault="00825953" w:rsidP="00B51544">
      <w:pPr>
        <w:pStyle w:val="ListParagraph"/>
        <w:spacing w:line="360" w:lineRule="auto"/>
        <w:ind w:left="993" w:firstLine="709"/>
        <w:jc w:val="both"/>
        <w:rPr>
          <w:rFonts w:asciiTheme="majorBidi" w:eastAsiaTheme="minorEastAsia" w:hAnsiTheme="majorBidi" w:cstheme="majorBidi"/>
          <w:sz w:val="24"/>
          <w:szCs w:val="24"/>
          <w:lang w:val="sv-SE"/>
        </w:rPr>
      </w:pPr>
      <w:r w:rsidRPr="00B51544">
        <w:rPr>
          <w:rFonts w:asciiTheme="majorBidi" w:eastAsiaTheme="minorEastAsia" w:hAnsiTheme="majorBidi" w:cstheme="majorBidi"/>
          <w:sz w:val="24"/>
          <w:szCs w:val="24"/>
          <w:lang w:val="sv-SE"/>
        </w:rPr>
        <w:t>Semakin tinggi rasio NPF akan menurunkan tingkat kesehatan operasional perbankan syariah dan berpengaruh terhadap kepercayaan nasabah, terutama bagi depositor yang beranggapan dananya akan hilang. Kemudian juga semakin tinggi nilai NPF maka semakin tinggi debitur yang tidak memberikan kewajibannya dalam bentuk margin ataupun bagi hasil kepada bank syariah, sehingga berpotensi menrurunkan pendapatan bank serta menurunkan kesehatan bank.</w:t>
      </w:r>
      <w:r w:rsidRPr="00B51544">
        <w:rPr>
          <w:rStyle w:val="FootnoteReference"/>
          <w:rFonts w:asciiTheme="majorBidi" w:eastAsiaTheme="minorEastAsia" w:hAnsiTheme="majorBidi" w:cstheme="majorBidi"/>
          <w:sz w:val="24"/>
          <w:szCs w:val="24"/>
          <w:lang w:val="sv-SE"/>
        </w:rPr>
        <w:footnoteReference w:id="46"/>
      </w:r>
    </w:p>
    <w:p w14:paraId="508FD92E" w14:textId="35C7E770" w:rsidR="000B76CA" w:rsidRPr="00B51544" w:rsidRDefault="000B76CA" w:rsidP="00B51544">
      <w:pPr>
        <w:pStyle w:val="ListParagraph"/>
        <w:spacing w:line="360" w:lineRule="auto"/>
        <w:ind w:left="993" w:firstLine="709"/>
        <w:jc w:val="both"/>
        <w:rPr>
          <w:rFonts w:asciiTheme="majorBidi" w:hAnsiTheme="majorBidi" w:cstheme="majorBidi"/>
          <w:sz w:val="24"/>
          <w:szCs w:val="24"/>
          <w:lang w:val="sv-SE"/>
        </w:rPr>
      </w:pPr>
    </w:p>
    <w:p w14:paraId="252EB45F" w14:textId="1552DA4A" w:rsidR="00386FBE" w:rsidRPr="00EF37BA" w:rsidRDefault="005A7789" w:rsidP="00A4276F">
      <w:pPr>
        <w:pStyle w:val="Caption"/>
        <w:ind w:right="-1039"/>
        <w:jc w:val="center"/>
        <w:rPr>
          <w:rFonts w:asciiTheme="majorBidi" w:hAnsiTheme="majorBidi" w:cstheme="majorBidi"/>
          <w:b/>
          <w:bCs/>
          <w:i w:val="0"/>
          <w:iCs w:val="0"/>
          <w:color w:val="auto"/>
          <w:sz w:val="24"/>
          <w:szCs w:val="24"/>
          <w:lang w:val="en-US"/>
        </w:rPr>
      </w:pPr>
      <w:bookmarkStart w:id="32" w:name="_Toc200572179"/>
      <w:r w:rsidRPr="00810BD8">
        <w:rPr>
          <w:rFonts w:asciiTheme="majorBidi" w:hAnsiTheme="majorBidi" w:cstheme="majorBidi"/>
          <w:noProof/>
          <w:sz w:val="20"/>
          <w:szCs w:val="20"/>
        </w:rPr>
        <w:drawing>
          <wp:anchor distT="0" distB="0" distL="114300" distR="114300" simplePos="0" relativeHeight="251791360" behindDoc="0" locked="0" layoutInCell="1" allowOverlap="1" wp14:anchorId="66BBA36E" wp14:editId="1A3F3B1D">
            <wp:simplePos x="0" y="0"/>
            <wp:positionH relativeFrom="column">
              <wp:posOffset>452120</wp:posOffset>
            </wp:positionH>
            <wp:positionV relativeFrom="paragraph">
              <wp:posOffset>571500</wp:posOffset>
            </wp:positionV>
            <wp:extent cx="5795645" cy="1485900"/>
            <wp:effectExtent l="0" t="0" r="0" b="0"/>
            <wp:wrapSquare wrapText="bothSides"/>
            <wp:docPr id="21292686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5645"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7DA3" w:rsidRPr="00D1413E">
        <w:rPr>
          <w:rFonts w:asciiTheme="majorBidi" w:hAnsiTheme="majorBidi" w:cstheme="majorBidi"/>
          <w:b/>
          <w:bCs/>
          <w:i w:val="0"/>
          <w:iCs w:val="0"/>
          <w:color w:val="auto"/>
          <w:sz w:val="24"/>
          <w:szCs w:val="24"/>
        </w:rPr>
        <w:t xml:space="preserve">Tabel 2. </w:t>
      </w:r>
      <w:r w:rsidR="00FA7DA3" w:rsidRPr="00D1413E">
        <w:rPr>
          <w:rFonts w:asciiTheme="majorBidi" w:hAnsiTheme="majorBidi" w:cstheme="majorBidi"/>
          <w:b/>
          <w:bCs/>
          <w:i w:val="0"/>
          <w:iCs w:val="0"/>
          <w:color w:val="auto"/>
          <w:sz w:val="24"/>
          <w:szCs w:val="24"/>
        </w:rPr>
        <w:fldChar w:fldCharType="begin"/>
      </w:r>
      <w:r w:rsidR="00FA7DA3" w:rsidRPr="00D1413E">
        <w:rPr>
          <w:rFonts w:asciiTheme="majorBidi" w:hAnsiTheme="majorBidi" w:cstheme="majorBidi"/>
          <w:b/>
          <w:bCs/>
          <w:i w:val="0"/>
          <w:iCs w:val="0"/>
          <w:color w:val="auto"/>
          <w:sz w:val="24"/>
          <w:szCs w:val="24"/>
        </w:rPr>
        <w:instrText xml:space="preserve"> SEQ Tabel_2. \* ARABIC </w:instrText>
      </w:r>
      <w:r w:rsidR="00FA7DA3" w:rsidRPr="00D1413E">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rPr>
        <w:t>1</w:t>
      </w:r>
      <w:r w:rsidR="00FA7DA3" w:rsidRPr="00D1413E">
        <w:rPr>
          <w:rFonts w:asciiTheme="majorBidi" w:hAnsiTheme="majorBidi" w:cstheme="majorBidi"/>
          <w:b/>
          <w:bCs/>
          <w:i w:val="0"/>
          <w:iCs w:val="0"/>
          <w:color w:val="auto"/>
          <w:sz w:val="24"/>
          <w:szCs w:val="24"/>
        </w:rPr>
        <w:fldChar w:fldCharType="end"/>
      </w:r>
      <w:r w:rsidR="00FA7DA3" w:rsidRPr="00D1413E">
        <w:rPr>
          <w:rFonts w:asciiTheme="majorBidi" w:hAnsiTheme="majorBidi" w:cstheme="majorBidi"/>
          <w:b/>
          <w:bCs/>
          <w:i w:val="0"/>
          <w:iCs w:val="0"/>
          <w:color w:val="auto"/>
          <w:sz w:val="24"/>
          <w:szCs w:val="24"/>
          <w:lang w:val="en-US"/>
        </w:rPr>
        <w:t xml:space="preserve"> </w:t>
      </w:r>
      <w:r w:rsidR="00FA7DA3">
        <w:rPr>
          <w:rFonts w:asciiTheme="majorBidi" w:hAnsiTheme="majorBidi" w:cstheme="majorBidi"/>
          <w:b/>
          <w:bCs/>
          <w:i w:val="0"/>
          <w:iCs w:val="0"/>
          <w:color w:val="auto"/>
          <w:sz w:val="24"/>
          <w:szCs w:val="24"/>
          <w:lang w:val="en-US"/>
        </w:rPr>
        <w:br/>
      </w:r>
      <w:r w:rsidR="00FA7DA3" w:rsidRPr="00D1413E">
        <w:rPr>
          <w:rFonts w:asciiTheme="majorBidi" w:hAnsiTheme="majorBidi" w:cstheme="majorBidi"/>
          <w:b/>
          <w:bCs/>
          <w:i w:val="0"/>
          <w:iCs w:val="0"/>
          <w:color w:val="auto"/>
          <w:sz w:val="24"/>
          <w:szCs w:val="24"/>
          <w:lang w:val="en-US"/>
        </w:rPr>
        <w:t>Data Non Performing Financing (NPF)</w:t>
      </w:r>
      <w:r w:rsidR="00EF37BA" w:rsidRPr="00EF37BA">
        <w:rPr>
          <w:rFonts w:asciiTheme="majorBidi" w:hAnsiTheme="majorBidi" w:cstheme="majorBidi"/>
          <w:b/>
          <w:bCs/>
          <w:i w:val="0"/>
          <w:iCs w:val="0"/>
          <w:color w:val="auto"/>
          <w:sz w:val="24"/>
          <w:szCs w:val="24"/>
          <w:lang w:val="en-US"/>
        </w:rPr>
        <w:t xml:space="preserve"> Bank Muamalat Indonesia</w:t>
      </w:r>
      <w:r w:rsidR="00EF37BA">
        <w:rPr>
          <w:rFonts w:asciiTheme="majorBidi" w:hAnsiTheme="majorBidi" w:cstheme="majorBidi"/>
          <w:b/>
          <w:bCs/>
          <w:i w:val="0"/>
          <w:iCs w:val="0"/>
          <w:color w:val="auto"/>
          <w:sz w:val="24"/>
          <w:szCs w:val="24"/>
          <w:lang w:val="en-US"/>
        </w:rPr>
        <w:t xml:space="preserve"> </w:t>
      </w:r>
      <w:r w:rsidR="00EF37BA" w:rsidRPr="00EF37BA">
        <w:rPr>
          <w:rFonts w:asciiTheme="majorBidi" w:hAnsiTheme="majorBidi" w:cstheme="majorBidi"/>
          <w:b/>
          <w:bCs/>
          <w:i w:val="0"/>
          <w:iCs w:val="0"/>
          <w:color w:val="auto"/>
          <w:sz w:val="24"/>
          <w:szCs w:val="24"/>
          <w:lang w:val="en-US"/>
        </w:rPr>
        <w:t>Periode 2017 – 2024</w:t>
      </w:r>
      <w:bookmarkEnd w:id="32"/>
    </w:p>
    <w:p w14:paraId="77ADD048" w14:textId="286D1BD4" w:rsidR="003000B4" w:rsidRPr="00D1413E" w:rsidRDefault="00FA7DA3" w:rsidP="00D1413E">
      <w:pPr>
        <w:pStyle w:val="Caption"/>
        <w:rPr>
          <w:rFonts w:asciiTheme="majorBidi" w:eastAsiaTheme="minorEastAsia" w:hAnsiTheme="majorBidi" w:cstheme="majorBidi"/>
          <w:b/>
          <w:bCs/>
          <w:i w:val="0"/>
          <w:iCs w:val="0"/>
          <w:sz w:val="24"/>
          <w:szCs w:val="24"/>
        </w:rPr>
      </w:pPr>
      <w:r>
        <w:rPr>
          <w:rFonts w:asciiTheme="majorBidi" w:hAnsiTheme="majorBidi" w:cstheme="majorBidi"/>
          <w:b/>
          <w:bCs/>
          <w:i w:val="0"/>
          <w:iCs w:val="0"/>
          <w:color w:val="auto"/>
          <w:sz w:val="24"/>
          <w:szCs w:val="24"/>
          <w:lang w:val="en-US"/>
        </w:rPr>
        <w:t xml:space="preserve"> </w:t>
      </w:r>
    </w:p>
    <w:p w14:paraId="75CEA110" w14:textId="7CD15E6B" w:rsidR="003000B4" w:rsidRPr="00B51544" w:rsidRDefault="00A4276F" w:rsidP="00B51544">
      <w:pPr>
        <w:pStyle w:val="ListParagraph"/>
        <w:spacing w:line="360" w:lineRule="auto"/>
        <w:ind w:left="993" w:firstLine="709"/>
        <w:jc w:val="both"/>
        <w:rPr>
          <w:rFonts w:asciiTheme="majorBidi" w:eastAsiaTheme="minorEastAsia" w:hAnsiTheme="majorBidi" w:cstheme="majorBidi"/>
          <w:sz w:val="24"/>
          <w:szCs w:val="24"/>
        </w:rPr>
      </w:pPr>
      <w:r w:rsidRPr="00D1413E">
        <w:rPr>
          <w:rFonts w:asciiTheme="majorBidi" w:hAnsiTheme="majorBidi" w:cstheme="majorBidi"/>
          <w:b/>
          <w:bCs/>
          <w:i/>
          <w:iCs/>
          <w:noProof/>
          <w:sz w:val="24"/>
          <w:szCs w:val="24"/>
        </w:rPr>
        <mc:AlternateContent>
          <mc:Choice Requires="wps">
            <w:drawing>
              <wp:anchor distT="0" distB="0" distL="114300" distR="114300" simplePos="0" relativeHeight="251694080" behindDoc="0" locked="0" layoutInCell="1" allowOverlap="1" wp14:anchorId="4718B9D0" wp14:editId="751A4758">
                <wp:simplePos x="0" y="0"/>
                <wp:positionH relativeFrom="column">
                  <wp:posOffset>504825</wp:posOffset>
                </wp:positionH>
                <wp:positionV relativeFrom="paragraph">
                  <wp:posOffset>1277620</wp:posOffset>
                </wp:positionV>
                <wp:extent cx="3667125" cy="304800"/>
                <wp:effectExtent l="0" t="0" r="0" b="0"/>
                <wp:wrapNone/>
                <wp:docPr id="86748140" name="Text Box 10"/>
                <wp:cNvGraphicFramePr/>
                <a:graphic xmlns:a="http://schemas.openxmlformats.org/drawingml/2006/main">
                  <a:graphicData uri="http://schemas.microsoft.com/office/word/2010/wordprocessingShape">
                    <wps:wsp>
                      <wps:cNvSpPr txBox="1"/>
                      <wps:spPr>
                        <a:xfrm>
                          <a:off x="0" y="0"/>
                          <a:ext cx="36671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E0042B" w14:textId="47925E6C" w:rsidR="00F40ABE" w:rsidRPr="00F40ABE" w:rsidRDefault="00F40ABE">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8B9D0" id="Text Box 10" o:spid="_x0000_s1029" type="#_x0000_t202" style="position:absolute;left:0;text-align:left;margin-left:39.75pt;margin-top:100.6pt;width:288.75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" filled="f" stroked="f">
                <v:textbox>
                  <w:txbxContent>
                    <w:p w14:paraId="6EE0042B" w14:textId="47925E6C" w:rsidR="00F40ABE" w:rsidRPr="00F40ABE" w:rsidRDefault="00F40ABE">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v:textbox>
              </v:shape>
            </w:pict>
          </mc:Fallback>
        </mc:AlternateContent>
      </w:r>
    </w:p>
    <w:p w14:paraId="26F49C7A" w14:textId="66BAA3CF" w:rsidR="000B76CA" w:rsidRPr="00B51544" w:rsidRDefault="000B76CA" w:rsidP="00B51544">
      <w:pPr>
        <w:spacing w:line="360" w:lineRule="auto"/>
        <w:jc w:val="both"/>
        <w:rPr>
          <w:rFonts w:asciiTheme="majorBidi" w:eastAsiaTheme="minorEastAsia" w:hAnsiTheme="majorBidi" w:cstheme="majorBidi"/>
          <w:sz w:val="24"/>
          <w:szCs w:val="24"/>
        </w:rPr>
      </w:pPr>
    </w:p>
    <w:p w14:paraId="236503C8" w14:textId="55779CAA" w:rsidR="000B76CA" w:rsidRPr="00D17A2E" w:rsidRDefault="000B76CA" w:rsidP="00B51544">
      <w:pPr>
        <w:spacing w:line="360" w:lineRule="auto"/>
        <w:ind w:left="993" w:firstLine="708"/>
        <w:jc w:val="both"/>
        <w:rPr>
          <w:rFonts w:asciiTheme="majorBidi" w:eastAsiaTheme="minorEastAsia" w:hAnsiTheme="majorBidi" w:cstheme="majorBidi"/>
          <w:sz w:val="24"/>
          <w:szCs w:val="24"/>
          <w:lang w:val="sv-SE"/>
        </w:rPr>
      </w:pPr>
      <w:r w:rsidRPr="00B51544">
        <w:rPr>
          <w:rFonts w:asciiTheme="majorBidi" w:eastAsiaTheme="minorEastAsia" w:hAnsiTheme="majorBidi" w:cstheme="majorBidi"/>
          <w:sz w:val="24"/>
          <w:szCs w:val="24"/>
        </w:rPr>
        <w:t xml:space="preserve">Menurut data pada tabel </w:t>
      </w:r>
      <w:r w:rsidR="006729D1" w:rsidRPr="00B51544">
        <w:rPr>
          <w:rFonts w:asciiTheme="majorBidi" w:eastAsiaTheme="minorEastAsia" w:hAnsiTheme="majorBidi" w:cstheme="majorBidi"/>
          <w:sz w:val="24"/>
          <w:szCs w:val="24"/>
        </w:rPr>
        <w:t>2.1</w:t>
      </w:r>
      <w:r w:rsidRPr="00B51544">
        <w:rPr>
          <w:rFonts w:asciiTheme="majorBidi" w:eastAsiaTheme="minorEastAsia" w:hAnsiTheme="majorBidi" w:cstheme="majorBidi"/>
          <w:sz w:val="24"/>
          <w:szCs w:val="24"/>
        </w:rPr>
        <w:t xml:space="preserve"> di atas terlihat bahwa semua data NPF dari Bank Muamalat Indonesia berada pada kategori dibawah 5%. Nilai NPF tertinggi berada pada </w:t>
      </w:r>
      <w:r w:rsidR="00F40ABE" w:rsidRPr="00B51544">
        <w:rPr>
          <w:rFonts w:asciiTheme="majorBidi" w:eastAsiaTheme="minorEastAsia" w:hAnsiTheme="majorBidi" w:cstheme="majorBidi"/>
          <w:sz w:val="24"/>
          <w:szCs w:val="24"/>
        </w:rPr>
        <w:t xml:space="preserve">Triwulan I tahun 2020 sebesar 4,98%. </w:t>
      </w:r>
      <w:r w:rsidR="00F40ABE" w:rsidRPr="00D17A2E">
        <w:rPr>
          <w:rFonts w:asciiTheme="majorBidi" w:eastAsiaTheme="minorEastAsia" w:hAnsiTheme="majorBidi" w:cstheme="majorBidi"/>
          <w:sz w:val="24"/>
          <w:szCs w:val="24"/>
          <w:lang w:val="sv-SE"/>
        </w:rPr>
        <w:t xml:space="preserve">Sedangkan nilai NPF terendah berada pada </w:t>
      </w:r>
      <w:r w:rsidR="00F40ABE" w:rsidRPr="00D17A2E">
        <w:rPr>
          <w:rFonts w:asciiTheme="majorBidi" w:eastAsiaTheme="minorEastAsia" w:hAnsiTheme="majorBidi" w:cstheme="majorBidi"/>
          <w:sz w:val="24"/>
          <w:szCs w:val="24"/>
          <w:lang w:val="sv-SE"/>
        </w:rPr>
        <w:lastRenderedPageBreak/>
        <w:t>triwulan IV tahun 2021 sebesar 0,08%. Jika nilai NPF pada suatu bank tinggi maka akan berdampak pada kesehatan bank, kemudian dapat menurunkan deposito mudharabah.</w:t>
      </w:r>
    </w:p>
    <w:p w14:paraId="38F20690" w14:textId="01739FF1" w:rsidR="00825953" w:rsidRPr="00D17A2E" w:rsidRDefault="006D6DA0" w:rsidP="00B51544">
      <w:pPr>
        <w:pStyle w:val="Heading3"/>
        <w:spacing w:line="360" w:lineRule="auto"/>
        <w:ind w:left="426"/>
        <w:jc w:val="both"/>
        <w:rPr>
          <w:rFonts w:asciiTheme="majorBidi" w:hAnsiTheme="majorBidi"/>
          <w:b/>
          <w:bCs/>
          <w:color w:val="auto"/>
          <w:sz w:val="24"/>
          <w:szCs w:val="24"/>
          <w:lang w:val="sv-SE"/>
        </w:rPr>
      </w:pPr>
      <w:bookmarkStart w:id="33" w:name="_Toc201063306"/>
      <w:r w:rsidRPr="00D17A2E">
        <w:rPr>
          <w:rFonts w:asciiTheme="majorBidi" w:hAnsiTheme="majorBidi"/>
          <w:b/>
          <w:bCs/>
          <w:color w:val="auto"/>
          <w:sz w:val="24"/>
          <w:szCs w:val="24"/>
          <w:lang w:val="sv-SE"/>
        </w:rPr>
        <w:t>2.</w:t>
      </w:r>
      <w:r w:rsidR="00B8380C" w:rsidRPr="00D17A2E">
        <w:rPr>
          <w:rFonts w:asciiTheme="majorBidi" w:hAnsiTheme="majorBidi"/>
          <w:b/>
          <w:bCs/>
          <w:color w:val="auto"/>
          <w:sz w:val="24"/>
          <w:szCs w:val="24"/>
          <w:lang w:val="sv-SE"/>
        </w:rPr>
        <w:t>2</w:t>
      </w:r>
      <w:r w:rsidRPr="00D17A2E">
        <w:rPr>
          <w:rFonts w:asciiTheme="majorBidi" w:hAnsiTheme="majorBidi"/>
          <w:b/>
          <w:bCs/>
          <w:color w:val="auto"/>
          <w:sz w:val="24"/>
          <w:szCs w:val="24"/>
          <w:lang w:val="sv-SE"/>
        </w:rPr>
        <w:t xml:space="preserve">.2 </w:t>
      </w:r>
      <w:r w:rsidR="00825953" w:rsidRPr="00D17A2E">
        <w:rPr>
          <w:rFonts w:asciiTheme="majorBidi" w:hAnsiTheme="majorBidi"/>
          <w:b/>
          <w:bCs/>
          <w:color w:val="auto"/>
          <w:sz w:val="24"/>
          <w:szCs w:val="24"/>
          <w:lang w:val="sv-SE"/>
        </w:rPr>
        <w:t>Landasan Hukum Risiko</w:t>
      </w:r>
      <w:bookmarkEnd w:id="33"/>
    </w:p>
    <w:p w14:paraId="717C18B4" w14:textId="62C57709" w:rsidR="00825953"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D17A2E">
        <w:rPr>
          <w:rFonts w:asciiTheme="majorBidi" w:hAnsiTheme="majorBidi" w:cstheme="majorBidi"/>
          <w:sz w:val="24"/>
          <w:szCs w:val="24"/>
          <w:lang w:val="sv-SE"/>
        </w:rPr>
        <w:t xml:space="preserve">Dalam Perspektif Islam Pengelolaan risiko suatu organisasi atau perusahaan dapat dikaji dari kisah Nabi Yusuf as. </w:t>
      </w:r>
      <w:r w:rsidRPr="00B51544">
        <w:rPr>
          <w:rFonts w:asciiTheme="majorBidi" w:hAnsiTheme="majorBidi" w:cstheme="majorBidi"/>
          <w:sz w:val="24"/>
          <w:szCs w:val="24"/>
          <w:lang w:val="sv-SE"/>
        </w:rPr>
        <w:t>Dijelaskan dalam Al-Qur’an Surah Yusuf ayat 46-49</w:t>
      </w:r>
      <w:r w:rsidR="006729D1" w:rsidRPr="00B51544">
        <w:rPr>
          <w:rStyle w:val="FootnoteReference"/>
          <w:rFonts w:asciiTheme="majorBidi" w:hAnsiTheme="majorBidi" w:cstheme="majorBidi"/>
          <w:sz w:val="24"/>
          <w:szCs w:val="24"/>
          <w:lang w:val="sv-SE"/>
        </w:rPr>
        <w:footnoteReference w:id="47"/>
      </w:r>
      <w:r w:rsidRPr="00B51544">
        <w:rPr>
          <w:rFonts w:asciiTheme="majorBidi" w:hAnsiTheme="majorBidi" w:cstheme="majorBidi"/>
          <w:sz w:val="24"/>
          <w:szCs w:val="24"/>
          <w:lang w:val="sv-SE"/>
        </w:rPr>
        <w:t xml:space="preserve"> :</w:t>
      </w:r>
    </w:p>
    <w:p w14:paraId="40CC933F" w14:textId="77777777" w:rsidR="00825953" w:rsidRPr="00A4276F" w:rsidRDefault="00825953" w:rsidP="00A4276F">
      <w:pPr>
        <w:pStyle w:val="ListParagraph"/>
        <w:spacing w:line="240" w:lineRule="auto"/>
        <w:jc w:val="right"/>
        <w:rPr>
          <w:rFonts w:ascii="Simplified Arabic" w:hAnsi="Simplified Arabic" w:cs="Simplified Arabic"/>
          <w:sz w:val="28"/>
          <w:szCs w:val="28"/>
          <w:lang w:val="sv-SE"/>
        </w:rPr>
      </w:pPr>
    </w:p>
    <w:p w14:paraId="0339BA6C" w14:textId="77777777" w:rsidR="00825953" w:rsidRPr="00A4276F" w:rsidRDefault="00825953" w:rsidP="00A4276F">
      <w:pPr>
        <w:pStyle w:val="ListParagraph"/>
        <w:spacing w:line="240" w:lineRule="auto"/>
        <w:ind w:left="993"/>
        <w:jc w:val="right"/>
        <w:rPr>
          <w:rFonts w:ascii="Simplified Arabic" w:hAnsi="Simplified Arabic" w:cs="Simplified Arabic"/>
          <w:sz w:val="28"/>
          <w:szCs w:val="28"/>
          <w:lang w:val="sv-SE"/>
        </w:rPr>
      </w:pPr>
      <w:r w:rsidRPr="00A4276F">
        <w:rPr>
          <w:rFonts w:ascii="Simplified Arabic" w:hAnsi="Simplified Arabic" w:cs="Simplified Arabic"/>
          <w:sz w:val="28"/>
          <w:szCs w:val="28"/>
          <w:rtl/>
          <w:lang w:val="sv-SE"/>
        </w:rPr>
        <w:t>يُوْسُفُ اَيُّهَا الصِّدِّيْقُ اَفْتِنَا فِيْ سَبْعِ بَقَرٰتٍ سِمَانٍ يَّأْكُلُهُنَّ سَبْعٌ عِجَافٌ وَّسَبْعِ سُنْۢبُلٰتٍ خُضْرٍ وَّاُخَرَ يٰبِسٰتٍۙ لَّعَلِّيْٓ اَرْجِعُ اِلَى النَّاسِ لَعَلَّهُمْ يَعْلَمُوْنَ -٤٦ قَالَ تَزْرَعُوْنَ سَبْعَ سِنِيْنَ دَاَبًاۚ فَمَا حَصَدْتُّمْ فَذَرُوْهُ فِيْ سُنْۢبُلِهٖٓ اِلَّا قَلِيْلًا مِّمَّا تَأْكُلُوْنَ -٤٧ ثُمَّ يَأْتِيْ مِنْۢ بَعْدِ ذٰلِكَ سَبْعٌ شِدَادٌ يَّأْكُلْنَ مَا قَدَّمْتُمْ لَهُنَّ اِلَّا قَلِيْلًا مِّمَّا تُحْصِنُوْنَ -٤٨ ثُمَّ يَأْتِيْ مِنْۢ بَعْدِ ذٰلِكَ عَامٌ فِيْهِ يُغَاثُ النَّاسُ وَفِيْهِ يَعْصِرُوْنَ ࣖ - ٤٩</w:t>
      </w:r>
    </w:p>
    <w:p w14:paraId="58B16F3D" w14:textId="77777777" w:rsidR="00825953" w:rsidRPr="00B51544" w:rsidRDefault="00825953" w:rsidP="00B51544">
      <w:pPr>
        <w:pStyle w:val="ListParagraph"/>
        <w:spacing w:line="360" w:lineRule="auto"/>
        <w:jc w:val="both"/>
        <w:rPr>
          <w:rFonts w:asciiTheme="majorBidi" w:hAnsiTheme="majorBidi" w:cstheme="majorBidi"/>
          <w:sz w:val="24"/>
          <w:szCs w:val="24"/>
          <w:lang w:val="sv-SE"/>
        </w:rPr>
      </w:pPr>
    </w:p>
    <w:p w14:paraId="5EA38CCA" w14:textId="78AB1D11" w:rsidR="006D6DA0" w:rsidRPr="00A4276F" w:rsidRDefault="00825953" w:rsidP="00A4276F">
      <w:pPr>
        <w:pStyle w:val="ListParagraph"/>
        <w:spacing w:before="240" w:line="240" w:lineRule="auto"/>
        <w:ind w:left="993" w:firstLine="709"/>
        <w:jc w:val="both"/>
        <w:rPr>
          <w:rFonts w:asciiTheme="majorBidi" w:hAnsiTheme="majorBidi" w:cstheme="majorBidi"/>
          <w:i/>
          <w:iCs/>
          <w:sz w:val="24"/>
          <w:szCs w:val="24"/>
          <w:lang w:val="sv-SE"/>
        </w:rPr>
      </w:pPr>
      <w:r w:rsidRPr="00A4276F">
        <w:rPr>
          <w:rFonts w:asciiTheme="majorBidi" w:hAnsiTheme="majorBidi" w:cstheme="majorBidi"/>
          <w:i/>
          <w:iCs/>
          <w:sz w:val="24"/>
          <w:szCs w:val="24"/>
          <w:lang w:val="sv-SE"/>
        </w:rPr>
        <w:t xml:space="preserve">Artinya : Yusuf, wahai orang yang sangat dipercaya! </w:t>
      </w:r>
      <w:r w:rsidR="00B2771C" w:rsidRPr="00A4276F">
        <w:rPr>
          <w:rFonts w:asciiTheme="majorBidi" w:hAnsiTheme="majorBidi" w:cstheme="majorBidi"/>
          <w:i/>
          <w:iCs/>
          <w:sz w:val="24"/>
          <w:szCs w:val="24"/>
          <w:lang w:val="sv-SE"/>
        </w:rPr>
        <w:t>olong jelaskan kepada kami tentang makna mimpi yang melibatkan tujuh sapi betina gemuk yang ditelan oleh tujuh sapi betina kurus, serta tujuh tangkai gandum segar dan tujuh tangkai lainnya yang layu, agar aku bisa kembali kepada mereka dan memberikan penjelasan (46). Dia (Yusuf) menjawab: Selama tujuh tahun ke depan, kamu harus bertani seperti biasanya; setelah itu, apa yang kamu panen sebaiknya disimpan di tangkainya, kecuali sedikit untuk kebutuhanmu sendiri (47). Setelah itu, akan datang tujuh tahun yang sangat sulit, yang akan menghabiskan simpananmu untuk menghadapi masa-masa sulit tersebut, kecuali sedikit dari biji gandum yang kamu simpan (48). Lalu, akan tiba tahun di mana akan ada banyak hujan, dan saat itu manusia akan memeras buah anggur (49)</w:t>
      </w:r>
      <w:r w:rsidRPr="00A4276F">
        <w:rPr>
          <w:rFonts w:asciiTheme="majorBidi" w:hAnsiTheme="majorBidi" w:cstheme="majorBidi"/>
          <w:i/>
          <w:iCs/>
          <w:sz w:val="24"/>
          <w:szCs w:val="24"/>
          <w:lang w:val="sv-SE"/>
        </w:rPr>
        <w:t>.”</w:t>
      </w:r>
    </w:p>
    <w:p w14:paraId="50DF2800" w14:textId="77777777" w:rsidR="00A4276F" w:rsidRDefault="00A4276F" w:rsidP="00A4276F">
      <w:pPr>
        <w:pStyle w:val="ListParagraph"/>
        <w:spacing w:before="240" w:line="360" w:lineRule="auto"/>
        <w:ind w:left="993" w:firstLine="709"/>
        <w:jc w:val="both"/>
        <w:rPr>
          <w:rFonts w:asciiTheme="majorBidi" w:hAnsiTheme="majorBidi" w:cstheme="majorBidi"/>
          <w:sz w:val="24"/>
          <w:szCs w:val="24"/>
          <w:lang w:val="sv-SE"/>
        </w:rPr>
      </w:pPr>
    </w:p>
    <w:p w14:paraId="7D482E9D" w14:textId="3956C563" w:rsidR="006D6DA0" w:rsidRPr="00B51544" w:rsidRDefault="00825953" w:rsidP="00A4276F">
      <w:pPr>
        <w:pStyle w:val="ListParagraph"/>
        <w:spacing w:before="240"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M. Quraish Shihab, dalam tafsir Al-Misbah, menjelaskan bahwa Nabi Yusuf AS melihat tujuh ekor sapi sebagai simbol tujuh tahun pertanian. Sapi sering dipakai untuk membajak tanah, di mana sapi gemuk melambangkan kesuburan dan sapi kurus menunjukkan masa sulit. Selain itu, bulir gandum melambangkan ketersediaan pangan, dengan setiap bulir mewakili satu tahun. Pemahaman ini saling berkaitan.</w:t>
      </w:r>
    </w:p>
    <w:p w14:paraId="09F549F6" w14:textId="5CBD8764" w:rsidR="006729D1"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Kisah Nabi Yusuf AS menunjukkan bahwa pada tujuh tahun kedua, negeri tersebut akan menghadapi kekeringan yang parah. Risiko ini sangat mengancam wilayah itu. Dengan menafsirkan mimpi raja, Nabi Yusuf AS berhasil mengontrol risiko yang akan datang. Ia menyarankan agar rakyat menyimpan sebagian hasil panen selama tujuh tahun pertama untuk persiapan menghadapi kelaparan. Dengan cara ini, negeri itu terhindar dari bahaya kelaparan. Ini adalah contoh pengelolaan risiko yang baik, di </w:t>
      </w:r>
      <w:r w:rsidRPr="00B51544">
        <w:rPr>
          <w:rFonts w:asciiTheme="majorBidi" w:hAnsiTheme="majorBidi" w:cstheme="majorBidi"/>
          <w:sz w:val="24"/>
          <w:szCs w:val="24"/>
          <w:lang w:val="sv-SE"/>
        </w:rPr>
        <w:lastRenderedPageBreak/>
        <w:t>mana Nabi Yusuf AS menerapkan proses manajemen risiko melalui pemahaman, evaluasi, pengukuran, dan pengelolaan risiko.</w:t>
      </w:r>
      <w:r w:rsidRPr="00B51544">
        <w:rPr>
          <w:rStyle w:val="FootnoteReference"/>
          <w:rFonts w:asciiTheme="majorBidi" w:hAnsiTheme="majorBidi" w:cstheme="majorBidi"/>
          <w:sz w:val="24"/>
          <w:szCs w:val="24"/>
        </w:rPr>
        <w:footnoteReference w:id="48"/>
      </w:r>
    </w:p>
    <w:p w14:paraId="4B7D63C8" w14:textId="5DA40F13" w:rsidR="00825953" w:rsidRPr="00B51544" w:rsidRDefault="006D6DA0" w:rsidP="00B51544">
      <w:pPr>
        <w:pStyle w:val="Heading3"/>
        <w:spacing w:line="360" w:lineRule="auto"/>
        <w:ind w:left="426"/>
        <w:jc w:val="both"/>
        <w:rPr>
          <w:rFonts w:asciiTheme="majorBidi" w:hAnsiTheme="majorBidi"/>
          <w:b/>
          <w:bCs/>
          <w:color w:val="auto"/>
          <w:sz w:val="24"/>
          <w:szCs w:val="24"/>
          <w:lang w:val="sv-SE"/>
        </w:rPr>
      </w:pPr>
      <w:bookmarkStart w:id="34" w:name="_Toc201063307"/>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2</w:t>
      </w:r>
      <w:r w:rsidRPr="00B51544">
        <w:rPr>
          <w:rFonts w:asciiTheme="majorBidi" w:hAnsiTheme="majorBidi"/>
          <w:b/>
          <w:bCs/>
          <w:color w:val="auto"/>
          <w:sz w:val="24"/>
          <w:szCs w:val="24"/>
          <w:lang w:val="sv-SE"/>
        </w:rPr>
        <w:t xml:space="preserve">.3 </w:t>
      </w:r>
      <w:r w:rsidR="00825953" w:rsidRPr="00B51544">
        <w:rPr>
          <w:rFonts w:asciiTheme="majorBidi" w:hAnsiTheme="majorBidi"/>
          <w:b/>
          <w:bCs/>
          <w:color w:val="auto"/>
          <w:sz w:val="24"/>
          <w:szCs w:val="24"/>
          <w:lang w:val="sv-SE"/>
        </w:rPr>
        <w:t>Jenis-Jenis Risiko Pada Bank</w:t>
      </w:r>
      <w:bookmarkEnd w:id="34"/>
    </w:p>
    <w:p w14:paraId="66CE8147" w14:textId="655AE733" w:rsidR="00FA7DA3" w:rsidRPr="00432CBC" w:rsidRDefault="00825953" w:rsidP="00432CBC">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Berdasarkan Peraturan Bank Indonesia (PBI) No.13/23/PBI</w:t>
      </w:r>
      <w:r w:rsidR="00D17A2E">
        <w:rPr>
          <w:rFonts w:asciiTheme="majorBidi" w:hAnsiTheme="majorBidi" w:cstheme="majorBidi"/>
          <w:sz w:val="24"/>
          <w:szCs w:val="24"/>
          <w:lang w:val="sv-SE"/>
        </w:rPr>
        <w:t>/</w:t>
      </w:r>
      <w:r w:rsidRPr="00B51544">
        <w:rPr>
          <w:rFonts w:asciiTheme="majorBidi" w:hAnsiTheme="majorBidi" w:cstheme="majorBidi"/>
          <w:sz w:val="24"/>
          <w:szCs w:val="24"/>
          <w:lang w:val="sv-SE"/>
        </w:rPr>
        <w:t>2011 tanggal 2 November 2011 tentang penerapan manajemen risiko bagi Bank Umum Syariah dan Unit Usaha Syariah, terdapat beberapa risiko dalam Perbankan Syariah yaitu sebagai berikut</w:t>
      </w:r>
      <w:r w:rsidRPr="00B51544">
        <w:rPr>
          <w:rStyle w:val="FootnoteReference"/>
          <w:rFonts w:asciiTheme="majorBidi" w:hAnsiTheme="majorBidi" w:cstheme="majorBidi"/>
          <w:sz w:val="24"/>
          <w:szCs w:val="24"/>
        </w:rPr>
        <w:footnoteReference w:id="49"/>
      </w:r>
      <w:r w:rsidRPr="00B51544">
        <w:rPr>
          <w:rFonts w:asciiTheme="majorBidi" w:hAnsiTheme="majorBidi" w:cstheme="majorBidi"/>
          <w:sz w:val="24"/>
          <w:szCs w:val="24"/>
          <w:lang w:val="sv-SE"/>
        </w:rPr>
        <w:t xml:space="preserve"> : </w:t>
      </w:r>
    </w:p>
    <w:p w14:paraId="556B0843" w14:textId="77777777" w:rsidR="006D6DA0"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rPr>
      </w:pPr>
      <w:r w:rsidRPr="00B51544">
        <w:rPr>
          <w:rFonts w:asciiTheme="majorBidi" w:hAnsiTheme="majorBidi" w:cstheme="majorBidi"/>
          <w:sz w:val="24"/>
          <w:szCs w:val="24"/>
        </w:rPr>
        <w:t>Risiko Kredit</w:t>
      </w:r>
    </w:p>
    <w:p w14:paraId="5164A370" w14:textId="2272E1CA" w:rsidR="00825953" w:rsidRPr="00B51544" w:rsidRDefault="00825953" w:rsidP="00B51544">
      <w:pPr>
        <w:pStyle w:val="ListParagraph"/>
        <w:spacing w:line="360" w:lineRule="auto"/>
        <w:ind w:left="1418" w:firstLine="567"/>
        <w:jc w:val="both"/>
        <w:rPr>
          <w:rFonts w:asciiTheme="majorBidi" w:hAnsiTheme="majorBidi" w:cstheme="majorBidi"/>
          <w:sz w:val="24"/>
          <w:szCs w:val="24"/>
        </w:rPr>
      </w:pPr>
      <w:r w:rsidRPr="00B51544">
        <w:rPr>
          <w:rFonts w:asciiTheme="majorBidi" w:hAnsiTheme="majorBidi" w:cstheme="majorBidi"/>
          <w:sz w:val="24"/>
          <w:szCs w:val="24"/>
        </w:rPr>
        <w:t>Risiko Kredit adalah risiko yang timbul dalam proses pembiayaan ketika suatu pihak setuju untuk membayar sejumlah uang. Selain itu, risiko ini juga dapat diartikan sebagai risiko yang muncul akibat ketidakmampuan nasabah atau pihak lainnya dalam memenuhi kewajiban mereka kepada bank sesuai dengan kesepakatan yang telah dibuat.</w:t>
      </w:r>
    </w:p>
    <w:p w14:paraId="1CDEEC56"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rPr>
      </w:pPr>
      <w:r w:rsidRPr="00B51544">
        <w:rPr>
          <w:rFonts w:asciiTheme="majorBidi" w:hAnsiTheme="majorBidi" w:cstheme="majorBidi"/>
          <w:sz w:val="24"/>
          <w:szCs w:val="24"/>
        </w:rPr>
        <w:t>Risiko Pasar</w:t>
      </w:r>
    </w:p>
    <w:p w14:paraId="2F1D6141" w14:textId="77777777" w:rsidR="00825953" w:rsidRPr="00B51544" w:rsidRDefault="00825953" w:rsidP="00B51544">
      <w:pPr>
        <w:pStyle w:val="ListParagraph"/>
        <w:spacing w:line="360" w:lineRule="auto"/>
        <w:ind w:left="1418" w:firstLine="480"/>
        <w:jc w:val="both"/>
        <w:rPr>
          <w:rFonts w:asciiTheme="majorBidi" w:hAnsiTheme="majorBidi" w:cstheme="majorBidi"/>
          <w:sz w:val="24"/>
          <w:szCs w:val="24"/>
        </w:rPr>
      </w:pPr>
      <w:r w:rsidRPr="00B51544">
        <w:rPr>
          <w:rFonts w:asciiTheme="majorBidi" w:hAnsiTheme="majorBidi" w:cstheme="majorBidi"/>
          <w:sz w:val="24"/>
          <w:szCs w:val="24"/>
        </w:rPr>
        <w:t>Risiko Pasar dapat didefinisikan sebagai potensi kerugian yang dapat terjadi, baik yang berkaitan langsung dengan posisi neraca keuangan maupun yang bersifat eksternal. Risiko ini muncul akibat fluktuasi harga pasar, yang mencakup perubahan nilai dari aset yang dapat diperdagangkan dan disewakan.</w:t>
      </w:r>
    </w:p>
    <w:p w14:paraId="1528D56E"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rPr>
      </w:pPr>
      <w:r w:rsidRPr="00B51544">
        <w:rPr>
          <w:rFonts w:asciiTheme="majorBidi" w:hAnsiTheme="majorBidi" w:cstheme="majorBidi"/>
          <w:sz w:val="24"/>
          <w:szCs w:val="24"/>
        </w:rPr>
        <w:t>Risiko benchmark</w:t>
      </w:r>
    </w:p>
    <w:p w14:paraId="5AA9CB8F" w14:textId="2944EE24" w:rsidR="00B2771C" w:rsidRPr="00A4276F" w:rsidRDefault="00825953" w:rsidP="00A4276F">
      <w:pPr>
        <w:pStyle w:val="ListParagraph"/>
        <w:spacing w:line="360" w:lineRule="auto"/>
        <w:ind w:left="1418" w:firstLine="480"/>
        <w:jc w:val="both"/>
        <w:rPr>
          <w:rFonts w:asciiTheme="majorBidi" w:hAnsiTheme="majorBidi" w:cstheme="majorBidi"/>
          <w:sz w:val="24"/>
          <w:szCs w:val="24"/>
          <w:lang w:val="sv-SE"/>
        </w:rPr>
      </w:pPr>
      <w:r w:rsidRPr="00B51544">
        <w:rPr>
          <w:rFonts w:asciiTheme="majorBidi" w:hAnsiTheme="majorBidi" w:cstheme="majorBidi"/>
          <w:sz w:val="24"/>
          <w:szCs w:val="24"/>
          <w:lang w:val="sv-SE"/>
        </w:rPr>
        <w:t>Di Bank Syariah, tidak ada hubungan dengan suku bunga. Hal ini menunjukkan bahwa Bank Syariah tidak terpengaruh oleh risiko pasar yang timbul akibat fluktuasi suku bunga. Namun, perubahan suku bunga di pasar tetap dapat menimbulkan beberapa risiko bagi pendapatan lembaga keuangan Syariah.</w:t>
      </w:r>
    </w:p>
    <w:p w14:paraId="77DC6087"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rPr>
      </w:pPr>
      <w:r w:rsidRPr="00B51544">
        <w:rPr>
          <w:rFonts w:asciiTheme="majorBidi" w:hAnsiTheme="majorBidi" w:cstheme="majorBidi"/>
          <w:sz w:val="24"/>
          <w:szCs w:val="24"/>
        </w:rPr>
        <w:t>Risiko Likuiditas</w:t>
      </w:r>
    </w:p>
    <w:p w14:paraId="52CF5D46" w14:textId="101AB39E" w:rsidR="00825953" w:rsidRDefault="00825953" w:rsidP="00B51544">
      <w:pPr>
        <w:pStyle w:val="ListParagraph"/>
        <w:spacing w:line="360" w:lineRule="auto"/>
        <w:ind w:left="1418" w:firstLine="480"/>
        <w:jc w:val="both"/>
        <w:rPr>
          <w:rFonts w:asciiTheme="majorBidi" w:hAnsiTheme="majorBidi" w:cstheme="majorBidi"/>
          <w:sz w:val="24"/>
          <w:szCs w:val="24"/>
        </w:rPr>
      </w:pPr>
      <w:r w:rsidRPr="00B51544">
        <w:rPr>
          <w:rFonts w:asciiTheme="majorBidi" w:hAnsiTheme="majorBidi" w:cstheme="majorBidi"/>
          <w:sz w:val="24"/>
          <w:szCs w:val="24"/>
        </w:rPr>
        <w:t>Sesuai dengan penjelasan mengenai risiko benchmark, risiko likuiditas dapat timbul baik melalui pinjaman maupun penjualan aset. Risiko ini muncul akibat ketidakmampuan Bank Syariah dalam memenuhi kewajiban yang jatuh tempo, terutama jika sumber pendanaan berupa arus kas berkualitas tinggi tidak tersedia tanpa mengganggu aktivitas dan kondisi keuangan bank tersebut.</w:t>
      </w:r>
    </w:p>
    <w:p w14:paraId="7E0564A6" w14:textId="77777777" w:rsidR="00A4276F" w:rsidRPr="00B51544" w:rsidRDefault="00A4276F" w:rsidP="00B51544">
      <w:pPr>
        <w:pStyle w:val="ListParagraph"/>
        <w:spacing w:line="360" w:lineRule="auto"/>
        <w:ind w:left="1418" w:firstLine="480"/>
        <w:jc w:val="both"/>
        <w:rPr>
          <w:rFonts w:asciiTheme="majorBidi" w:hAnsiTheme="majorBidi" w:cstheme="majorBidi"/>
          <w:sz w:val="24"/>
          <w:szCs w:val="24"/>
        </w:rPr>
      </w:pPr>
    </w:p>
    <w:p w14:paraId="783A1A0C"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Risiko Operasional</w:t>
      </w:r>
    </w:p>
    <w:p w14:paraId="68063378" w14:textId="77777777" w:rsidR="00825953" w:rsidRPr="00B51544" w:rsidRDefault="00825953" w:rsidP="00B51544">
      <w:pPr>
        <w:pStyle w:val="ListParagraph"/>
        <w:spacing w:line="360" w:lineRule="auto"/>
        <w:ind w:left="1418" w:firstLine="480"/>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Operasional merujuk pada potensi kerugian yang disebabkan oleh proses internal yang tidak memadai, kegagalan dalam pelaksanaan proses, kesalahan yang dilakukan oleh individu, malfungsi sistem, serta kejadian-kejadian eksternal yang dapat mempengaruhi jalannya operasional bank.</w:t>
      </w:r>
    </w:p>
    <w:p w14:paraId="50F17F33"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Hukum</w:t>
      </w:r>
    </w:p>
    <w:p w14:paraId="10EEAC70" w14:textId="23467BBB" w:rsidR="00B51544" w:rsidRPr="00432CBC" w:rsidRDefault="00825953" w:rsidP="00432CBC">
      <w:pPr>
        <w:pStyle w:val="ListParagraph"/>
        <w:shd w:val="clear" w:color="auto" w:fill="FFFFFF"/>
        <w:spacing w:after="0" w:line="360" w:lineRule="auto"/>
        <w:ind w:left="1418" w:firstLine="480"/>
        <w:jc w:val="both"/>
        <w:rPr>
          <w:rFonts w:asciiTheme="majorBidi" w:eastAsia="Times New Roman" w:hAnsiTheme="majorBidi" w:cstheme="majorBidi"/>
          <w:color w:val="000000"/>
          <w:kern w:val="0"/>
          <w:sz w:val="24"/>
          <w:szCs w:val="24"/>
          <w:lang w:val="sv-SE" w:eastAsia="en-ID"/>
          <w14:ligatures w14:val="none"/>
        </w:rPr>
      </w:pPr>
      <w:r w:rsidRPr="00B51544">
        <w:rPr>
          <w:rFonts w:asciiTheme="majorBidi" w:eastAsia="Times New Roman" w:hAnsiTheme="majorBidi" w:cstheme="majorBidi"/>
          <w:color w:val="000000"/>
          <w:kern w:val="0"/>
          <w:sz w:val="24"/>
          <w:szCs w:val="24"/>
          <w:lang w:val="sv-SE" w:eastAsia="en-ID"/>
          <w14:ligatures w14:val="none"/>
        </w:rPr>
        <w:t>Risiko hukum adalah risiko yang muncul dari tuntutan hukum atau kelemahan dalam hal hukum. Risiko ini bisa terjadi karena kurangnya peraturan yang mendukung atau kelemahan dalam perikatan, seperti saat syarat sah kontrak tidak dipenuhi atau pengaturan agunan yang tidak baik.</w:t>
      </w:r>
    </w:p>
    <w:p w14:paraId="1605004C"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Reputasi</w:t>
      </w:r>
    </w:p>
    <w:p w14:paraId="349A0D35" w14:textId="23823D6C" w:rsidR="006729D1" w:rsidRPr="00B51544" w:rsidRDefault="00825953" w:rsidP="00B51544">
      <w:pPr>
        <w:pStyle w:val="ListParagraph"/>
        <w:spacing w:line="360" w:lineRule="auto"/>
        <w:ind w:left="1418" w:firstLine="480"/>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reputasi merujuk pada potensi menurunnya tingkat kepercayaan para pemangku kepentingan akibat persepsi negatif yang mereka miliki terhadap Bank Syariah. Risiko ini dapat muncul dari pemberitaan media atau isu-isu negatif yang berkaitan dengan Bank Syariah, serta dari strategi komunikasi yang kurang efektif yang diterapkan oleh bank tersebut.</w:t>
      </w:r>
    </w:p>
    <w:p w14:paraId="0277C989" w14:textId="55F8812A"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t>R</w:t>
      </w:r>
      <w:r w:rsidR="00BA2B7E" w:rsidRPr="00B51544">
        <w:rPr>
          <w:rFonts w:asciiTheme="majorBidi" w:hAnsiTheme="majorBidi" w:cstheme="majorBidi"/>
          <w:sz w:val="24"/>
          <w:szCs w:val="24"/>
          <w:lang w:val="sv-SE"/>
        </w:rPr>
        <w:t>i</w:t>
      </w:r>
      <w:r w:rsidRPr="00B51544">
        <w:rPr>
          <w:rFonts w:asciiTheme="majorBidi" w:hAnsiTheme="majorBidi" w:cstheme="majorBidi"/>
          <w:sz w:val="24"/>
          <w:szCs w:val="24"/>
          <w:lang w:val="sv-SE"/>
        </w:rPr>
        <w:t>siko Strategis</w:t>
      </w:r>
    </w:p>
    <w:p w14:paraId="487B505B" w14:textId="77777777" w:rsidR="00825953" w:rsidRPr="00B51544" w:rsidRDefault="00825953" w:rsidP="00B51544">
      <w:pPr>
        <w:pStyle w:val="ListParagraph"/>
        <w:shd w:val="clear" w:color="auto" w:fill="FFFFFF"/>
        <w:spacing w:after="0" w:line="360" w:lineRule="auto"/>
        <w:ind w:left="1418" w:firstLine="480"/>
        <w:jc w:val="both"/>
        <w:rPr>
          <w:rFonts w:asciiTheme="majorBidi" w:eastAsia="Times New Roman" w:hAnsiTheme="majorBidi" w:cstheme="majorBidi"/>
          <w:color w:val="000000"/>
          <w:kern w:val="0"/>
          <w:sz w:val="24"/>
          <w:szCs w:val="24"/>
          <w:lang w:val="sv-SE" w:eastAsia="en-ID"/>
          <w14:ligatures w14:val="none"/>
        </w:rPr>
      </w:pPr>
      <w:r w:rsidRPr="00B51544">
        <w:rPr>
          <w:rFonts w:asciiTheme="majorBidi" w:eastAsia="Times New Roman" w:hAnsiTheme="majorBidi" w:cstheme="majorBidi"/>
          <w:color w:val="000000"/>
          <w:kern w:val="0"/>
          <w:sz w:val="24"/>
          <w:szCs w:val="24"/>
          <w:lang w:val="sv-SE" w:eastAsia="en-ID"/>
          <w14:ligatures w14:val="none"/>
        </w:rPr>
        <w:t>Risiko Strategis adalah kemungkinan masalah yang muncul dari keputusan strategis yang salah atau pelaksanaannya, serta ketidakmampuan dalam menanggapi perubahan di dunia bisnis. Risiko ini dapat terjadi jika Bank Syariah membuat strategi yang tidak sesuai dengan visi dan misi, kurang mendalami analisis lingkungan strategis, atau ada ketidaksesuaian antara rencana strategis di berbagai tingkat.</w:t>
      </w:r>
    </w:p>
    <w:p w14:paraId="3DC686C2"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Kepatuhan</w:t>
      </w:r>
    </w:p>
    <w:p w14:paraId="042C86D7" w14:textId="77777777" w:rsidR="00825953" w:rsidRPr="00B51544" w:rsidRDefault="00825953" w:rsidP="00B51544">
      <w:pPr>
        <w:pStyle w:val="ListParagraph"/>
        <w:spacing w:line="360" w:lineRule="auto"/>
        <w:ind w:left="1418" w:firstLine="480"/>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Kepatuhan merupakan risiko yang muncul ketika sebuah bank tidak mematuhi atau menerapkan peraturan perundang-undangan serta ketentuan yang sesuai dengan prinsip syariah. Risiko ini dapat timbul akibat kurangnya pemahaman dan kesadaran hukum terhadap kebijakan, prinsip syariah, dan standar bisnis yang umumnya berlaku.</w:t>
      </w:r>
    </w:p>
    <w:p w14:paraId="3B3D88B9"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Imbal Hasil</w:t>
      </w:r>
    </w:p>
    <w:p w14:paraId="42B2F7E6" w14:textId="77777777" w:rsidR="00825953" w:rsidRPr="00B51544" w:rsidRDefault="00825953" w:rsidP="00B51544">
      <w:pPr>
        <w:pStyle w:val="ListParagraph"/>
        <w:shd w:val="clear" w:color="auto" w:fill="FFFFFF"/>
        <w:spacing w:after="0" w:line="360" w:lineRule="auto"/>
        <w:ind w:left="1418" w:firstLine="480"/>
        <w:jc w:val="both"/>
        <w:rPr>
          <w:rFonts w:asciiTheme="majorBidi" w:eastAsia="Times New Roman" w:hAnsiTheme="majorBidi" w:cstheme="majorBidi"/>
          <w:color w:val="000000"/>
          <w:kern w:val="0"/>
          <w:sz w:val="24"/>
          <w:szCs w:val="24"/>
          <w:lang w:val="sv-SE" w:eastAsia="en-ID"/>
          <w14:ligatures w14:val="none"/>
        </w:rPr>
      </w:pPr>
      <w:r w:rsidRPr="00B51544">
        <w:rPr>
          <w:rFonts w:asciiTheme="majorBidi" w:eastAsia="Times New Roman" w:hAnsiTheme="majorBidi" w:cstheme="majorBidi"/>
          <w:color w:val="000000"/>
          <w:kern w:val="0"/>
          <w:sz w:val="24"/>
          <w:szCs w:val="24"/>
          <w:lang w:val="sv-SE" w:eastAsia="en-ID"/>
          <w14:ligatures w14:val="none"/>
        </w:rPr>
        <w:t>Risiko imbal hasil adalah kemungkinan terjadinya perubahan pada tingkat imbal hasil yang diberikan bank kepada nasabah. Perubahan ini disebabkan oleh fluktuasi tingkat imbal hasil yang diterima bank dari penyaluran dananya. Selain itu, perubahan tersebut dapat mempengaruhi sikap nasabah yang menyimpan dana di bank.</w:t>
      </w:r>
    </w:p>
    <w:p w14:paraId="66DD1276" w14:textId="77777777" w:rsidR="00825953" w:rsidRPr="00B51544" w:rsidRDefault="00825953" w:rsidP="00B51544">
      <w:pPr>
        <w:pStyle w:val="ListParagraph"/>
        <w:numPr>
          <w:ilvl w:val="0"/>
          <w:numId w:val="2"/>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Risiko Investasi</w:t>
      </w:r>
    </w:p>
    <w:p w14:paraId="428D848C" w14:textId="35772E6A" w:rsidR="00825953" w:rsidRPr="00B51544" w:rsidRDefault="00825953" w:rsidP="00B51544">
      <w:pPr>
        <w:pStyle w:val="ListParagraph"/>
        <w:shd w:val="clear" w:color="auto" w:fill="FFFFFF"/>
        <w:spacing w:after="0" w:line="360" w:lineRule="auto"/>
        <w:ind w:left="1418" w:firstLine="480"/>
        <w:jc w:val="both"/>
        <w:rPr>
          <w:rFonts w:asciiTheme="majorBidi" w:eastAsia="Times New Roman" w:hAnsiTheme="majorBidi" w:cstheme="majorBidi"/>
          <w:color w:val="000000"/>
          <w:kern w:val="0"/>
          <w:sz w:val="24"/>
          <w:szCs w:val="24"/>
          <w:lang w:val="sv-SE" w:eastAsia="en-ID"/>
          <w14:ligatures w14:val="none"/>
        </w:rPr>
      </w:pPr>
      <w:r w:rsidRPr="00B51544">
        <w:rPr>
          <w:rFonts w:asciiTheme="majorBidi" w:eastAsia="Times New Roman" w:hAnsiTheme="majorBidi" w:cstheme="majorBidi"/>
          <w:color w:val="000000"/>
          <w:kern w:val="0"/>
          <w:sz w:val="24"/>
          <w:szCs w:val="24"/>
          <w:lang w:val="sv-SE" w:eastAsia="en-ID"/>
          <w14:ligatures w14:val="none"/>
        </w:rPr>
        <w:t>Risiko Investasi adalah kemungkinan kerugian yang bisa dialami bank karena memberikan pembiayaan kepada nasabah dengan metode bagi hasil. Dalam hal ini, bank ikut menanggung risiko kerugian dari usaha nasabah, baik melalui pendapatan atau pembagian profit dan kerugian. Risiko ini muncul saat bank membiayai nasabah berdasarkan model bagi hasil, di mana bank juga berpartisipasi dalam risiko kerugian nasabah.</w:t>
      </w:r>
    </w:p>
    <w:p w14:paraId="0891C200" w14:textId="4D89AB23" w:rsidR="00825953" w:rsidRPr="00B51544" w:rsidRDefault="006D6DA0" w:rsidP="00B51544">
      <w:pPr>
        <w:pStyle w:val="Heading3"/>
        <w:spacing w:line="360" w:lineRule="auto"/>
        <w:ind w:left="426"/>
        <w:jc w:val="both"/>
        <w:rPr>
          <w:rFonts w:asciiTheme="majorBidi" w:hAnsiTheme="majorBidi"/>
          <w:b/>
          <w:bCs/>
          <w:color w:val="auto"/>
          <w:sz w:val="24"/>
          <w:szCs w:val="24"/>
          <w:lang w:val="sv-SE"/>
        </w:rPr>
      </w:pPr>
      <w:bookmarkStart w:id="35" w:name="_Toc201063308"/>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2</w:t>
      </w:r>
      <w:r w:rsidRPr="00B51544">
        <w:rPr>
          <w:rFonts w:asciiTheme="majorBidi" w:hAnsiTheme="majorBidi"/>
          <w:b/>
          <w:bCs/>
          <w:color w:val="auto"/>
          <w:sz w:val="24"/>
          <w:szCs w:val="24"/>
          <w:lang w:val="sv-SE"/>
        </w:rPr>
        <w:t xml:space="preserve">.4 </w:t>
      </w:r>
      <w:r w:rsidR="00825953" w:rsidRPr="00B51544">
        <w:rPr>
          <w:rFonts w:asciiTheme="majorBidi" w:hAnsiTheme="majorBidi"/>
          <w:b/>
          <w:bCs/>
          <w:color w:val="auto"/>
          <w:sz w:val="24"/>
          <w:szCs w:val="24"/>
          <w:lang w:val="sv-SE"/>
        </w:rPr>
        <w:t>Manajemen Risiko</w:t>
      </w:r>
      <w:bookmarkEnd w:id="35"/>
    </w:p>
    <w:p w14:paraId="041B1FB5" w14:textId="77777777" w:rsidR="006D6DA0"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adalah ketidakpastian yang ditimbulkan oleh adanya perubahan atau penyimpangan dari sesuatu yang diharapkan. Faktor ketidakpastian inilah yang akhirnya menyebabkan timbulnya risiko pada suatu kegiatan. Risiko juga dapat diartkan sebagai potensi, kemungkinan atau ekspektasi terhadap suatu kejadian yang dapat berpengaruh secara negatif terhadap pendapatan dan modal di Perbankan Syariah.</w:t>
      </w:r>
    </w:p>
    <w:p w14:paraId="466B32BD" w14:textId="77777777" w:rsidR="006D6DA0"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Kegiatan usaha Bank Syariah senantiasa dihadapkan pada risiko-risiko yang berkaitan erat dengan fungsinya sebagai lembaga intermediasi keuangan. Seluruh bank wajib melakukan proses identifikasi, pengukuran, pemantauan dan pengendalian risiko untuk meminimalkan adanya risiko, Oleh karena  itu Bank Syariah menerapkan Manajemen Risiko yang sesuai dengan Prinsip Syariah.</w:t>
      </w:r>
    </w:p>
    <w:p w14:paraId="2F851A9F" w14:textId="20F3DCD2" w:rsidR="00825953"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Manajemen Risiko merupakan suatu bidang ilmu yang membahas tentang bagaimana suatu organisasi atau perusahaan menerapkan ukuran dalam memetakan berbagai permasalahan yang ada dengan menempatkan berbagai pendekatan manajemen secara komprehensif dan sistematis. Manajemen Risiko adalah seperangkat kebijakan, prosedur yang lengkap yang dimiliki perusahaan untuk mengelola, memonitor, dan mengendalikan perusahaan terhadap risiko yang akan terjadi.</w:t>
      </w:r>
      <w:r w:rsidRPr="00B51544">
        <w:rPr>
          <w:rStyle w:val="FootnoteReference"/>
          <w:rFonts w:asciiTheme="majorBidi" w:hAnsiTheme="majorBidi" w:cstheme="majorBidi"/>
          <w:sz w:val="24"/>
          <w:szCs w:val="24"/>
        </w:rPr>
        <w:footnoteReference w:id="50"/>
      </w:r>
    </w:p>
    <w:p w14:paraId="3573E28F" w14:textId="7FD68AB4" w:rsidR="00DB7CC6" w:rsidRPr="00B51544" w:rsidRDefault="00DB7CC6" w:rsidP="00B51544">
      <w:pPr>
        <w:pStyle w:val="Heading3"/>
        <w:spacing w:line="360" w:lineRule="auto"/>
        <w:ind w:left="426"/>
        <w:jc w:val="both"/>
        <w:rPr>
          <w:rFonts w:asciiTheme="majorBidi" w:hAnsiTheme="majorBidi"/>
          <w:b/>
          <w:bCs/>
          <w:color w:val="auto"/>
          <w:sz w:val="24"/>
          <w:szCs w:val="24"/>
          <w:lang w:val="sv-SE"/>
        </w:rPr>
      </w:pPr>
      <w:bookmarkStart w:id="36" w:name="_Toc201063309"/>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2</w:t>
      </w:r>
      <w:r w:rsidRPr="00B51544">
        <w:rPr>
          <w:rFonts w:asciiTheme="majorBidi" w:hAnsiTheme="majorBidi"/>
          <w:b/>
          <w:bCs/>
          <w:color w:val="auto"/>
          <w:sz w:val="24"/>
          <w:szCs w:val="24"/>
          <w:lang w:val="sv-SE"/>
        </w:rPr>
        <w:t>.5 Hipotesis Penelitian</w:t>
      </w:r>
      <w:bookmarkEnd w:id="36"/>
    </w:p>
    <w:p w14:paraId="508F6F5E" w14:textId="70F4DD9D" w:rsidR="00DB7CC6" w:rsidRPr="00B51544" w:rsidRDefault="007F0752" w:rsidP="00B51544">
      <w:pPr>
        <w:pStyle w:val="ListParagraph"/>
        <w:spacing w:line="360" w:lineRule="auto"/>
        <w:ind w:left="993" w:firstLine="708"/>
        <w:jc w:val="both"/>
        <w:rPr>
          <w:rFonts w:asciiTheme="majorBidi" w:hAnsiTheme="majorBidi" w:cstheme="majorBidi"/>
          <w:sz w:val="24"/>
          <w:szCs w:val="24"/>
          <w:lang w:val="sv-SE"/>
        </w:rPr>
      </w:pPr>
      <w:r w:rsidRPr="007F0752">
        <w:rPr>
          <w:rFonts w:asciiTheme="majorBidi" w:hAnsiTheme="majorBidi" w:cstheme="majorBidi"/>
          <w:sz w:val="24"/>
          <w:szCs w:val="24"/>
          <w:lang w:val="sv-SE"/>
        </w:rPr>
        <w:t>Risiko merujuk pada ancaman atau kemungkinan terjadinya suatu peristiwa yang dapat memberikan efek negatif terhadap tujuan yang ingin dicapai. Dengan kata lain, risiko adalah potensi untuk mengalami kerugian akibat hilangnya sebagian atau seluruh investasi. Risiko muncul akibat adanya unsur ketidakpastian</w:t>
      </w:r>
      <w:r w:rsidR="00DB7CC6" w:rsidRPr="00B51544">
        <w:rPr>
          <w:rFonts w:asciiTheme="majorBidi" w:hAnsiTheme="majorBidi" w:cstheme="majorBidi"/>
          <w:sz w:val="24"/>
          <w:szCs w:val="24"/>
          <w:lang w:val="sv-SE"/>
        </w:rPr>
        <w:t>.</w:t>
      </w:r>
      <w:r w:rsidR="00DB7CC6" w:rsidRPr="00B51544">
        <w:rPr>
          <w:rStyle w:val="FootnoteReference"/>
          <w:rFonts w:asciiTheme="majorBidi" w:hAnsiTheme="majorBidi" w:cstheme="majorBidi"/>
          <w:sz w:val="24"/>
          <w:szCs w:val="24"/>
          <w:lang w:val="sv-SE"/>
        </w:rPr>
        <w:footnoteReference w:id="51"/>
      </w:r>
      <w:r w:rsidR="00DB7CC6" w:rsidRPr="00B51544">
        <w:rPr>
          <w:rFonts w:asciiTheme="majorBidi" w:hAnsiTheme="majorBidi" w:cstheme="majorBidi"/>
          <w:sz w:val="24"/>
          <w:szCs w:val="24"/>
          <w:lang w:val="sv-SE"/>
        </w:rPr>
        <w:t xml:space="preserve"> </w:t>
      </w:r>
      <w:r w:rsidRPr="007F0752">
        <w:rPr>
          <w:rFonts w:asciiTheme="majorBidi" w:hAnsiTheme="majorBidi" w:cstheme="majorBidi"/>
          <w:sz w:val="24"/>
          <w:szCs w:val="24"/>
          <w:lang w:val="sv-SE"/>
        </w:rPr>
        <w:t xml:space="preserve">Risiko pembiayaan merujuk pada kemungkinan terjadinya kegagalan oleh nasabah atau pihak </w:t>
      </w:r>
      <w:r w:rsidRPr="007F0752">
        <w:rPr>
          <w:rFonts w:asciiTheme="majorBidi" w:hAnsiTheme="majorBidi" w:cstheme="majorBidi"/>
          <w:sz w:val="24"/>
          <w:szCs w:val="24"/>
          <w:lang w:val="sv-SE"/>
        </w:rPr>
        <w:lastRenderedPageBreak/>
        <w:t>lain dalam menjalankan kewajiban kepada bank berdasarkan kesepakatan yang ada. Risiko ini muncul ketika bank tidak dapat mendapatkan kembali pokok atau bunga dari pinjaman yang telah diberikan</w:t>
      </w:r>
      <w:r w:rsidR="00DB7CC6" w:rsidRPr="00B51544">
        <w:rPr>
          <w:rFonts w:asciiTheme="majorBidi" w:hAnsiTheme="majorBidi" w:cstheme="majorBidi"/>
          <w:sz w:val="24"/>
          <w:szCs w:val="24"/>
          <w:lang w:val="sv-SE"/>
        </w:rPr>
        <w:t>.</w:t>
      </w:r>
      <w:r w:rsidR="00DB7CC6" w:rsidRPr="00B51544">
        <w:rPr>
          <w:rStyle w:val="FootnoteReference"/>
          <w:rFonts w:asciiTheme="majorBidi" w:hAnsiTheme="majorBidi" w:cstheme="majorBidi"/>
          <w:sz w:val="24"/>
          <w:szCs w:val="24"/>
          <w:lang w:val="sv-SE"/>
        </w:rPr>
        <w:footnoteReference w:id="52"/>
      </w:r>
    </w:p>
    <w:p w14:paraId="28E17898" w14:textId="77777777" w:rsidR="002B3EA9" w:rsidRDefault="002B3EA9" w:rsidP="00B51544">
      <w:pPr>
        <w:pStyle w:val="ListParagraph"/>
        <w:spacing w:line="360" w:lineRule="auto"/>
        <w:ind w:left="993" w:firstLine="708"/>
        <w:jc w:val="both"/>
        <w:rPr>
          <w:rFonts w:asciiTheme="majorBidi" w:hAnsiTheme="majorBidi" w:cstheme="majorBidi"/>
          <w:sz w:val="24"/>
          <w:szCs w:val="24"/>
          <w:lang w:val="sv-SE"/>
        </w:rPr>
      </w:pPr>
      <w:r w:rsidRPr="002B3EA9">
        <w:rPr>
          <w:rFonts w:asciiTheme="majorBidi" w:hAnsiTheme="majorBidi" w:cstheme="majorBidi"/>
          <w:sz w:val="24"/>
          <w:szCs w:val="24"/>
          <w:lang w:val="sv-SE"/>
        </w:rPr>
        <w:t xml:space="preserve">Apabila </w:t>
      </w:r>
      <w:r w:rsidRPr="009B563B">
        <w:rPr>
          <w:rFonts w:asciiTheme="majorBidi" w:hAnsiTheme="majorBidi" w:cstheme="majorBidi"/>
          <w:i/>
          <w:iCs/>
          <w:sz w:val="24"/>
          <w:szCs w:val="24"/>
          <w:lang w:val="sv-SE"/>
        </w:rPr>
        <w:t>Non Performing Financing</w:t>
      </w:r>
      <w:r w:rsidRPr="002B3EA9">
        <w:rPr>
          <w:rFonts w:asciiTheme="majorBidi" w:hAnsiTheme="majorBidi" w:cstheme="majorBidi"/>
          <w:sz w:val="24"/>
          <w:szCs w:val="24"/>
          <w:lang w:val="sv-SE"/>
        </w:rPr>
        <w:t xml:space="preserve"> (NPF) berada pada tingkat tinggi, maka jumlah Deposito Mudharabah cenderung menurun. Hal ini disebabkan oleh kekhawatiran nasabah bahwa bank syariah tidak dapat mengembalikan dana mereka akibat peningkatan NPF atau masalah pembiayaan. Ketidakpastian ini akan mendorong nasabah untuk menarik dana yang disimpan di bank syariah, sehingga mengurangi jumlah deposito mudharabah. Situasi ini tentunya akan berdampak pada kinerja perbankan syariah secara keseluruhan, yang pada akhirnya dapat memengaruhi minat masyarakat untuk menempatkan dananya dalam bentuk deposito. Oleh karena itu, dapat disimpulkan bahwa </w:t>
      </w:r>
      <w:r w:rsidRPr="009B563B">
        <w:rPr>
          <w:rFonts w:asciiTheme="majorBidi" w:hAnsiTheme="majorBidi" w:cstheme="majorBidi"/>
          <w:i/>
          <w:iCs/>
          <w:sz w:val="24"/>
          <w:szCs w:val="24"/>
          <w:lang w:val="sv-SE"/>
        </w:rPr>
        <w:t>Non Performing Financing</w:t>
      </w:r>
      <w:r w:rsidRPr="002B3EA9">
        <w:rPr>
          <w:rFonts w:asciiTheme="majorBidi" w:hAnsiTheme="majorBidi" w:cstheme="majorBidi"/>
          <w:sz w:val="24"/>
          <w:szCs w:val="24"/>
          <w:lang w:val="sv-SE"/>
        </w:rPr>
        <w:t xml:space="preserve"> (NPF) memiliki pengaruh negatif terhadap deposito mudharabah.</w:t>
      </w:r>
    </w:p>
    <w:p w14:paraId="6899A601" w14:textId="717B2B76" w:rsidR="00DB7CC6" w:rsidRPr="00B51544" w:rsidRDefault="00D414A5" w:rsidP="00B51544">
      <w:pPr>
        <w:pStyle w:val="ListParagraph"/>
        <w:spacing w:line="360" w:lineRule="auto"/>
        <w:ind w:left="993" w:firstLine="708"/>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Berdasarkan penjelasan diatas bahwa hipotesis yang akan dipilih risiko pembiayaan tidak memiliki pengaruh. </w:t>
      </w:r>
      <w:r w:rsidR="00DB7CC6" w:rsidRPr="00B51544">
        <w:rPr>
          <w:rFonts w:asciiTheme="majorBidi" w:hAnsiTheme="majorBidi" w:cstheme="majorBidi"/>
          <w:sz w:val="24"/>
          <w:szCs w:val="24"/>
          <w:lang w:val="sv-SE"/>
        </w:rPr>
        <w:t>Penelitian ini didukung dengan penelitian terdahulu yang dilakukan</w:t>
      </w:r>
      <w:r w:rsidR="002B3EA9">
        <w:rPr>
          <w:rFonts w:asciiTheme="majorBidi" w:hAnsiTheme="majorBidi" w:cstheme="majorBidi"/>
          <w:sz w:val="24"/>
          <w:szCs w:val="24"/>
          <w:lang w:val="sv-SE"/>
        </w:rPr>
        <w:t xml:space="preserve"> </w:t>
      </w:r>
      <w:r w:rsidR="00DB7CC6" w:rsidRPr="00B51544">
        <w:rPr>
          <w:rFonts w:asciiTheme="majorBidi" w:hAnsiTheme="majorBidi" w:cstheme="majorBidi"/>
          <w:sz w:val="24"/>
          <w:szCs w:val="24"/>
          <w:lang w:val="sv-SE"/>
        </w:rPr>
        <w:t>oleh</w:t>
      </w:r>
      <w:r w:rsidR="002B3EA9">
        <w:rPr>
          <w:rFonts w:asciiTheme="majorBidi" w:hAnsiTheme="majorBidi" w:cstheme="majorBidi"/>
          <w:sz w:val="24"/>
          <w:szCs w:val="24"/>
          <w:lang w:val="sv-SE"/>
        </w:rPr>
        <w:t xml:space="preserve"> Agung Yulianto </w:t>
      </w:r>
      <w:r w:rsidR="00DB7CC6" w:rsidRPr="00B51544">
        <w:rPr>
          <w:rFonts w:asciiTheme="majorBidi" w:hAnsiTheme="majorBidi" w:cstheme="majorBidi"/>
          <w:sz w:val="24"/>
          <w:szCs w:val="24"/>
          <w:lang w:val="sv-SE"/>
        </w:rPr>
        <w:t xml:space="preserve">menunjukkan bahwa risiko pembiayaan (NPF) </w:t>
      </w:r>
      <w:r w:rsidR="002B3EA9">
        <w:rPr>
          <w:rFonts w:asciiTheme="majorBidi" w:hAnsiTheme="majorBidi" w:cstheme="majorBidi"/>
          <w:sz w:val="24"/>
          <w:szCs w:val="24"/>
          <w:lang w:val="sv-SE"/>
        </w:rPr>
        <w:t xml:space="preserve">memiliki </w:t>
      </w:r>
      <w:r w:rsidR="005B626F" w:rsidRPr="00B51544">
        <w:rPr>
          <w:rFonts w:asciiTheme="majorBidi" w:hAnsiTheme="majorBidi" w:cstheme="majorBidi"/>
          <w:sz w:val="24"/>
          <w:szCs w:val="24"/>
          <w:lang w:val="sv-SE"/>
        </w:rPr>
        <w:t>pengaruh</w:t>
      </w:r>
      <w:r w:rsidR="002B3EA9">
        <w:rPr>
          <w:rFonts w:asciiTheme="majorBidi" w:hAnsiTheme="majorBidi" w:cstheme="majorBidi"/>
          <w:sz w:val="24"/>
          <w:szCs w:val="24"/>
          <w:lang w:val="sv-SE"/>
        </w:rPr>
        <w:t xml:space="preserve"> negatif</w:t>
      </w:r>
      <w:r w:rsidR="005B626F" w:rsidRPr="00B51544">
        <w:rPr>
          <w:rFonts w:asciiTheme="majorBidi" w:hAnsiTheme="majorBidi" w:cstheme="majorBidi"/>
          <w:sz w:val="24"/>
          <w:szCs w:val="24"/>
          <w:lang w:val="sv-SE"/>
        </w:rPr>
        <w:t xml:space="preserve"> </w:t>
      </w:r>
      <w:r w:rsidR="00DB7CC6" w:rsidRPr="00B51544">
        <w:rPr>
          <w:rFonts w:asciiTheme="majorBidi" w:hAnsiTheme="majorBidi" w:cstheme="majorBidi"/>
          <w:sz w:val="24"/>
          <w:szCs w:val="24"/>
          <w:lang w:val="sv-SE"/>
        </w:rPr>
        <w:t>terhadap deposito mudharabah.</w:t>
      </w:r>
      <w:r w:rsidR="005B626F" w:rsidRPr="00B51544">
        <w:rPr>
          <w:rStyle w:val="FootnoteReference"/>
          <w:rFonts w:asciiTheme="majorBidi" w:hAnsiTheme="majorBidi" w:cstheme="majorBidi"/>
          <w:sz w:val="24"/>
          <w:szCs w:val="24"/>
          <w:lang w:val="sv-SE"/>
        </w:rPr>
        <w:footnoteReference w:id="53"/>
      </w:r>
      <w:r w:rsidR="005B626F" w:rsidRPr="00B51544">
        <w:rPr>
          <w:rFonts w:asciiTheme="majorBidi" w:hAnsiTheme="majorBidi" w:cstheme="majorBidi"/>
          <w:sz w:val="24"/>
          <w:szCs w:val="24"/>
          <w:lang w:val="sv-SE"/>
        </w:rPr>
        <w:t xml:space="preserve"> </w:t>
      </w:r>
      <w:r w:rsidR="00DB7CC6" w:rsidRPr="00B51544">
        <w:rPr>
          <w:rFonts w:asciiTheme="majorBidi" w:hAnsiTheme="majorBidi" w:cstheme="majorBidi"/>
          <w:sz w:val="24"/>
          <w:szCs w:val="24"/>
          <w:lang w:val="sv-SE"/>
        </w:rPr>
        <w:t xml:space="preserve">Maka hipotesis risiko pembiayaan diuraikan sebagai berikut : </w:t>
      </w:r>
    </w:p>
    <w:p w14:paraId="4DF1637A" w14:textId="5E4DD815" w:rsidR="00C65BDD" w:rsidRPr="00B51544" w:rsidRDefault="00DB7CC6" w:rsidP="00B51544">
      <w:pPr>
        <w:pStyle w:val="ListParagraph"/>
        <w:spacing w:line="360" w:lineRule="auto"/>
        <w:ind w:left="993" w:firstLine="708"/>
        <w:jc w:val="both"/>
        <w:rPr>
          <w:rFonts w:asciiTheme="majorBidi" w:hAnsiTheme="majorBidi" w:cstheme="majorBidi"/>
          <w:b/>
          <w:bCs/>
          <w:sz w:val="24"/>
          <w:szCs w:val="24"/>
          <w:lang w:val="sv-SE"/>
        </w:rPr>
      </w:pPr>
      <w:r w:rsidRPr="00B51544">
        <w:rPr>
          <w:rFonts w:asciiTheme="majorBidi" w:hAnsiTheme="majorBidi" w:cstheme="majorBidi"/>
          <w:b/>
          <w:bCs/>
          <w:sz w:val="24"/>
          <w:szCs w:val="24"/>
          <w:lang w:val="sv-SE"/>
        </w:rPr>
        <w:t>H1 : Risiko Pembiayaan berpengaruh negatif terhadap deposito mudharabah</w:t>
      </w:r>
    </w:p>
    <w:p w14:paraId="488B5CF6" w14:textId="1E1C28C3" w:rsidR="00825953" w:rsidRPr="00B51544" w:rsidRDefault="006D6DA0" w:rsidP="00B51544">
      <w:pPr>
        <w:pStyle w:val="Heading2"/>
        <w:spacing w:line="360" w:lineRule="auto"/>
        <w:jc w:val="both"/>
        <w:rPr>
          <w:rFonts w:asciiTheme="majorBidi" w:hAnsiTheme="majorBidi"/>
          <w:b/>
          <w:bCs/>
          <w:color w:val="auto"/>
          <w:sz w:val="24"/>
          <w:szCs w:val="24"/>
          <w:lang w:val="sv-SE"/>
        </w:rPr>
      </w:pPr>
      <w:bookmarkStart w:id="37" w:name="_Toc201063310"/>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3</w:t>
      </w:r>
      <w:r w:rsidRPr="00B51544">
        <w:rPr>
          <w:rFonts w:asciiTheme="majorBidi" w:hAnsiTheme="majorBidi"/>
          <w:b/>
          <w:bCs/>
          <w:color w:val="auto"/>
          <w:sz w:val="24"/>
          <w:szCs w:val="24"/>
          <w:lang w:val="sv-SE"/>
        </w:rPr>
        <w:t xml:space="preserve"> </w:t>
      </w:r>
      <w:r w:rsidR="00825953" w:rsidRPr="00B51544">
        <w:rPr>
          <w:rFonts w:asciiTheme="majorBidi" w:hAnsiTheme="majorBidi"/>
          <w:b/>
          <w:bCs/>
          <w:color w:val="auto"/>
          <w:sz w:val="24"/>
          <w:szCs w:val="24"/>
          <w:lang w:val="sv-SE"/>
        </w:rPr>
        <w:t>Risiko Likuiditas</w:t>
      </w:r>
      <w:bookmarkEnd w:id="37"/>
    </w:p>
    <w:p w14:paraId="257A162C" w14:textId="7B0A160C" w:rsidR="00825953" w:rsidRPr="00B51544" w:rsidRDefault="006D6DA0" w:rsidP="00B51544">
      <w:pPr>
        <w:pStyle w:val="Heading3"/>
        <w:spacing w:line="360" w:lineRule="auto"/>
        <w:ind w:left="426"/>
        <w:jc w:val="both"/>
        <w:rPr>
          <w:rFonts w:asciiTheme="majorBidi" w:hAnsiTheme="majorBidi"/>
          <w:b/>
          <w:bCs/>
          <w:color w:val="auto"/>
          <w:sz w:val="24"/>
          <w:szCs w:val="24"/>
          <w:lang w:val="sv-SE"/>
        </w:rPr>
      </w:pPr>
      <w:bookmarkStart w:id="38" w:name="_Toc201063311"/>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3</w:t>
      </w:r>
      <w:r w:rsidRPr="00B51544">
        <w:rPr>
          <w:rFonts w:asciiTheme="majorBidi" w:hAnsiTheme="majorBidi"/>
          <w:b/>
          <w:bCs/>
          <w:color w:val="auto"/>
          <w:sz w:val="24"/>
          <w:szCs w:val="24"/>
          <w:lang w:val="sv-SE"/>
        </w:rPr>
        <w:t xml:space="preserve">.1 </w:t>
      </w:r>
      <w:r w:rsidR="00825953" w:rsidRPr="00B51544">
        <w:rPr>
          <w:rFonts w:asciiTheme="majorBidi" w:hAnsiTheme="majorBidi"/>
          <w:b/>
          <w:bCs/>
          <w:color w:val="auto"/>
          <w:sz w:val="24"/>
          <w:szCs w:val="24"/>
          <w:lang w:val="sv-SE"/>
        </w:rPr>
        <w:t>Pengertian Risiko Likuiditas</w:t>
      </w:r>
      <w:bookmarkEnd w:id="38"/>
    </w:p>
    <w:p w14:paraId="73C00969" w14:textId="5D531DCA" w:rsidR="006D6DA0" w:rsidRPr="00B51544" w:rsidRDefault="007F0752" w:rsidP="00B51544">
      <w:pPr>
        <w:pStyle w:val="ListParagraph"/>
        <w:spacing w:line="360" w:lineRule="auto"/>
        <w:ind w:left="993" w:firstLine="709"/>
        <w:jc w:val="both"/>
        <w:rPr>
          <w:rFonts w:asciiTheme="majorBidi" w:hAnsiTheme="majorBidi" w:cstheme="majorBidi"/>
          <w:sz w:val="24"/>
          <w:szCs w:val="24"/>
          <w:lang w:val="sv-SE"/>
        </w:rPr>
      </w:pPr>
      <w:r w:rsidRPr="007F0752">
        <w:rPr>
          <w:rFonts w:asciiTheme="majorBidi" w:hAnsiTheme="majorBidi" w:cstheme="majorBidi"/>
          <w:sz w:val="24"/>
          <w:szCs w:val="24"/>
          <w:lang w:val="sv-SE"/>
        </w:rPr>
        <w:t>Risiko Likuiditas adalah risiko yang muncul karena adanya kekurangan dana, yang menyebabkan bank tidak dapat memenuhi kewajiban, baik dalam hal penarikan simpanan oleh nasabah maupun dalam memberikan pinjaman kepada debitur yang diinginkan. Karena tidak memiliki cukup dana likuid, biasanya bank akan terpaksa menjual aset yang menghasilkan dengan harga yang lebih rendah dari seharusnya atau bahkan mengalami kerugian. Risiko likuiditas pada Bank Syariah merupakan hasil dari interaksi antara aset dan kewajiban yang dimiliki oleh Bank Syariah</w:t>
      </w:r>
      <w:r w:rsidR="00825953" w:rsidRPr="00B51544">
        <w:rPr>
          <w:rFonts w:asciiTheme="majorBidi" w:hAnsiTheme="majorBidi" w:cstheme="majorBidi"/>
          <w:sz w:val="24"/>
          <w:szCs w:val="24"/>
          <w:lang w:val="sv-SE"/>
        </w:rPr>
        <w:t>.</w:t>
      </w:r>
      <w:r w:rsidR="00825953" w:rsidRPr="00B51544">
        <w:rPr>
          <w:rStyle w:val="FootnoteReference"/>
          <w:rFonts w:asciiTheme="majorBidi" w:hAnsiTheme="majorBidi" w:cstheme="majorBidi"/>
          <w:sz w:val="24"/>
          <w:szCs w:val="24"/>
        </w:rPr>
        <w:footnoteReference w:id="54"/>
      </w:r>
    </w:p>
    <w:p w14:paraId="16E97AB3" w14:textId="7E672F12" w:rsidR="006D6DA0" w:rsidRPr="00B51544" w:rsidRDefault="00A8607D" w:rsidP="00B51544">
      <w:pPr>
        <w:pStyle w:val="ListParagraph"/>
        <w:spacing w:line="360" w:lineRule="auto"/>
        <w:ind w:left="993" w:firstLine="709"/>
        <w:jc w:val="both"/>
        <w:rPr>
          <w:rFonts w:asciiTheme="majorBidi" w:hAnsiTheme="majorBidi" w:cstheme="majorBidi"/>
          <w:sz w:val="24"/>
          <w:szCs w:val="24"/>
          <w:lang w:val="sv-SE"/>
        </w:rPr>
      </w:pPr>
      <w:r w:rsidRPr="00A8607D">
        <w:rPr>
          <w:rFonts w:asciiTheme="majorBidi" w:hAnsiTheme="majorBidi" w:cstheme="majorBidi"/>
          <w:sz w:val="24"/>
          <w:szCs w:val="24"/>
          <w:lang w:val="sv-SE"/>
        </w:rPr>
        <w:lastRenderedPageBreak/>
        <w:t>Risiko Likuiditas dapat dijelaskan sebagai kemungkinan tidak mampu untuk melikuidasi dengan cepat dan pada nilai yang adil. Bank mengalami Risiko Likuiditas ketika mereka tidak dapat menjual aset mereka pada harga yang layak. Aset dijual dengan harga rendah, sementara keadaan mendesak memerlukan bank untuk melikuidasi asetnya. Situasi ini bisa mengarah pada kerugian dan penurunan yang besar dalam pendapatan</w:t>
      </w:r>
      <w:r w:rsidR="00825953" w:rsidRPr="00B51544">
        <w:rPr>
          <w:rFonts w:asciiTheme="majorBidi" w:hAnsiTheme="majorBidi" w:cstheme="majorBidi"/>
          <w:sz w:val="24"/>
          <w:szCs w:val="24"/>
          <w:lang w:val="sv-SE"/>
        </w:rPr>
        <w:t>.</w:t>
      </w:r>
      <w:r w:rsidR="00825953" w:rsidRPr="00B51544">
        <w:rPr>
          <w:rStyle w:val="FootnoteReference"/>
          <w:rFonts w:asciiTheme="majorBidi" w:hAnsiTheme="majorBidi" w:cstheme="majorBidi"/>
          <w:sz w:val="24"/>
          <w:szCs w:val="24"/>
        </w:rPr>
        <w:footnoteReference w:id="55"/>
      </w:r>
    </w:p>
    <w:p w14:paraId="0614816B" w14:textId="77777777" w:rsidR="00AD46AB"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Menurut Peraturan Bank Indonesia (PBI) No.11/25/2009 menjelaskan tujuan dari pihak bank dalam mengendalikan risiko yang dihadapi, sehingga kualitas manajemen risiko yang sudah diterapkan menjadi meningkat. Dengan demekian kewajiban bank yang harus terpenuhi jika sudah lewat dari tempo maka aset yang likuid dari pendanaan arus kas tidak mengganggu aktivitas perbankan setiap harinya.</w:t>
      </w:r>
      <w:r w:rsidRPr="00B51544">
        <w:rPr>
          <w:rStyle w:val="FootnoteReference"/>
          <w:rFonts w:asciiTheme="majorBidi" w:hAnsiTheme="majorBidi" w:cstheme="majorBidi"/>
          <w:sz w:val="24"/>
          <w:szCs w:val="24"/>
        </w:rPr>
        <w:footnoteReference w:id="56"/>
      </w:r>
      <w:r w:rsidRPr="00B51544">
        <w:rPr>
          <w:rFonts w:asciiTheme="majorBidi" w:hAnsiTheme="majorBidi" w:cstheme="majorBidi"/>
          <w:sz w:val="24"/>
          <w:szCs w:val="24"/>
          <w:lang w:val="sv-SE"/>
        </w:rPr>
        <w:t xml:space="preserve"> Dari pengertian tersebut menyimpulkan bahwa dana cadangan yang disediakan bank harus tercukupi apabila sewaktu-waktu terjadi penarikan dana nasabah yang bersifat mendadak dengan jumlah yang besar dan aktiva yang diinvestasikan juga cukup likuid sehingga harus dicairkan untuk kebutuhan dana yang tertutup.</w:t>
      </w:r>
    </w:p>
    <w:p w14:paraId="5571E2E6" w14:textId="77777777" w:rsidR="00AD46AB"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Menurut Muharam Risiko Likuiditas merupakan kerugian yang terjadi dalam menghasilkan uang tunai yang diperlukan untuk memenuhi kewajiban jangka pendek atau yang sudah jatuh tempo. Risiko ini diukur menggunakan rasio Financing to Deposit Ratio (FDR) dengan membandingkan total pembiayaan dengan total Dana Pihak Ketiga (DPK), kenaikan rasio FDR menandakan bahwa adanya peningkatan dalam penyaluran pembiayaan dalam masyarakat.</w:t>
      </w:r>
      <w:r w:rsidRPr="00B51544">
        <w:rPr>
          <w:rStyle w:val="FootnoteReference"/>
          <w:rFonts w:asciiTheme="majorBidi" w:hAnsiTheme="majorBidi" w:cstheme="majorBidi"/>
          <w:sz w:val="24"/>
          <w:szCs w:val="24"/>
        </w:rPr>
        <w:footnoteReference w:id="57"/>
      </w:r>
    </w:p>
    <w:p w14:paraId="186750AF" w14:textId="64FEEA2A" w:rsidR="00AD46AB" w:rsidRPr="00B51544" w:rsidRDefault="00A8607D" w:rsidP="00B51544">
      <w:pPr>
        <w:pStyle w:val="ListParagraph"/>
        <w:spacing w:line="360" w:lineRule="auto"/>
        <w:ind w:left="993" w:firstLine="709"/>
        <w:jc w:val="both"/>
        <w:rPr>
          <w:rFonts w:asciiTheme="majorBidi" w:hAnsiTheme="majorBidi" w:cstheme="majorBidi"/>
          <w:sz w:val="24"/>
          <w:szCs w:val="24"/>
          <w:lang w:val="sv-SE"/>
        </w:rPr>
      </w:pPr>
      <w:r w:rsidRPr="00A8607D">
        <w:rPr>
          <w:rFonts w:asciiTheme="majorBidi" w:hAnsiTheme="majorBidi" w:cstheme="majorBidi"/>
          <w:sz w:val="24"/>
          <w:szCs w:val="24"/>
          <w:lang w:val="sv-SE"/>
        </w:rPr>
        <w:t>FDR adalah rasio likuiditas yang dimiliki oleh Bank Syariah sebagai pengelola. Nilai FDR tidak seharusnya terlalu tinggi maupun terlalu rendah. FDR yang berada pada tingkat yang tepat sesuai dengan ketentuan BI, akan menghasilkan laba bersih. FDR juga dapat menggambarkan seberapa besar pembiayaan yang diberikan kepada nasabah. Standar FDR menurut regulasi Bank Indonesia adalah antara 80% hingga 100%</w:t>
      </w:r>
      <w:r w:rsidR="00825953" w:rsidRPr="00B51544">
        <w:rPr>
          <w:rFonts w:asciiTheme="majorBidi" w:hAnsiTheme="majorBidi" w:cstheme="majorBidi"/>
          <w:sz w:val="24"/>
          <w:szCs w:val="24"/>
          <w:lang w:val="sv-SE"/>
        </w:rPr>
        <w:t>.</w:t>
      </w:r>
      <w:r w:rsidR="00825953" w:rsidRPr="00B51544">
        <w:rPr>
          <w:rStyle w:val="FootnoteReference"/>
          <w:rFonts w:asciiTheme="majorBidi" w:hAnsiTheme="majorBidi" w:cstheme="majorBidi"/>
          <w:sz w:val="24"/>
          <w:szCs w:val="24"/>
        </w:rPr>
        <w:footnoteReference w:id="58"/>
      </w:r>
      <w:r w:rsidR="00825953" w:rsidRPr="00B51544">
        <w:rPr>
          <w:rFonts w:asciiTheme="majorBidi" w:hAnsiTheme="majorBidi" w:cstheme="majorBidi"/>
          <w:sz w:val="24"/>
          <w:szCs w:val="24"/>
          <w:lang w:val="sv-SE"/>
        </w:rPr>
        <w:t xml:space="preserve"> </w:t>
      </w:r>
    </w:p>
    <w:p w14:paraId="6FC9ED8B" w14:textId="1BBF63E0" w:rsidR="00825953"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Rasio FDR merupakan salah satu indikator likuiditas bank atau berbanding terbalik dengan likuiditas, yaitu apabila rasio FDR tinggi (misalnya diatas 100%) maka </w:t>
      </w:r>
      <w:r w:rsidRPr="00B51544">
        <w:rPr>
          <w:rFonts w:asciiTheme="majorBidi" w:hAnsiTheme="majorBidi" w:cstheme="majorBidi"/>
          <w:sz w:val="24"/>
          <w:szCs w:val="24"/>
          <w:lang w:val="sv-SE"/>
        </w:rPr>
        <w:lastRenderedPageBreak/>
        <w:t>pada kondisi yang sama likuiditas bank akan rendah. Oleh karena itu, disamping bank mengalokasikan dananya untuk pembiayaan secara maksimal, disisi lain bank juga harus memperhatikan kebutuhan likuiditasnya.</w:t>
      </w:r>
      <w:r w:rsidRPr="00B51544">
        <w:rPr>
          <w:rStyle w:val="FootnoteReference"/>
          <w:rFonts w:asciiTheme="majorBidi" w:hAnsiTheme="majorBidi" w:cstheme="majorBidi"/>
          <w:sz w:val="24"/>
          <w:szCs w:val="24"/>
        </w:rPr>
        <w:footnoteReference w:id="59"/>
      </w:r>
      <w:r w:rsidRPr="00B51544">
        <w:rPr>
          <w:rFonts w:asciiTheme="majorBidi" w:hAnsiTheme="majorBidi" w:cstheme="majorBidi"/>
          <w:sz w:val="24"/>
          <w:szCs w:val="24"/>
          <w:lang w:val="sv-SE"/>
        </w:rPr>
        <w:t xml:space="preserve"> Untuk mengukur nilai FDR suatu bank dapat dilakukan dengan menggunakan rumus berikut :</w:t>
      </w:r>
    </w:p>
    <w:p w14:paraId="400FF8C2" w14:textId="77777777" w:rsidR="00B574C6" w:rsidRPr="008F3BF6" w:rsidRDefault="00B574C6" w:rsidP="008F3BF6">
      <w:pPr>
        <w:pStyle w:val="ListParagraph"/>
        <w:spacing w:line="360" w:lineRule="auto"/>
        <w:ind w:left="709" w:firstLine="709"/>
        <w:jc w:val="center"/>
        <w:rPr>
          <w:rFonts w:asciiTheme="majorBidi" w:hAnsiTheme="majorBidi" w:cstheme="majorBidi"/>
          <w:sz w:val="24"/>
          <w:szCs w:val="24"/>
          <w:lang w:val="sv-SE"/>
        </w:rPr>
      </w:pPr>
    </w:p>
    <w:p w14:paraId="0B70505B" w14:textId="7377050F" w:rsidR="00EF37BA" w:rsidRDefault="00825953" w:rsidP="00D07956">
      <w:pPr>
        <w:pStyle w:val="ListParagraph"/>
        <w:spacing w:line="360" w:lineRule="auto"/>
        <w:ind w:left="993" w:firstLine="567"/>
        <w:jc w:val="center"/>
        <w:rPr>
          <w:rFonts w:asciiTheme="majorBidi" w:eastAsiaTheme="minorEastAsia" w:hAnsiTheme="majorBidi" w:cstheme="majorBidi"/>
          <w:sz w:val="24"/>
          <w:szCs w:val="24"/>
          <w:lang w:val="sv-SE"/>
        </w:rPr>
      </w:pPr>
      <w:r w:rsidRPr="008F3BF6">
        <w:rPr>
          <w:rFonts w:asciiTheme="majorBidi" w:eastAsiaTheme="minorEastAsia" w:hAnsiTheme="majorBidi" w:cstheme="majorBidi"/>
          <w:sz w:val="24"/>
          <w:szCs w:val="24"/>
          <w:lang w:val="sv-SE"/>
        </w:rPr>
        <w:t xml:space="preserve">FDR = </w:t>
      </w:r>
      <m:oMath>
        <m:f>
          <m:fPr>
            <m:ctrlPr>
              <w:rPr>
                <w:rFonts w:ascii="Cambria Math" w:hAnsi="Cambria Math" w:cstheme="majorBidi"/>
                <w:i/>
                <w:sz w:val="24"/>
                <w:szCs w:val="24"/>
                <w:lang w:val="sv-SE"/>
              </w:rPr>
            </m:ctrlPr>
          </m:fPr>
          <m:num>
            <m:r>
              <w:rPr>
                <w:rFonts w:ascii="Cambria Math" w:hAnsi="Cambria Math" w:cstheme="majorBidi"/>
                <w:sz w:val="24"/>
                <w:szCs w:val="24"/>
                <w:lang w:val="sv-SE"/>
              </w:rPr>
              <m:t>Pembiayaan yang diberikan</m:t>
            </m:r>
          </m:num>
          <m:den>
            <m:r>
              <w:rPr>
                <w:rFonts w:ascii="Cambria Math" w:hAnsi="Cambria Math" w:cstheme="majorBidi"/>
                <w:sz w:val="24"/>
                <w:szCs w:val="24"/>
                <w:lang w:val="sv-SE"/>
              </w:rPr>
              <m:t>Dana Pihak Ketiga</m:t>
            </m:r>
          </m:den>
        </m:f>
      </m:oMath>
      <w:r w:rsidRPr="008F3BF6">
        <w:rPr>
          <w:rFonts w:asciiTheme="majorBidi" w:eastAsiaTheme="minorEastAsia" w:hAnsiTheme="majorBidi" w:cstheme="majorBidi"/>
          <w:sz w:val="24"/>
          <w:szCs w:val="24"/>
          <w:lang w:val="sv-SE"/>
        </w:rPr>
        <w:t xml:space="preserve"> x 100%</w:t>
      </w:r>
      <w:bookmarkStart w:id="39" w:name="_Hlk200564371"/>
    </w:p>
    <w:p w14:paraId="02EBC80C" w14:textId="77777777" w:rsidR="00D07956" w:rsidRDefault="00D07956" w:rsidP="00D07956">
      <w:pPr>
        <w:pStyle w:val="ListParagraph"/>
        <w:spacing w:line="360" w:lineRule="auto"/>
        <w:ind w:left="993" w:firstLine="567"/>
        <w:jc w:val="center"/>
        <w:rPr>
          <w:rFonts w:asciiTheme="majorBidi" w:hAnsiTheme="majorBidi" w:cstheme="majorBidi"/>
          <w:b/>
          <w:bCs/>
          <w:sz w:val="24"/>
          <w:szCs w:val="24"/>
          <w:lang w:val="sv-SE"/>
        </w:rPr>
      </w:pPr>
    </w:p>
    <w:p w14:paraId="727047F8" w14:textId="67775E80" w:rsidR="00D07956" w:rsidRPr="00FF6109" w:rsidRDefault="00D07956" w:rsidP="00A4276F">
      <w:pPr>
        <w:pStyle w:val="Caption"/>
        <w:jc w:val="center"/>
        <w:rPr>
          <w:rFonts w:asciiTheme="majorBidi" w:hAnsiTheme="majorBidi" w:cstheme="majorBidi"/>
          <w:b/>
          <w:bCs/>
          <w:i w:val="0"/>
          <w:iCs w:val="0"/>
          <w:color w:val="auto"/>
          <w:sz w:val="24"/>
          <w:szCs w:val="24"/>
          <w:lang w:val="sv-SE"/>
        </w:rPr>
      </w:pPr>
      <w:bookmarkStart w:id="40" w:name="_Toc200572180"/>
      <w:bookmarkEnd w:id="39"/>
      <w:r w:rsidRPr="00D17A2E">
        <w:rPr>
          <w:rFonts w:asciiTheme="majorBidi" w:hAnsiTheme="majorBidi" w:cstheme="majorBidi"/>
          <w:b/>
          <w:bCs/>
          <w:i w:val="0"/>
          <w:iCs w:val="0"/>
          <w:color w:val="auto"/>
          <w:sz w:val="24"/>
          <w:szCs w:val="24"/>
          <w:lang w:val="sv-SE"/>
        </w:rPr>
        <w:t xml:space="preserve">Tabel 2. </w:t>
      </w:r>
      <w:r w:rsidRPr="00D07956">
        <w:rPr>
          <w:rFonts w:asciiTheme="majorBidi" w:hAnsiTheme="majorBidi" w:cstheme="majorBidi"/>
          <w:b/>
          <w:bCs/>
          <w:i w:val="0"/>
          <w:iCs w:val="0"/>
          <w:color w:val="auto"/>
          <w:sz w:val="24"/>
          <w:szCs w:val="24"/>
        </w:rPr>
        <w:fldChar w:fldCharType="begin"/>
      </w:r>
      <w:r w:rsidRPr="00D17A2E">
        <w:rPr>
          <w:rFonts w:asciiTheme="majorBidi" w:hAnsiTheme="majorBidi" w:cstheme="majorBidi"/>
          <w:b/>
          <w:bCs/>
          <w:i w:val="0"/>
          <w:iCs w:val="0"/>
          <w:color w:val="auto"/>
          <w:sz w:val="24"/>
          <w:szCs w:val="24"/>
          <w:lang w:val="sv-SE"/>
        </w:rPr>
        <w:instrText xml:space="preserve"> SEQ Tabel_2. \* ARABIC </w:instrText>
      </w:r>
      <w:r w:rsidRPr="00D07956">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2</w:t>
      </w:r>
      <w:r w:rsidRPr="00D07956">
        <w:rPr>
          <w:rFonts w:asciiTheme="majorBidi" w:hAnsiTheme="majorBidi" w:cstheme="majorBidi"/>
          <w:b/>
          <w:bCs/>
          <w:i w:val="0"/>
          <w:iCs w:val="0"/>
          <w:color w:val="auto"/>
          <w:sz w:val="24"/>
          <w:szCs w:val="24"/>
        </w:rPr>
        <w:fldChar w:fldCharType="end"/>
      </w:r>
      <w:r w:rsidRPr="00FF6109">
        <w:rPr>
          <w:rFonts w:asciiTheme="majorBidi" w:hAnsiTheme="majorBidi" w:cstheme="majorBidi"/>
          <w:b/>
          <w:bCs/>
          <w:i w:val="0"/>
          <w:iCs w:val="0"/>
          <w:color w:val="auto"/>
          <w:sz w:val="24"/>
          <w:szCs w:val="24"/>
          <w:lang w:val="sv-SE"/>
        </w:rPr>
        <w:t xml:space="preserve"> </w:t>
      </w:r>
      <w:r w:rsidRPr="00FF6109">
        <w:rPr>
          <w:rFonts w:asciiTheme="majorBidi" w:hAnsiTheme="majorBidi" w:cstheme="majorBidi"/>
          <w:b/>
          <w:bCs/>
          <w:i w:val="0"/>
          <w:iCs w:val="0"/>
          <w:color w:val="auto"/>
          <w:sz w:val="24"/>
          <w:szCs w:val="24"/>
          <w:lang w:val="sv-SE"/>
        </w:rPr>
        <w:br/>
        <w:t>Data Financing To Deposit Ratio (FDR)</w:t>
      </w:r>
      <w:r w:rsidR="00810BD8" w:rsidRPr="00FF6109">
        <w:rPr>
          <w:rFonts w:asciiTheme="majorBidi" w:hAnsiTheme="majorBidi" w:cstheme="majorBidi"/>
          <w:b/>
          <w:bCs/>
          <w:i w:val="0"/>
          <w:iCs w:val="0"/>
          <w:color w:val="auto"/>
          <w:sz w:val="24"/>
          <w:szCs w:val="24"/>
          <w:lang w:val="sv-SE"/>
        </w:rPr>
        <w:br/>
      </w:r>
      <w:r w:rsidRPr="00FF6109">
        <w:rPr>
          <w:rFonts w:asciiTheme="majorBidi" w:hAnsiTheme="majorBidi" w:cstheme="majorBidi"/>
          <w:b/>
          <w:bCs/>
          <w:i w:val="0"/>
          <w:iCs w:val="0"/>
          <w:color w:val="auto"/>
          <w:sz w:val="24"/>
          <w:szCs w:val="24"/>
          <w:lang w:val="sv-SE"/>
        </w:rPr>
        <w:t>Bank Muamalat Indonesia Periode 2017 – 2024</w:t>
      </w:r>
      <w:bookmarkEnd w:id="40"/>
    </w:p>
    <w:p w14:paraId="29D8DDD6" w14:textId="75E3D6E2" w:rsidR="00687A52" w:rsidRPr="00D17A2E" w:rsidRDefault="00A4276F" w:rsidP="00B51544">
      <w:pPr>
        <w:spacing w:line="360" w:lineRule="auto"/>
        <w:jc w:val="both"/>
        <w:rPr>
          <w:rFonts w:asciiTheme="majorBidi" w:hAnsiTheme="majorBidi" w:cstheme="majorBidi"/>
          <w:sz w:val="24"/>
          <w:szCs w:val="24"/>
          <w:lang w:val="sv-SE"/>
        </w:rPr>
      </w:pPr>
      <w:r w:rsidRPr="00810BD8">
        <w:rPr>
          <w:noProof/>
        </w:rPr>
        <w:drawing>
          <wp:anchor distT="0" distB="0" distL="114300" distR="114300" simplePos="0" relativeHeight="251793408" behindDoc="0" locked="0" layoutInCell="1" allowOverlap="1" wp14:anchorId="0E7A3852" wp14:editId="1BD422AC">
            <wp:simplePos x="0" y="0"/>
            <wp:positionH relativeFrom="column">
              <wp:posOffset>280670</wp:posOffset>
            </wp:positionH>
            <wp:positionV relativeFrom="paragraph">
              <wp:posOffset>270510</wp:posOffset>
            </wp:positionV>
            <wp:extent cx="5886450" cy="1333500"/>
            <wp:effectExtent l="0" t="0" r="0" b="0"/>
            <wp:wrapSquare wrapText="bothSides"/>
            <wp:docPr id="66076562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6450" cy="1333500"/>
                    </a:xfrm>
                    <a:prstGeom prst="rect">
                      <a:avLst/>
                    </a:prstGeom>
                    <a:noFill/>
                    <a:ln>
                      <a:noFill/>
                    </a:ln>
                  </pic:spPr>
                </pic:pic>
              </a:graphicData>
            </a:graphic>
            <wp14:sizeRelV relativeFrom="margin">
              <wp14:pctHeight>0</wp14:pctHeight>
            </wp14:sizeRelV>
          </wp:anchor>
        </w:drawing>
      </w:r>
    </w:p>
    <w:p w14:paraId="0ABB399E" w14:textId="6EA883CD" w:rsidR="00386FBE" w:rsidRPr="00D17A2E" w:rsidRDefault="00A4276F" w:rsidP="00810BD8">
      <w:pPr>
        <w:spacing w:line="360" w:lineRule="auto"/>
        <w:jc w:val="both"/>
        <w:rPr>
          <w:rFonts w:asciiTheme="majorBidi" w:hAnsiTheme="majorBidi" w:cstheme="majorBidi"/>
          <w:sz w:val="24"/>
          <w:szCs w:val="24"/>
          <w:lang w:val="sv-SE"/>
        </w:rPr>
      </w:pPr>
      <w:r w:rsidRPr="00B51544">
        <w:rPr>
          <w:rFonts w:asciiTheme="majorBidi" w:hAnsiTheme="majorBidi" w:cstheme="majorBidi"/>
          <w:b/>
          <w:bCs/>
          <w:noProof/>
          <w:sz w:val="24"/>
          <w:szCs w:val="24"/>
        </w:rPr>
        <mc:AlternateContent>
          <mc:Choice Requires="wps">
            <w:drawing>
              <wp:anchor distT="0" distB="0" distL="114300" distR="114300" simplePos="0" relativeHeight="251703296" behindDoc="0" locked="0" layoutInCell="1" allowOverlap="1" wp14:anchorId="722DFBA9" wp14:editId="3B1E19E3">
                <wp:simplePos x="0" y="0"/>
                <wp:positionH relativeFrom="column">
                  <wp:posOffset>400050</wp:posOffset>
                </wp:positionH>
                <wp:positionV relativeFrom="paragraph">
                  <wp:posOffset>1237615</wp:posOffset>
                </wp:positionV>
                <wp:extent cx="3667125" cy="304800"/>
                <wp:effectExtent l="0" t="0" r="0" b="0"/>
                <wp:wrapNone/>
                <wp:docPr id="195457311" name="Text Box 10"/>
                <wp:cNvGraphicFramePr/>
                <a:graphic xmlns:a="http://schemas.openxmlformats.org/drawingml/2006/main">
                  <a:graphicData uri="http://schemas.microsoft.com/office/word/2010/wordprocessingShape">
                    <wps:wsp>
                      <wps:cNvSpPr txBox="1"/>
                      <wps:spPr>
                        <a:xfrm>
                          <a:off x="0" y="0"/>
                          <a:ext cx="36671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863BD8" w14:textId="77777777" w:rsidR="003000B4" w:rsidRPr="00F40ABE" w:rsidRDefault="003000B4" w:rsidP="003000B4">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DFBA9" id="_x0000_s1030" type="#_x0000_t202" style="position:absolute;left:0;text-align:left;margin-left:31.5pt;margin-top:97.45pt;width:288.75pt;height:2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" filled="f" stroked="f">
                <v:textbox>
                  <w:txbxContent>
                    <w:p w14:paraId="60863BD8" w14:textId="77777777" w:rsidR="003000B4" w:rsidRPr="00F40ABE" w:rsidRDefault="003000B4" w:rsidP="003000B4">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v:textbox>
              </v:shape>
            </w:pict>
          </mc:Fallback>
        </mc:AlternateContent>
      </w:r>
    </w:p>
    <w:p w14:paraId="08A3DC66" w14:textId="10AD97E2" w:rsidR="00B2771C" w:rsidRDefault="00B2771C" w:rsidP="00A4276F">
      <w:pPr>
        <w:spacing w:after="0" w:line="360" w:lineRule="auto"/>
        <w:ind w:left="993" w:firstLine="708"/>
        <w:jc w:val="both"/>
        <w:rPr>
          <w:rFonts w:asciiTheme="majorBidi" w:hAnsiTheme="majorBidi" w:cstheme="majorBidi"/>
          <w:sz w:val="24"/>
          <w:szCs w:val="24"/>
          <w:lang w:val="sv-SE"/>
        </w:rPr>
      </w:pPr>
      <w:r w:rsidRPr="00B2771C">
        <w:rPr>
          <w:rFonts w:asciiTheme="majorBidi" w:hAnsiTheme="majorBidi" w:cstheme="majorBidi"/>
          <w:sz w:val="24"/>
          <w:szCs w:val="24"/>
          <w:lang w:val="sv-SE"/>
        </w:rPr>
        <w:t>Pada tabel 2. 2 di atas, terlihat perubahan tingkat FDR yang bervariasi dari tahun 2017 sampai 2024. FDR tertinggi tercatat pada triwulan I tahun 2017 dengan nilai 90,93%, sedangkan nilai FDR terendah tercatat pada triwulan IV tahun 2021 sebesar 38,33%.</w:t>
      </w:r>
    </w:p>
    <w:p w14:paraId="1B97DB69" w14:textId="1B58B233" w:rsidR="00B2771C" w:rsidRPr="00B51544" w:rsidRDefault="00B2771C" w:rsidP="00A4276F">
      <w:pPr>
        <w:spacing w:after="0" w:line="360" w:lineRule="auto"/>
        <w:ind w:left="993" w:firstLine="708"/>
        <w:jc w:val="both"/>
        <w:rPr>
          <w:rFonts w:asciiTheme="majorBidi" w:hAnsiTheme="majorBidi" w:cstheme="majorBidi"/>
          <w:sz w:val="24"/>
          <w:szCs w:val="24"/>
          <w:lang w:val="sv-SE"/>
        </w:rPr>
      </w:pPr>
      <w:r w:rsidRPr="00B2771C">
        <w:rPr>
          <w:rFonts w:asciiTheme="majorBidi" w:hAnsiTheme="majorBidi" w:cstheme="majorBidi"/>
          <w:sz w:val="24"/>
          <w:szCs w:val="24"/>
          <w:lang w:val="sv-SE"/>
        </w:rPr>
        <w:t>Standar yang ditentukan oleh Bank Indonesia untuk FDR berkisar antara 69% hingga 110%. Jika rasio berada di bawah 69% (misalnya 38%), maka bank hanya bisa menyalurkan 38% dari total dana yang telah dihimpun. Dalam hal ini, rasio FDR sebesar 38% menunjukkan bahwa 62% dari total dana tidak dialokasikan kepada pihak yang memerlukan, sehingga bank tidak dapat menjalankan tugasnya dengan baik. Di sisi lain, apabila FDR melebihi 110%, ini menunjukkan bahwa total pembiayaan sudah melampaui jumlah dana yang terkumpul. FDR yang tinggi menunjukkan bahwa dana pihak ketiga (DPK) tidak memadai untuk memenuhi kebutuhan pembiayaan yang diberikan.</w:t>
      </w:r>
    </w:p>
    <w:p w14:paraId="68B1DC02" w14:textId="183EB022" w:rsidR="00825953" w:rsidRPr="00A4276F" w:rsidRDefault="00AD46AB" w:rsidP="00B51544">
      <w:pPr>
        <w:pStyle w:val="Heading3"/>
        <w:spacing w:line="360" w:lineRule="auto"/>
        <w:ind w:left="426"/>
        <w:jc w:val="both"/>
        <w:rPr>
          <w:rFonts w:asciiTheme="majorBidi" w:hAnsiTheme="majorBidi"/>
          <w:color w:val="auto"/>
          <w:sz w:val="24"/>
          <w:szCs w:val="24"/>
          <w:lang w:val="sv-SE"/>
        </w:rPr>
      </w:pPr>
      <w:bookmarkStart w:id="41" w:name="_Toc201063312"/>
      <w:r w:rsidRPr="00A4276F">
        <w:rPr>
          <w:rFonts w:asciiTheme="majorBidi" w:hAnsiTheme="majorBidi"/>
          <w:color w:val="auto"/>
          <w:sz w:val="24"/>
          <w:szCs w:val="24"/>
          <w:lang w:val="sv-SE"/>
        </w:rPr>
        <w:lastRenderedPageBreak/>
        <w:t>2.</w:t>
      </w:r>
      <w:r w:rsidR="00B8380C" w:rsidRPr="00A4276F">
        <w:rPr>
          <w:rFonts w:asciiTheme="majorBidi" w:hAnsiTheme="majorBidi"/>
          <w:color w:val="auto"/>
          <w:sz w:val="24"/>
          <w:szCs w:val="24"/>
          <w:lang w:val="sv-SE"/>
        </w:rPr>
        <w:t>3</w:t>
      </w:r>
      <w:r w:rsidRPr="00A4276F">
        <w:rPr>
          <w:rFonts w:asciiTheme="majorBidi" w:hAnsiTheme="majorBidi"/>
          <w:color w:val="auto"/>
          <w:sz w:val="24"/>
          <w:szCs w:val="24"/>
          <w:lang w:val="sv-SE"/>
        </w:rPr>
        <w:t xml:space="preserve">.2 </w:t>
      </w:r>
      <w:r w:rsidR="00825953" w:rsidRPr="00A4276F">
        <w:rPr>
          <w:rFonts w:asciiTheme="majorBidi" w:hAnsiTheme="majorBidi"/>
          <w:color w:val="auto"/>
          <w:sz w:val="24"/>
          <w:szCs w:val="24"/>
          <w:lang w:val="sv-SE"/>
        </w:rPr>
        <w:t>Landasan Hukum Risiko Likuiditas</w:t>
      </w:r>
      <w:bookmarkEnd w:id="41"/>
    </w:p>
    <w:p w14:paraId="0A521903" w14:textId="77777777" w:rsidR="00825953" w:rsidRPr="00B51544" w:rsidRDefault="00825953" w:rsidP="00B51544">
      <w:pPr>
        <w:pStyle w:val="ListParagraph"/>
        <w:spacing w:line="360" w:lineRule="auto"/>
        <w:ind w:left="993" w:firstLine="709"/>
        <w:jc w:val="both"/>
        <w:rPr>
          <w:rFonts w:asciiTheme="majorBidi" w:hAnsiTheme="majorBidi" w:cstheme="majorBidi"/>
          <w:b/>
          <w:bCs/>
          <w:sz w:val="24"/>
          <w:szCs w:val="24"/>
          <w:lang w:val="sv-SE"/>
        </w:rPr>
      </w:pPr>
      <w:r w:rsidRPr="00B51544">
        <w:rPr>
          <w:rFonts w:asciiTheme="majorBidi" w:hAnsiTheme="majorBidi" w:cstheme="majorBidi"/>
          <w:sz w:val="24"/>
          <w:szCs w:val="24"/>
          <w:lang w:val="sv-SE"/>
        </w:rPr>
        <w:t>Likuiditas Bank itu adalah berkaitan dengan Bank yang harus memenuhi kewajibannya dan memastikan bahwa bank sewaktu-waktu dapat membayar hutang-hutang jangka pendek yang harus segera dilunasi tepat pada waktunya. Hal ini sesuai dengan Firman Allah dalam Al-Qur’an Surah  Al-Hadid ayat 4 :</w:t>
      </w:r>
    </w:p>
    <w:p w14:paraId="0A964B3B" w14:textId="77777777" w:rsidR="00825953" w:rsidRPr="00B51544" w:rsidRDefault="00825953" w:rsidP="008F3BF6">
      <w:pPr>
        <w:pStyle w:val="ListParagraph"/>
        <w:spacing w:line="360" w:lineRule="auto"/>
        <w:jc w:val="right"/>
        <w:rPr>
          <w:rFonts w:asciiTheme="majorBidi" w:hAnsiTheme="majorBidi" w:cstheme="majorBidi"/>
          <w:sz w:val="24"/>
          <w:szCs w:val="24"/>
          <w:lang w:val="sv-SE"/>
        </w:rPr>
      </w:pPr>
    </w:p>
    <w:p w14:paraId="42D0C052" w14:textId="77777777" w:rsidR="00825953" w:rsidRPr="00A4276F" w:rsidRDefault="00825953" w:rsidP="008F3BF6">
      <w:pPr>
        <w:pStyle w:val="ListParagraph"/>
        <w:spacing w:line="360" w:lineRule="auto"/>
        <w:jc w:val="right"/>
        <w:rPr>
          <w:rFonts w:ascii="Simplified Arabic" w:hAnsi="Simplified Arabic" w:cs="Simplified Arabic"/>
          <w:sz w:val="28"/>
          <w:szCs w:val="28"/>
          <w:lang w:val="sv-SE"/>
        </w:rPr>
      </w:pPr>
      <w:r w:rsidRPr="00A4276F">
        <w:rPr>
          <w:rFonts w:ascii="Simplified Arabic" w:hAnsi="Simplified Arabic" w:cs="Simplified Arabic"/>
          <w:sz w:val="28"/>
          <w:szCs w:val="28"/>
          <w:rtl/>
          <w:lang w:val="sv-SE"/>
        </w:rPr>
        <w:t>هُوَ الَّذِيْ خَلَقَ السَّمٰوٰتِ وَالْاَرْضَ فِيْ سِتَّةِ اَيَّامٍ ثُمَّ اسْتَوٰى عَلَى الْعَرْشِۚ يَعْلَمُ مَا يَلِجُ فِى الْاَرْضِ وَمَا يَخْرُجُ مِنْهَا وَمَا يَنْزِلُ مِنَ السَّمَاۤءِ وَمَا يَعْرُجُ فِيْهَاۗ وَهُوَ مَعَكُمْ اَيْنَ مَا كُنْتُمْۗ وَاللّٰهُ بِمَا تَعْمَلُوْنَ بَصِيْرٌۗ</w:t>
      </w:r>
    </w:p>
    <w:p w14:paraId="5D6ED1DE" w14:textId="77777777" w:rsidR="00825953" w:rsidRPr="00B51544" w:rsidRDefault="00825953" w:rsidP="00B51544">
      <w:pPr>
        <w:pStyle w:val="ListParagraph"/>
        <w:spacing w:line="360" w:lineRule="auto"/>
        <w:jc w:val="both"/>
        <w:rPr>
          <w:rFonts w:asciiTheme="majorBidi" w:hAnsiTheme="majorBidi" w:cstheme="majorBidi"/>
          <w:sz w:val="24"/>
          <w:szCs w:val="24"/>
          <w:lang w:val="sv-SE"/>
        </w:rPr>
      </w:pPr>
    </w:p>
    <w:p w14:paraId="016C6AFC" w14:textId="77777777" w:rsidR="00AD46AB" w:rsidRPr="00A4276F" w:rsidRDefault="00825953" w:rsidP="00A4276F">
      <w:pPr>
        <w:pStyle w:val="ListParagraph"/>
        <w:spacing w:line="240" w:lineRule="auto"/>
        <w:ind w:left="993" w:firstLine="709"/>
        <w:jc w:val="both"/>
        <w:rPr>
          <w:rFonts w:asciiTheme="majorBidi" w:hAnsiTheme="majorBidi" w:cstheme="majorBidi"/>
          <w:i/>
          <w:iCs/>
          <w:sz w:val="24"/>
          <w:szCs w:val="24"/>
          <w:lang w:val="sv-SE"/>
        </w:rPr>
      </w:pPr>
      <w:r w:rsidRPr="00A4276F">
        <w:rPr>
          <w:rFonts w:asciiTheme="majorBidi" w:hAnsiTheme="majorBidi" w:cstheme="majorBidi"/>
          <w:i/>
          <w:iCs/>
          <w:sz w:val="24"/>
          <w:szCs w:val="24"/>
          <w:lang w:val="sv-SE"/>
        </w:rPr>
        <w:t>Artinya : ”Dialah yang menciptakan langit dan bumi dalam enam masa. Kemudian, Dia berkuasa atas ʻArasy. Dia mengetahui apa yang masuk ke dalam bumi dan apa yang keluar darinya serta apa yang turun dari langit dan apa yang naik ke sana. Dia bersamamu di mana saja kamu berada. Allah Maha Melihat apa yang kamu kerjakan”.</w:t>
      </w:r>
      <w:r w:rsidRPr="00A4276F">
        <w:rPr>
          <w:rStyle w:val="FootnoteReference"/>
          <w:rFonts w:asciiTheme="majorBidi" w:hAnsiTheme="majorBidi" w:cstheme="majorBidi"/>
          <w:i/>
          <w:iCs/>
          <w:sz w:val="24"/>
          <w:szCs w:val="24"/>
        </w:rPr>
        <w:footnoteReference w:id="60"/>
      </w:r>
    </w:p>
    <w:p w14:paraId="72E21B32" w14:textId="025491DD" w:rsidR="00825953" w:rsidRPr="00B51544" w:rsidRDefault="0082595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Meskipun ayat diatas tidak menjelaskan secara langsung mengenai Bank yang harus memenuhi kewajibannya, tetapi secara bahasa ayat tersebut sekilas menjelaskan tentang kewajiban Bank untuk bertanggungjawab membayar hutangnya, mengembalikan dana deposan, dan memenuhi kebutuhan pembiayaan atau kredit tanpa penundaan, dapat dianggap bahwa bank tersebut ialah bank likuid. Karena pendapatan otomatis meningkat dan keuntungan juga meningkat.</w:t>
      </w:r>
    </w:p>
    <w:p w14:paraId="4DACAC78" w14:textId="3A45F3A4" w:rsidR="006C7242" w:rsidRPr="00B51544" w:rsidRDefault="00DB7CC6" w:rsidP="00B51544">
      <w:pPr>
        <w:pStyle w:val="Heading3"/>
        <w:spacing w:line="360" w:lineRule="auto"/>
        <w:ind w:left="426"/>
        <w:jc w:val="both"/>
        <w:rPr>
          <w:rFonts w:asciiTheme="majorBidi" w:hAnsiTheme="majorBidi"/>
          <w:b/>
          <w:bCs/>
          <w:color w:val="auto"/>
          <w:sz w:val="24"/>
          <w:szCs w:val="24"/>
          <w:lang w:val="sv-SE"/>
        </w:rPr>
      </w:pPr>
      <w:bookmarkStart w:id="42" w:name="_Toc201063313"/>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3</w:t>
      </w:r>
      <w:r w:rsidRPr="00B51544">
        <w:rPr>
          <w:rFonts w:asciiTheme="majorBidi" w:hAnsiTheme="majorBidi"/>
          <w:b/>
          <w:bCs/>
          <w:color w:val="auto"/>
          <w:sz w:val="24"/>
          <w:szCs w:val="24"/>
          <w:lang w:val="sv-SE"/>
        </w:rPr>
        <w:t>.3 Hipotesis Penelitian</w:t>
      </w:r>
      <w:bookmarkEnd w:id="42"/>
    </w:p>
    <w:p w14:paraId="0BDCE88C" w14:textId="00B6B010" w:rsidR="001114A2" w:rsidRPr="00B51544" w:rsidRDefault="00B2771C" w:rsidP="00E17038">
      <w:pPr>
        <w:pStyle w:val="ListParagraph"/>
        <w:spacing w:after="0" w:line="360" w:lineRule="auto"/>
        <w:ind w:left="993" w:firstLine="708"/>
        <w:jc w:val="both"/>
        <w:rPr>
          <w:rFonts w:asciiTheme="majorBidi" w:hAnsiTheme="majorBidi" w:cstheme="majorBidi"/>
          <w:sz w:val="24"/>
          <w:szCs w:val="24"/>
          <w:lang w:val="sv-SE"/>
        </w:rPr>
      </w:pPr>
      <w:r w:rsidRPr="00B2771C">
        <w:rPr>
          <w:rFonts w:asciiTheme="majorBidi" w:hAnsiTheme="majorBidi" w:cstheme="majorBidi"/>
          <w:sz w:val="24"/>
          <w:szCs w:val="24"/>
          <w:lang w:val="sv-SE"/>
        </w:rPr>
        <w:t>Likuiditas menunjukkan sejauh mana bank dapat memenuhi penarikan dana dari simpanan dan kewajiban lainnya dengan cepat serta memiliki potensi likuiditas yang cukup ketika mampu mendapatkan dana yang diperlukan (dengan menambah kewajiban, menjaminkan, atau menjual aset) secara cepat dan dengan biaya yang wajar</w:t>
      </w:r>
      <w:r w:rsidR="001114A2" w:rsidRPr="00B51544">
        <w:rPr>
          <w:rFonts w:asciiTheme="majorBidi" w:hAnsiTheme="majorBidi" w:cstheme="majorBidi"/>
          <w:sz w:val="24"/>
          <w:szCs w:val="24"/>
          <w:lang w:val="sv-SE"/>
        </w:rPr>
        <w:t>.</w:t>
      </w:r>
      <w:r w:rsidR="001114A2" w:rsidRPr="00B51544">
        <w:rPr>
          <w:rStyle w:val="FootnoteReference"/>
          <w:rFonts w:asciiTheme="majorBidi" w:hAnsiTheme="majorBidi" w:cstheme="majorBidi"/>
          <w:sz w:val="24"/>
          <w:szCs w:val="24"/>
          <w:lang w:val="sv-SE"/>
        </w:rPr>
        <w:footnoteReference w:id="61"/>
      </w:r>
    </w:p>
    <w:p w14:paraId="34D1EF25" w14:textId="4BE88407" w:rsidR="001114A2" w:rsidRPr="00B51544" w:rsidRDefault="00B2771C" w:rsidP="00E17038">
      <w:pPr>
        <w:pStyle w:val="ListParagraph"/>
        <w:spacing w:after="0" w:line="360" w:lineRule="auto"/>
        <w:ind w:left="993" w:firstLine="708"/>
        <w:jc w:val="both"/>
        <w:rPr>
          <w:rFonts w:asciiTheme="majorBidi" w:hAnsiTheme="majorBidi" w:cstheme="majorBidi"/>
          <w:sz w:val="24"/>
          <w:szCs w:val="24"/>
          <w:lang w:val="sv-SE"/>
        </w:rPr>
      </w:pPr>
      <w:r w:rsidRPr="00B2771C">
        <w:rPr>
          <w:rFonts w:asciiTheme="majorBidi" w:hAnsiTheme="majorBidi" w:cstheme="majorBidi"/>
          <w:sz w:val="24"/>
          <w:szCs w:val="24"/>
          <w:lang w:val="sv-SE"/>
        </w:rPr>
        <w:t xml:space="preserve">Ketika tingkat Risiko Likuiditas (FDR) tinggi, ini menunjukkan bahwa kapasitas likuiditas bank itu rendah. FDR yang tinggi menunjukkan bahwa dana pihak ketiga (DPK) tidak cukup untuk menutupi pembiayaan yang diberikan. Hal ini membuat nasabah berpikir dua kali untuk menyimpan uang mereka di bank tersebut dan lebih cenderung untuk menarik dananya, karena mereka ingin menghindari kemungkinan </w:t>
      </w:r>
      <w:r w:rsidRPr="00B2771C">
        <w:rPr>
          <w:rFonts w:asciiTheme="majorBidi" w:hAnsiTheme="majorBidi" w:cstheme="majorBidi"/>
          <w:sz w:val="24"/>
          <w:szCs w:val="24"/>
          <w:lang w:val="sv-SE"/>
        </w:rPr>
        <w:lastRenderedPageBreak/>
        <w:t>risiko likuiditas yang dapat dialami oleh bank. Oleh karena itu, ada anggapan bahwa kekhawatiran masyarakat terhadap risiko likuiditas akan menyebabkan penurunan jumlah deposito mudharabah jika rasio FDR meningkat. Jadi, bisa disimpulkan bahwa Risiko Likuiditas (FDR) memiliki dampak negatif terhadap deposito mudharabah.</w:t>
      </w:r>
    </w:p>
    <w:p w14:paraId="74D01F54" w14:textId="2F853DB2" w:rsidR="001114A2" w:rsidRPr="00B51544" w:rsidRDefault="001114A2" w:rsidP="00B51544">
      <w:pPr>
        <w:pStyle w:val="ListParagraph"/>
        <w:spacing w:line="360" w:lineRule="auto"/>
        <w:ind w:left="993" w:firstLine="708"/>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Berdasarkan </w:t>
      </w:r>
      <w:r w:rsidR="00BD6EF0" w:rsidRPr="00B51544">
        <w:rPr>
          <w:rFonts w:asciiTheme="majorBidi" w:hAnsiTheme="majorBidi" w:cstheme="majorBidi"/>
          <w:sz w:val="24"/>
          <w:szCs w:val="24"/>
          <w:lang w:val="sv-SE"/>
        </w:rPr>
        <w:t xml:space="preserve">penjelasan diatas bahwa hipotesis yang akan dipilih risiko likuiditas berpengaruh </w:t>
      </w:r>
      <w:r w:rsidR="00996ECE">
        <w:rPr>
          <w:rFonts w:asciiTheme="majorBidi" w:hAnsiTheme="majorBidi" w:cstheme="majorBidi"/>
          <w:sz w:val="24"/>
          <w:szCs w:val="24"/>
          <w:lang w:val="sv-SE"/>
        </w:rPr>
        <w:t>negatif</w:t>
      </w:r>
      <w:r w:rsidR="00D414A5" w:rsidRPr="00B51544">
        <w:rPr>
          <w:rFonts w:asciiTheme="majorBidi" w:hAnsiTheme="majorBidi" w:cstheme="majorBidi"/>
          <w:sz w:val="24"/>
          <w:szCs w:val="24"/>
          <w:lang w:val="sv-SE"/>
        </w:rPr>
        <w:t xml:space="preserve">. Hal ini didukung oleh </w:t>
      </w:r>
      <w:r w:rsidRPr="00B51544">
        <w:rPr>
          <w:rFonts w:asciiTheme="majorBidi" w:hAnsiTheme="majorBidi" w:cstheme="majorBidi"/>
          <w:sz w:val="24"/>
          <w:szCs w:val="24"/>
          <w:lang w:val="sv-SE"/>
        </w:rPr>
        <w:t xml:space="preserve">penelitian yang dilakukan oleh </w:t>
      </w:r>
      <w:r w:rsidR="00996ECE">
        <w:rPr>
          <w:rFonts w:asciiTheme="majorBidi" w:hAnsiTheme="majorBidi" w:cstheme="majorBidi"/>
          <w:sz w:val="24"/>
          <w:szCs w:val="24"/>
          <w:lang w:val="sv-SE"/>
        </w:rPr>
        <w:t xml:space="preserve">Firda Izzati Febriani </w:t>
      </w:r>
      <w:r w:rsidRPr="00B51544">
        <w:rPr>
          <w:rFonts w:asciiTheme="majorBidi" w:hAnsiTheme="majorBidi" w:cstheme="majorBidi"/>
          <w:sz w:val="24"/>
          <w:szCs w:val="24"/>
          <w:lang w:val="sv-SE"/>
        </w:rPr>
        <w:t xml:space="preserve">menunjukkan bahwa risiko likuiditas berpengaruh </w:t>
      </w:r>
      <w:r w:rsidR="00996ECE">
        <w:rPr>
          <w:rFonts w:asciiTheme="majorBidi" w:hAnsiTheme="majorBidi" w:cstheme="majorBidi"/>
          <w:sz w:val="24"/>
          <w:szCs w:val="24"/>
          <w:lang w:val="sv-SE"/>
        </w:rPr>
        <w:t>negatif</w:t>
      </w:r>
      <w:r w:rsidRPr="00B51544">
        <w:rPr>
          <w:rFonts w:asciiTheme="majorBidi" w:hAnsiTheme="majorBidi" w:cstheme="majorBidi"/>
          <w:sz w:val="24"/>
          <w:szCs w:val="24"/>
          <w:lang w:val="sv-SE"/>
        </w:rPr>
        <w:t xml:space="preserve"> signifikan terhadap deposito mudharabah.</w:t>
      </w:r>
      <w:r w:rsidRPr="00B51544">
        <w:rPr>
          <w:rStyle w:val="FootnoteReference"/>
          <w:rFonts w:asciiTheme="majorBidi" w:hAnsiTheme="majorBidi" w:cstheme="majorBidi"/>
          <w:sz w:val="24"/>
          <w:szCs w:val="24"/>
          <w:lang w:val="sv-SE"/>
        </w:rPr>
        <w:footnoteReference w:id="62"/>
      </w:r>
      <w:r w:rsidRPr="00B51544">
        <w:rPr>
          <w:rFonts w:asciiTheme="majorBidi" w:hAnsiTheme="majorBidi" w:cstheme="majorBidi"/>
          <w:sz w:val="24"/>
          <w:szCs w:val="24"/>
          <w:lang w:val="sv-SE"/>
        </w:rPr>
        <w:t xml:space="preserve"> Maka hipotesis risiko likuiditas sebagai berikut : </w:t>
      </w:r>
    </w:p>
    <w:p w14:paraId="745942FF" w14:textId="1833BA5D" w:rsidR="001114A2" w:rsidRPr="00B665A8" w:rsidRDefault="001114A2" w:rsidP="00B51544">
      <w:pPr>
        <w:pStyle w:val="ListParagraph"/>
        <w:spacing w:line="360" w:lineRule="auto"/>
        <w:ind w:left="993" w:firstLine="708"/>
        <w:jc w:val="both"/>
        <w:rPr>
          <w:rFonts w:asciiTheme="majorBidi" w:hAnsiTheme="majorBidi" w:cstheme="majorBidi"/>
          <w:b/>
          <w:bCs/>
          <w:sz w:val="24"/>
          <w:szCs w:val="24"/>
          <w:lang w:val="sv-SE"/>
        </w:rPr>
      </w:pPr>
      <w:r w:rsidRPr="00B665A8">
        <w:rPr>
          <w:rFonts w:asciiTheme="majorBidi" w:hAnsiTheme="majorBidi" w:cstheme="majorBidi"/>
          <w:b/>
          <w:bCs/>
          <w:sz w:val="24"/>
          <w:szCs w:val="24"/>
          <w:lang w:val="sv-SE"/>
        </w:rPr>
        <w:t xml:space="preserve">H2 : Risiko Likuiditas berpengaruh </w:t>
      </w:r>
      <w:r w:rsidR="00996ECE" w:rsidRPr="00B665A8">
        <w:rPr>
          <w:rFonts w:asciiTheme="majorBidi" w:hAnsiTheme="majorBidi" w:cstheme="majorBidi"/>
          <w:b/>
          <w:bCs/>
          <w:sz w:val="24"/>
          <w:szCs w:val="24"/>
          <w:lang w:val="sv-SE"/>
        </w:rPr>
        <w:t>negatif</w:t>
      </w:r>
      <w:r w:rsidRPr="00B665A8">
        <w:rPr>
          <w:rFonts w:asciiTheme="majorBidi" w:hAnsiTheme="majorBidi" w:cstheme="majorBidi"/>
          <w:b/>
          <w:bCs/>
          <w:sz w:val="24"/>
          <w:szCs w:val="24"/>
          <w:lang w:val="sv-SE"/>
        </w:rPr>
        <w:t xml:space="preserve"> signifikan terhadap deposito mudharabah</w:t>
      </w:r>
    </w:p>
    <w:p w14:paraId="6B4B67A4" w14:textId="47CC8694" w:rsidR="00BC5A82" w:rsidRPr="00B51544" w:rsidRDefault="00AD46AB" w:rsidP="00B51544">
      <w:pPr>
        <w:pStyle w:val="Heading2"/>
        <w:spacing w:line="360" w:lineRule="auto"/>
        <w:jc w:val="both"/>
        <w:rPr>
          <w:rFonts w:asciiTheme="majorBidi" w:hAnsiTheme="majorBidi"/>
          <w:b/>
          <w:bCs/>
          <w:color w:val="auto"/>
          <w:sz w:val="24"/>
          <w:szCs w:val="24"/>
          <w:lang w:val="sv-SE"/>
        </w:rPr>
      </w:pPr>
      <w:bookmarkStart w:id="43" w:name="_Toc201063314"/>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4</w:t>
      </w:r>
      <w:r w:rsidRPr="00B51544">
        <w:rPr>
          <w:rFonts w:asciiTheme="majorBidi" w:hAnsiTheme="majorBidi"/>
          <w:b/>
          <w:bCs/>
          <w:color w:val="auto"/>
          <w:sz w:val="24"/>
          <w:szCs w:val="24"/>
          <w:lang w:val="sv-SE"/>
        </w:rPr>
        <w:t xml:space="preserve"> </w:t>
      </w:r>
      <w:r w:rsidR="00BC5A82" w:rsidRPr="00B51544">
        <w:rPr>
          <w:rFonts w:asciiTheme="majorBidi" w:hAnsiTheme="majorBidi"/>
          <w:b/>
          <w:bCs/>
          <w:color w:val="auto"/>
          <w:sz w:val="24"/>
          <w:szCs w:val="24"/>
          <w:lang w:val="sv-SE"/>
        </w:rPr>
        <w:t>Nisbah Bagi Hasil</w:t>
      </w:r>
      <w:bookmarkEnd w:id="43"/>
    </w:p>
    <w:p w14:paraId="46D400F4" w14:textId="01231BBA" w:rsidR="00BC5A82" w:rsidRPr="00B51544" w:rsidRDefault="00AD46AB" w:rsidP="00B51544">
      <w:pPr>
        <w:pStyle w:val="Heading3"/>
        <w:spacing w:line="360" w:lineRule="auto"/>
        <w:ind w:left="426"/>
        <w:jc w:val="both"/>
        <w:rPr>
          <w:rFonts w:asciiTheme="majorBidi" w:hAnsiTheme="majorBidi"/>
          <w:b/>
          <w:bCs/>
          <w:color w:val="auto"/>
          <w:sz w:val="24"/>
          <w:szCs w:val="24"/>
          <w:lang w:val="sv-SE"/>
        </w:rPr>
      </w:pPr>
      <w:bookmarkStart w:id="44" w:name="_Toc201063315"/>
      <w:r w:rsidRPr="00B51544">
        <w:rPr>
          <w:rFonts w:asciiTheme="majorBidi" w:hAnsiTheme="majorBidi"/>
          <w:b/>
          <w:bCs/>
          <w:color w:val="auto"/>
          <w:sz w:val="24"/>
          <w:szCs w:val="24"/>
          <w:lang w:val="sv-SE"/>
        </w:rPr>
        <w:t>2.</w:t>
      </w:r>
      <w:r w:rsidR="00B8380C" w:rsidRPr="00B51544">
        <w:rPr>
          <w:rFonts w:asciiTheme="majorBidi" w:hAnsiTheme="majorBidi"/>
          <w:b/>
          <w:bCs/>
          <w:color w:val="auto"/>
          <w:sz w:val="24"/>
          <w:szCs w:val="24"/>
          <w:lang w:val="sv-SE"/>
        </w:rPr>
        <w:t>4</w:t>
      </w:r>
      <w:r w:rsidRPr="00B51544">
        <w:rPr>
          <w:rFonts w:asciiTheme="majorBidi" w:hAnsiTheme="majorBidi"/>
          <w:b/>
          <w:bCs/>
          <w:color w:val="auto"/>
          <w:sz w:val="24"/>
          <w:szCs w:val="24"/>
          <w:lang w:val="sv-SE"/>
        </w:rPr>
        <w:t xml:space="preserve">.1 </w:t>
      </w:r>
      <w:r w:rsidR="00BC5A82" w:rsidRPr="00B51544">
        <w:rPr>
          <w:rFonts w:asciiTheme="majorBidi" w:hAnsiTheme="majorBidi"/>
          <w:b/>
          <w:bCs/>
          <w:color w:val="auto"/>
          <w:sz w:val="24"/>
          <w:szCs w:val="24"/>
          <w:lang w:val="sv-SE"/>
        </w:rPr>
        <w:t>Pengertian Nisbah Bagi Hasil</w:t>
      </w:r>
      <w:bookmarkEnd w:id="44"/>
    </w:p>
    <w:p w14:paraId="6210E849" w14:textId="77777777" w:rsidR="00AD46AB" w:rsidRPr="00B51544" w:rsidRDefault="00BC5A82"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Nisbah menurut Karim adalah bentuk pengembalian (perolehan pengembalian) dari kontrak investasi yang kadang-kadang tidak pasti dan tidak tetap. Artinya, nisbah atau bagi hasil tersebut dapat berubah-ubah setiap akan diadakannya sebuah transaksi baru.</w:t>
      </w:r>
      <w:r w:rsidRPr="00B51544">
        <w:rPr>
          <w:rStyle w:val="FootnoteReference"/>
          <w:rFonts w:asciiTheme="majorBidi" w:hAnsiTheme="majorBidi" w:cstheme="majorBidi"/>
          <w:sz w:val="24"/>
          <w:szCs w:val="24"/>
        </w:rPr>
        <w:footnoteReference w:id="63"/>
      </w:r>
      <w:r w:rsidRPr="00B51544">
        <w:rPr>
          <w:rFonts w:asciiTheme="majorBidi" w:hAnsiTheme="majorBidi" w:cstheme="majorBidi"/>
          <w:sz w:val="24"/>
          <w:szCs w:val="24"/>
          <w:lang w:val="sv-SE"/>
        </w:rPr>
        <w:t xml:space="preserve"> Nisbah merupakan pembagian hasil secara islam untuk membagi keuntungan dengan rata-rata dan sesuai, bagi hasil harus ditentukan dan ditetapkan pada awal terjadinya akad dan besarnya harus disepakti oleh kedua belah pihak yang bersangkutan.</w:t>
      </w:r>
    </w:p>
    <w:p w14:paraId="72933EBB" w14:textId="5E46ED77" w:rsidR="00BC5A82" w:rsidRPr="00B51544" w:rsidRDefault="00BC5A82"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Adapun Fatwa Dewan Syariah Nasional Majelis Ulama Indonesia (DSN-MUI) juga memperbolehkan praktek transaksi mudharabah seperti yang tertuang dalam fatwa DSN-MUI tentang ketentuan bagi hasil. Adapun pokok-pokok ketentuannya adalah sebagai berikut :</w:t>
      </w:r>
      <w:r w:rsidRPr="00B51544">
        <w:rPr>
          <w:rStyle w:val="FootnoteReference"/>
          <w:rFonts w:asciiTheme="majorBidi" w:hAnsiTheme="majorBidi" w:cstheme="majorBidi"/>
          <w:sz w:val="24"/>
          <w:szCs w:val="24"/>
        </w:rPr>
        <w:footnoteReference w:id="64"/>
      </w:r>
    </w:p>
    <w:p w14:paraId="15DA8B64" w14:textId="77777777" w:rsidR="00BC5A82" w:rsidRPr="00B51544" w:rsidRDefault="00BC5A82">
      <w:pPr>
        <w:pStyle w:val="ListParagraph"/>
        <w:numPr>
          <w:ilvl w:val="0"/>
          <w:numId w:val="4"/>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Metode pembagian keuntungan dan nisbah bagi hasil harus disepakati dan dinyatakan secara jelas pada saat akad.</w:t>
      </w:r>
    </w:p>
    <w:p w14:paraId="7C222DC0" w14:textId="77777777" w:rsidR="00BC5A82" w:rsidRPr="00B51544" w:rsidRDefault="00BC5A82">
      <w:pPr>
        <w:pStyle w:val="ListParagraph"/>
        <w:numPr>
          <w:ilvl w:val="0"/>
          <w:numId w:val="4"/>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Nisbah bagi hasil tidak boleh dalam bentuk nominal atau persentase dari modal usaha.</w:t>
      </w:r>
    </w:p>
    <w:p w14:paraId="46422851" w14:textId="77777777" w:rsidR="00BC5A82" w:rsidRPr="00B51544" w:rsidRDefault="00BC5A82">
      <w:pPr>
        <w:pStyle w:val="ListParagraph"/>
        <w:numPr>
          <w:ilvl w:val="0"/>
          <w:numId w:val="4"/>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Nisbah bagi hasil tidak boleh menggunakan persentase yang mengakibatkan keuntungan hanya dapat diterima oleh salah satu pihak, sementara pihak lainnya tidak dapat menghasilkan hasil usaha.</w:t>
      </w:r>
    </w:p>
    <w:p w14:paraId="73119825" w14:textId="77777777" w:rsidR="00BC5A82" w:rsidRPr="00B51544" w:rsidRDefault="00BC5A82">
      <w:pPr>
        <w:pStyle w:val="ListParagraph"/>
        <w:numPr>
          <w:ilvl w:val="0"/>
          <w:numId w:val="4"/>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Nisbah bagi hasil boleh diubah sesuai dengan kesepakatan.</w:t>
      </w:r>
    </w:p>
    <w:p w14:paraId="3B56EC72" w14:textId="0F12BEC8" w:rsidR="009E3DCE" w:rsidRDefault="00BC5A82">
      <w:pPr>
        <w:pStyle w:val="ListParagraph"/>
        <w:numPr>
          <w:ilvl w:val="0"/>
          <w:numId w:val="4"/>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Nisbah bagi hasil boleh dinyatakan dalam bentuk multi nisbah.</w:t>
      </w:r>
    </w:p>
    <w:p w14:paraId="3F78F89B" w14:textId="77777777" w:rsidR="008F3BF6" w:rsidRPr="008F3BF6" w:rsidRDefault="008F3BF6" w:rsidP="008F3BF6">
      <w:pPr>
        <w:pStyle w:val="ListParagraph"/>
        <w:spacing w:line="360" w:lineRule="auto"/>
        <w:ind w:left="1353"/>
        <w:jc w:val="both"/>
        <w:rPr>
          <w:rFonts w:asciiTheme="majorBidi" w:hAnsiTheme="majorBidi" w:cstheme="majorBidi"/>
          <w:sz w:val="24"/>
          <w:szCs w:val="24"/>
          <w:lang w:val="sv-SE"/>
        </w:rPr>
      </w:pPr>
    </w:p>
    <w:p w14:paraId="0BD2A8C5" w14:textId="77777777" w:rsidR="00BC5A82" w:rsidRPr="00B51544" w:rsidRDefault="00BC5A82" w:rsidP="00B51544">
      <w:pPr>
        <w:pStyle w:val="ListParagraph"/>
        <w:spacing w:line="360" w:lineRule="auto"/>
        <w:ind w:left="993"/>
        <w:jc w:val="both"/>
        <w:rPr>
          <w:rFonts w:asciiTheme="majorBidi" w:hAnsiTheme="majorBidi" w:cstheme="majorBidi"/>
          <w:sz w:val="24"/>
          <w:szCs w:val="24"/>
          <w:lang w:val="sv-SE"/>
        </w:rPr>
      </w:pPr>
      <w:r w:rsidRPr="00B51544">
        <w:rPr>
          <w:rFonts w:asciiTheme="majorBidi" w:hAnsiTheme="majorBidi" w:cstheme="majorBidi"/>
          <w:sz w:val="24"/>
          <w:szCs w:val="24"/>
          <w:lang w:val="sv-SE"/>
        </w:rPr>
        <w:t>Mekanisme penghitungan bagi hasil menurut ekonomi Islam ada 2 macam, yaitu :</w:t>
      </w:r>
    </w:p>
    <w:p w14:paraId="2BA14C22" w14:textId="77777777" w:rsidR="00BC5A82" w:rsidRPr="00B51544" w:rsidRDefault="00BC5A82" w:rsidP="00B51544">
      <w:pPr>
        <w:pStyle w:val="ListParagraph"/>
        <w:numPr>
          <w:ilvl w:val="0"/>
          <w:numId w:val="3"/>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t>Profit Sharing atau bagi hasil, di mana total pendapatan usaha dikurangi biaya operasional untuk mendapatkan profit dengan kata lain keuntungan bersih.</w:t>
      </w:r>
    </w:p>
    <w:p w14:paraId="65F28187" w14:textId="77777777" w:rsidR="00BC5A82" w:rsidRPr="00B51544" w:rsidRDefault="00BC5A82" w:rsidP="00B51544">
      <w:pPr>
        <w:pStyle w:val="ListParagraph"/>
        <w:numPr>
          <w:ilvl w:val="0"/>
          <w:numId w:val="3"/>
        </w:numPr>
        <w:spacing w:line="360" w:lineRule="auto"/>
        <w:ind w:left="1418"/>
        <w:jc w:val="both"/>
        <w:rPr>
          <w:rFonts w:asciiTheme="majorBidi" w:hAnsiTheme="majorBidi" w:cstheme="majorBidi"/>
          <w:sz w:val="24"/>
          <w:szCs w:val="24"/>
          <w:lang w:val="sv-SE"/>
        </w:rPr>
      </w:pPr>
      <w:r w:rsidRPr="00B51544">
        <w:rPr>
          <w:rFonts w:asciiTheme="majorBidi" w:hAnsiTheme="majorBidi" w:cstheme="majorBidi"/>
          <w:sz w:val="24"/>
          <w:szCs w:val="24"/>
          <w:lang w:val="sv-SE"/>
        </w:rPr>
        <w:t>Revenue Sharing, yaitu laba berdasarkan total pendapatan usaha sebelum dikurangi biaya operasional atau dapat juga diartikan sebagai pendapatan kotornya.</w:t>
      </w:r>
    </w:p>
    <w:p w14:paraId="2BC6CC30" w14:textId="4C207F46" w:rsidR="00386FBE" w:rsidRPr="00B51544" w:rsidRDefault="00B2771C" w:rsidP="008F3BF6">
      <w:pPr>
        <w:spacing w:line="360" w:lineRule="auto"/>
        <w:ind w:left="993" w:firstLine="709"/>
        <w:jc w:val="both"/>
        <w:rPr>
          <w:rFonts w:asciiTheme="majorBidi" w:hAnsiTheme="majorBidi" w:cstheme="majorBidi"/>
          <w:sz w:val="24"/>
          <w:szCs w:val="24"/>
          <w:lang w:val="sv-SE"/>
        </w:rPr>
      </w:pPr>
      <w:r w:rsidRPr="00B2771C">
        <w:rPr>
          <w:rFonts w:asciiTheme="majorBidi" w:hAnsiTheme="majorBidi" w:cstheme="majorBidi"/>
          <w:sz w:val="24"/>
          <w:szCs w:val="24"/>
          <w:lang w:val="sv-SE"/>
        </w:rPr>
        <w:t>Perbankan Syariah menghitung bagi hasil melalui skema pembagian keuntungan, yaitu membagi laba yang diperoleh dari kegiatan usaha atau investasi yang telah dilakukan. Besaran keuntungan untuk bank dan nasabah sudah ditentukan saat perjanjian akan ditandatangani.</w:t>
      </w:r>
      <w:r>
        <w:rPr>
          <w:rFonts w:asciiTheme="majorBidi" w:hAnsiTheme="majorBidi" w:cstheme="majorBidi"/>
          <w:sz w:val="24"/>
          <w:szCs w:val="24"/>
          <w:lang w:val="sv-SE"/>
        </w:rPr>
        <w:t xml:space="preserve"> </w:t>
      </w:r>
      <w:r w:rsidR="00BC5A82" w:rsidRPr="00B51544">
        <w:rPr>
          <w:rFonts w:asciiTheme="majorBidi" w:hAnsiTheme="majorBidi" w:cstheme="majorBidi"/>
          <w:sz w:val="24"/>
          <w:szCs w:val="24"/>
          <w:lang w:val="sv-SE"/>
        </w:rPr>
        <w:t>Jadi tidak ada kebingungan dan cek cok lagi saat bisnis atau usaha selesai dijalankan. Dalam menjalankan aktifitasnya, perbankan syariah memiliki tiga macam akad atau perjanjian yang ujungnya menuju pembagian keuntungan dengan nasabahnya.</w:t>
      </w:r>
      <w:r w:rsidR="00BC5A82" w:rsidRPr="00B51544">
        <w:rPr>
          <w:rStyle w:val="FootnoteReference"/>
          <w:rFonts w:asciiTheme="majorBidi" w:hAnsiTheme="majorBidi" w:cstheme="majorBidi"/>
          <w:sz w:val="24"/>
          <w:szCs w:val="24"/>
        </w:rPr>
        <w:footnoteReference w:id="65"/>
      </w:r>
    </w:p>
    <w:p w14:paraId="596BCB19" w14:textId="77777777" w:rsidR="00EF37BA" w:rsidRPr="00D17A2E" w:rsidRDefault="00EF37BA" w:rsidP="00EF37BA">
      <w:pPr>
        <w:spacing w:line="360" w:lineRule="auto"/>
        <w:rPr>
          <w:rFonts w:asciiTheme="majorBidi" w:hAnsiTheme="majorBidi" w:cstheme="majorBidi"/>
          <w:b/>
          <w:bCs/>
          <w:sz w:val="24"/>
          <w:szCs w:val="24"/>
          <w:lang w:val="sv-SE"/>
        </w:rPr>
      </w:pPr>
    </w:p>
    <w:bookmarkStart w:id="45" w:name="_Toc200572181"/>
    <w:p w14:paraId="72A11E60" w14:textId="1795E1E2" w:rsidR="00D07956" w:rsidRPr="00D07956" w:rsidRDefault="00810BD8" w:rsidP="00D07956">
      <w:pPr>
        <w:pStyle w:val="Caption"/>
        <w:spacing w:line="360" w:lineRule="auto"/>
        <w:jc w:val="center"/>
        <w:rPr>
          <w:rFonts w:asciiTheme="majorBidi" w:hAnsiTheme="majorBidi" w:cstheme="majorBidi"/>
          <w:b/>
          <w:bCs/>
          <w:i w:val="0"/>
          <w:iCs w:val="0"/>
          <w:color w:val="auto"/>
          <w:sz w:val="24"/>
          <w:szCs w:val="24"/>
          <w:lang w:val="pt-BR"/>
        </w:rPr>
      </w:pPr>
      <w:r w:rsidRPr="00B51544">
        <w:rPr>
          <w:rFonts w:asciiTheme="majorBidi" w:hAnsiTheme="majorBidi" w:cstheme="majorBidi"/>
          <w:b/>
          <w:bCs/>
          <w:noProof/>
          <w:sz w:val="24"/>
          <w:szCs w:val="24"/>
        </w:rPr>
        <mc:AlternateContent>
          <mc:Choice Requires="wps">
            <w:drawing>
              <wp:anchor distT="0" distB="0" distL="114300" distR="114300" simplePos="0" relativeHeight="251709440" behindDoc="0" locked="0" layoutInCell="1" allowOverlap="1" wp14:anchorId="01E9360D" wp14:editId="26C022A5">
                <wp:simplePos x="0" y="0"/>
                <wp:positionH relativeFrom="column">
                  <wp:posOffset>295275</wp:posOffset>
                </wp:positionH>
                <wp:positionV relativeFrom="paragraph">
                  <wp:posOffset>1862455</wp:posOffset>
                </wp:positionV>
                <wp:extent cx="3667125" cy="304800"/>
                <wp:effectExtent l="0" t="0" r="0" b="0"/>
                <wp:wrapNone/>
                <wp:docPr id="1826732601" name="Text Box 10"/>
                <wp:cNvGraphicFramePr/>
                <a:graphic xmlns:a="http://schemas.openxmlformats.org/drawingml/2006/main">
                  <a:graphicData uri="http://schemas.microsoft.com/office/word/2010/wordprocessingShape">
                    <wps:wsp>
                      <wps:cNvSpPr txBox="1"/>
                      <wps:spPr>
                        <a:xfrm>
                          <a:off x="0" y="0"/>
                          <a:ext cx="36671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2A6D4E" w14:textId="77777777" w:rsidR="00386FBE" w:rsidRPr="00F40ABE" w:rsidRDefault="00386FBE" w:rsidP="00386FBE">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9360D" id="_x0000_s1031" type="#_x0000_t202" style="position:absolute;left:0;text-align:left;margin-left:23.25pt;margin-top:146.65pt;width:288.75pt;height: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" filled="f" stroked="f">
                <v:textbox>
                  <w:txbxContent>
                    <w:p w14:paraId="6E2A6D4E" w14:textId="77777777" w:rsidR="00386FBE" w:rsidRPr="00F40ABE" w:rsidRDefault="00386FBE" w:rsidP="00386FBE">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v:textbox>
              </v:shape>
            </w:pict>
          </mc:Fallback>
        </mc:AlternateContent>
      </w:r>
      <w:r w:rsidRPr="00810BD8">
        <w:rPr>
          <w:noProof/>
        </w:rPr>
        <w:drawing>
          <wp:anchor distT="0" distB="0" distL="114300" distR="114300" simplePos="0" relativeHeight="251794432" behindDoc="0" locked="0" layoutInCell="1" allowOverlap="1" wp14:anchorId="49FA49EF" wp14:editId="590C9F13">
            <wp:simplePos x="0" y="0"/>
            <wp:positionH relativeFrom="column">
              <wp:posOffset>299720</wp:posOffset>
            </wp:positionH>
            <wp:positionV relativeFrom="paragraph">
              <wp:posOffset>584835</wp:posOffset>
            </wp:positionV>
            <wp:extent cx="5819775" cy="1295386"/>
            <wp:effectExtent l="0" t="0" r="0" b="635"/>
            <wp:wrapSquare wrapText="bothSides"/>
            <wp:docPr id="70002829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9775" cy="1295386"/>
                    </a:xfrm>
                    <a:prstGeom prst="rect">
                      <a:avLst/>
                    </a:prstGeom>
                    <a:noFill/>
                    <a:ln>
                      <a:noFill/>
                    </a:ln>
                  </pic:spPr>
                </pic:pic>
              </a:graphicData>
            </a:graphic>
          </wp:anchor>
        </w:drawing>
      </w:r>
      <w:r w:rsidR="00D07956" w:rsidRPr="00D07956">
        <w:rPr>
          <w:rFonts w:asciiTheme="majorBidi" w:hAnsiTheme="majorBidi" w:cstheme="majorBidi"/>
          <w:b/>
          <w:bCs/>
          <w:i w:val="0"/>
          <w:iCs w:val="0"/>
          <w:color w:val="auto"/>
          <w:sz w:val="24"/>
          <w:szCs w:val="24"/>
          <w:lang w:val="pt-BR"/>
        </w:rPr>
        <w:t xml:space="preserve">Tabel 2. </w:t>
      </w:r>
      <w:r w:rsidR="00D07956" w:rsidRPr="00D07956">
        <w:rPr>
          <w:rFonts w:asciiTheme="majorBidi" w:hAnsiTheme="majorBidi" w:cstheme="majorBidi"/>
          <w:b/>
          <w:bCs/>
          <w:i w:val="0"/>
          <w:iCs w:val="0"/>
          <w:color w:val="auto"/>
          <w:sz w:val="24"/>
          <w:szCs w:val="24"/>
        </w:rPr>
        <w:fldChar w:fldCharType="begin"/>
      </w:r>
      <w:r w:rsidR="00D07956" w:rsidRPr="00D07956">
        <w:rPr>
          <w:rFonts w:asciiTheme="majorBidi" w:hAnsiTheme="majorBidi" w:cstheme="majorBidi"/>
          <w:b/>
          <w:bCs/>
          <w:i w:val="0"/>
          <w:iCs w:val="0"/>
          <w:color w:val="auto"/>
          <w:sz w:val="24"/>
          <w:szCs w:val="24"/>
          <w:lang w:val="pt-BR"/>
        </w:rPr>
        <w:instrText xml:space="preserve"> SEQ Tabel_2. \* ARABIC </w:instrText>
      </w:r>
      <w:r w:rsidR="00D07956" w:rsidRPr="00D07956">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pt-BR"/>
        </w:rPr>
        <w:t>3</w:t>
      </w:r>
      <w:r w:rsidR="00D07956" w:rsidRPr="00D07956">
        <w:rPr>
          <w:rFonts w:asciiTheme="majorBidi" w:hAnsiTheme="majorBidi" w:cstheme="majorBidi"/>
          <w:b/>
          <w:bCs/>
          <w:i w:val="0"/>
          <w:iCs w:val="0"/>
          <w:color w:val="auto"/>
          <w:sz w:val="24"/>
          <w:szCs w:val="24"/>
        </w:rPr>
        <w:fldChar w:fldCharType="end"/>
      </w:r>
      <w:r w:rsidR="00D07956" w:rsidRPr="00D07956">
        <w:rPr>
          <w:rFonts w:asciiTheme="majorBidi" w:hAnsiTheme="majorBidi" w:cstheme="majorBidi"/>
          <w:b/>
          <w:bCs/>
          <w:i w:val="0"/>
          <w:iCs w:val="0"/>
          <w:color w:val="auto"/>
          <w:sz w:val="24"/>
          <w:szCs w:val="24"/>
          <w:lang w:val="pt-BR"/>
        </w:rPr>
        <w:t xml:space="preserve"> </w:t>
      </w:r>
      <w:r w:rsidR="00D07956">
        <w:rPr>
          <w:rFonts w:asciiTheme="majorBidi" w:hAnsiTheme="majorBidi" w:cstheme="majorBidi"/>
          <w:b/>
          <w:bCs/>
          <w:i w:val="0"/>
          <w:iCs w:val="0"/>
          <w:color w:val="auto"/>
          <w:sz w:val="24"/>
          <w:szCs w:val="24"/>
          <w:lang w:val="pt-BR"/>
        </w:rPr>
        <w:br/>
      </w:r>
      <w:r w:rsidR="00D07956" w:rsidRPr="00D07956">
        <w:rPr>
          <w:rFonts w:asciiTheme="majorBidi" w:hAnsiTheme="majorBidi" w:cstheme="majorBidi"/>
          <w:b/>
          <w:bCs/>
          <w:i w:val="0"/>
          <w:iCs w:val="0"/>
          <w:color w:val="auto"/>
          <w:sz w:val="24"/>
          <w:szCs w:val="24"/>
          <w:lang w:val="pt-BR"/>
        </w:rPr>
        <w:t>Data Nisbah Bagi Hasil Bank Muamalat Indonesia Periode 2017 – 2024</w:t>
      </w:r>
      <w:bookmarkEnd w:id="45"/>
    </w:p>
    <w:p w14:paraId="771BEAC6" w14:textId="77CD0389" w:rsidR="00EF37BA" w:rsidRDefault="00EF37BA" w:rsidP="00432CBC">
      <w:pPr>
        <w:spacing w:line="360" w:lineRule="auto"/>
        <w:jc w:val="both"/>
        <w:rPr>
          <w:rFonts w:asciiTheme="majorBidi" w:hAnsiTheme="majorBidi" w:cstheme="majorBidi"/>
          <w:sz w:val="24"/>
          <w:szCs w:val="24"/>
          <w:lang w:val="pt-BR"/>
        </w:rPr>
      </w:pPr>
    </w:p>
    <w:p w14:paraId="23CE3548" w14:textId="6CE87A73" w:rsidR="00175259" w:rsidRPr="00B51544" w:rsidRDefault="00175259" w:rsidP="00175259">
      <w:pPr>
        <w:spacing w:line="360" w:lineRule="auto"/>
        <w:ind w:left="993" w:firstLine="709"/>
        <w:jc w:val="both"/>
        <w:rPr>
          <w:rFonts w:asciiTheme="majorBidi" w:hAnsiTheme="majorBidi" w:cstheme="majorBidi"/>
          <w:sz w:val="24"/>
          <w:szCs w:val="24"/>
          <w:lang w:val="pt-BR"/>
        </w:rPr>
      </w:pPr>
      <w:r w:rsidRPr="00175259">
        <w:rPr>
          <w:rFonts w:asciiTheme="majorBidi" w:hAnsiTheme="majorBidi" w:cstheme="majorBidi"/>
          <w:sz w:val="24"/>
          <w:szCs w:val="24"/>
          <w:lang w:val="pt-BR"/>
        </w:rPr>
        <w:t>Berdasarkan tabel 2. 3 di atas, terlihat fluktuasi nisbah bagi hasil dari tahun 2017 sampai 2024. Puncak nilai Nisbah bagi hasil terjadi pada triwulan II tahun 2024 yang mencapai 71,68%. Menurut Ascarya, besaran Nisbah bagi hasil tidak selalu teratur dalam aturan syariah, melainkan bergantung pada kesepakatan antara pihak-pihak yang terlibat</w:t>
      </w:r>
      <w:r w:rsidR="006202C9" w:rsidRPr="00B51544">
        <w:rPr>
          <w:rFonts w:asciiTheme="majorBidi" w:hAnsiTheme="majorBidi" w:cstheme="majorBidi"/>
          <w:sz w:val="24"/>
          <w:szCs w:val="24"/>
          <w:lang w:val="pt-BR"/>
        </w:rPr>
        <w:t>.</w:t>
      </w:r>
      <w:r w:rsidR="006202C9" w:rsidRPr="00B51544">
        <w:rPr>
          <w:rStyle w:val="FootnoteReference"/>
          <w:rFonts w:asciiTheme="majorBidi" w:hAnsiTheme="majorBidi" w:cstheme="majorBidi"/>
          <w:sz w:val="24"/>
          <w:szCs w:val="24"/>
        </w:rPr>
        <w:footnoteReference w:id="66"/>
      </w:r>
      <w:r w:rsidR="00C073DE" w:rsidRPr="00B51544">
        <w:rPr>
          <w:rFonts w:asciiTheme="majorBidi" w:hAnsiTheme="majorBidi" w:cstheme="majorBidi"/>
          <w:sz w:val="24"/>
          <w:szCs w:val="24"/>
          <w:lang w:val="pt-BR"/>
        </w:rPr>
        <w:t xml:space="preserve"> </w:t>
      </w:r>
      <w:r w:rsidRPr="00175259">
        <w:rPr>
          <w:rFonts w:asciiTheme="majorBidi" w:hAnsiTheme="majorBidi" w:cstheme="majorBidi"/>
          <w:sz w:val="24"/>
          <w:szCs w:val="24"/>
          <w:lang w:val="pt-BR"/>
        </w:rPr>
        <w:t xml:space="preserve">Peningkatan pada persentase bagi hasil dapat menarik minat nasabah untuk </w:t>
      </w:r>
      <w:r w:rsidRPr="00175259">
        <w:rPr>
          <w:rFonts w:asciiTheme="majorBidi" w:hAnsiTheme="majorBidi" w:cstheme="majorBidi"/>
          <w:sz w:val="24"/>
          <w:szCs w:val="24"/>
          <w:lang w:val="pt-BR"/>
        </w:rPr>
        <w:lastRenderedPageBreak/>
        <w:t>menyimpan uang di bank syariah, sehingga jumlah deposito mudharabah di bank syariah akan meningkat. Alasan nasabah untuk menempatkan dana mereka di bank syariah tentunya dipengaruhi oleh keinginan untuk mendapatkan keuntungan, jadi apabila persentase bagi hasil yang ditawarkan semakin tinggi, maka alokasi dana investasi di bank syariah juga akan semakin meluas.</w:t>
      </w:r>
    </w:p>
    <w:p w14:paraId="335376D3" w14:textId="74762883" w:rsidR="00BC5A82" w:rsidRPr="00B51544" w:rsidRDefault="00AD46AB" w:rsidP="00B51544">
      <w:pPr>
        <w:pStyle w:val="Heading3"/>
        <w:spacing w:line="360" w:lineRule="auto"/>
        <w:ind w:left="426"/>
        <w:jc w:val="both"/>
        <w:rPr>
          <w:rFonts w:asciiTheme="majorBidi" w:hAnsiTheme="majorBidi"/>
          <w:b/>
          <w:bCs/>
          <w:color w:val="auto"/>
          <w:sz w:val="24"/>
          <w:szCs w:val="24"/>
          <w:lang w:val="pt-BR"/>
        </w:rPr>
      </w:pPr>
      <w:bookmarkStart w:id="46" w:name="_Toc201063316"/>
      <w:r w:rsidRPr="00B51544">
        <w:rPr>
          <w:rFonts w:asciiTheme="majorBidi" w:hAnsiTheme="majorBidi"/>
          <w:b/>
          <w:bCs/>
          <w:color w:val="auto"/>
          <w:sz w:val="24"/>
          <w:szCs w:val="24"/>
          <w:lang w:val="pt-BR"/>
        </w:rPr>
        <w:t>2.</w:t>
      </w:r>
      <w:r w:rsidR="00B8380C" w:rsidRPr="00B51544">
        <w:rPr>
          <w:rFonts w:asciiTheme="majorBidi" w:hAnsiTheme="majorBidi"/>
          <w:b/>
          <w:bCs/>
          <w:color w:val="auto"/>
          <w:sz w:val="24"/>
          <w:szCs w:val="24"/>
          <w:lang w:val="pt-BR"/>
        </w:rPr>
        <w:t>4</w:t>
      </w:r>
      <w:r w:rsidRPr="00B51544">
        <w:rPr>
          <w:rFonts w:asciiTheme="majorBidi" w:hAnsiTheme="majorBidi"/>
          <w:b/>
          <w:bCs/>
          <w:color w:val="auto"/>
          <w:sz w:val="24"/>
          <w:szCs w:val="24"/>
          <w:lang w:val="pt-BR"/>
        </w:rPr>
        <w:t xml:space="preserve">.2 </w:t>
      </w:r>
      <w:r w:rsidR="00BC5A82" w:rsidRPr="00B51544">
        <w:rPr>
          <w:rFonts w:asciiTheme="majorBidi" w:hAnsiTheme="majorBidi"/>
          <w:b/>
          <w:bCs/>
          <w:color w:val="auto"/>
          <w:sz w:val="24"/>
          <w:szCs w:val="24"/>
          <w:lang w:val="pt-BR"/>
        </w:rPr>
        <w:t>Nisbah Bagi Hasil Dalam Pandangan Islam</w:t>
      </w:r>
      <w:bookmarkEnd w:id="46"/>
    </w:p>
    <w:p w14:paraId="2E8AEF50" w14:textId="77777777" w:rsidR="00AD46AB" w:rsidRPr="00B51544" w:rsidRDefault="00BC5A82" w:rsidP="00E17038">
      <w:pPr>
        <w:pStyle w:val="ListParagraph"/>
        <w:spacing w:after="0"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pt-BR"/>
        </w:rPr>
        <w:t xml:space="preserve">Nisbah Bagi Hasil atau Mudharabah suatu bentuk kontrak yang ada sejak zaman Rasulullah SAW, sejak zaman jahiliyah sebelum Islam. </w:t>
      </w:r>
      <w:r w:rsidRPr="00B51544">
        <w:rPr>
          <w:rFonts w:asciiTheme="majorBidi" w:hAnsiTheme="majorBidi" w:cstheme="majorBidi"/>
          <w:sz w:val="24"/>
          <w:szCs w:val="24"/>
          <w:lang w:val="sv-SE"/>
        </w:rPr>
        <w:t>Namun saat itu Islam menerimanya dalam bentuk bagi hasil dan Investasi. Seperti halnya Nabi Muhammad yang bekerja dengan Siti Khadijah seorang saudagar kaya saat itu, Nabi pergi ke Negeri Syam untuk berdagang atau berniaga dari barang-barang milik Siti Khadijah, dengan ketentuan bagi hasil.</w:t>
      </w:r>
    </w:p>
    <w:p w14:paraId="0901EE58" w14:textId="712D849C" w:rsidR="00BC5A82" w:rsidRPr="00B51544" w:rsidRDefault="00BC5A82" w:rsidP="00E17038">
      <w:pPr>
        <w:pStyle w:val="ListParagraph"/>
        <w:spacing w:after="0"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Menurut Antonio, bagi hasil adalah </w:t>
      </w:r>
      <w:r w:rsidR="00175259" w:rsidRPr="00175259">
        <w:rPr>
          <w:rFonts w:asciiTheme="majorBidi" w:hAnsiTheme="majorBidi" w:cstheme="majorBidi"/>
          <w:sz w:val="24"/>
          <w:szCs w:val="24"/>
          <w:lang w:val="sv-SE"/>
        </w:rPr>
        <w:t>uatu cara pengelolaan dana dalam ekonomi Islam yang melibatkan pembagian hasil usaha antara pemilik dana (shahibul maal) dan pengelola dana (mudharib). Hal ini telah dijelaskan dalam Hadits yang diriwayatkan oleh Ibnu Majah dari Shuhaib</w:t>
      </w:r>
      <w:r w:rsidR="00175259">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w:t>
      </w:r>
      <w:r w:rsidRPr="00B51544">
        <w:rPr>
          <w:rStyle w:val="FootnoteReference"/>
          <w:rFonts w:asciiTheme="majorBidi" w:hAnsiTheme="majorBidi" w:cstheme="majorBidi"/>
          <w:sz w:val="24"/>
          <w:szCs w:val="24"/>
        </w:rPr>
        <w:footnoteReference w:id="67"/>
      </w:r>
    </w:p>
    <w:p w14:paraId="35D2D677" w14:textId="77777777" w:rsidR="009E3DCE" w:rsidRPr="00B51544" w:rsidRDefault="009E3DCE" w:rsidP="00B51544">
      <w:pPr>
        <w:pStyle w:val="ListParagraph"/>
        <w:spacing w:line="360" w:lineRule="auto"/>
        <w:ind w:left="993" w:firstLine="567"/>
        <w:jc w:val="both"/>
        <w:rPr>
          <w:rFonts w:asciiTheme="majorBidi" w:hAnsiTheme="majorBidi" w:cstheme="majorBidi"/>
          <w:b/>
          <w:bCs/>
          <w:sz w:val="24"/>
          <w:szCs w:val="24"/>
          <w:lang w:val="sv-SE"/>
        </w:rPr>
      </w:pPr>
    </w:p>
    <w:p w14:paraId="5ECCE0ED" w14:textId="77777777" w:rsidR="00BC5A82" w:rsidRPr="00E17038" w:rsidRDefault="00BC5A82" w:rsidP="008F3BF6">
      <w:pPr>
        <w:pStyle w:val="ListParagraph"/>
        <w:spacing w:line="360" w:lineRule="auto"/>
        <w:jc w:val="right"/>
        <w:rPr>
          <w:rFonts w:ascii="Simplified Arabic" w:hAnsi="Simplified Arabic" w:cs="Simplified Arabic"/>
          <w:sz w:val="28"/>
          <w:szCs w:val="28"/>
          <w:lang w:val="sv-SE"/>
        </w:rPr>
      </w:pPr>
      <w:r w:rsidRPr="00E17038">
        <w:rPr>
          <w:rFonts w:ascii="Simplified Arabic" w:hAnsi="Simplified Arabic" w:cs="Simplified Arabic"/>
          <w:sz w:val="28"/>
          <w:szCs w:val="28"/>
          <w:rtl/>
          <w:lang w:val="sv-SE"/>
        </w:rPr>
        <w:t>أَنَّ النَّبِيَّ صَلَّى اللهُ عَلَيْهِ وَآلِهِ وَسَلَّمَ قَالَ: ثَلاَثٌ فِيْهِنَّ الْبَرَكَةُ: اَلْبَيْعُ إِلَى أَجَلٍ، وَالْمُقَارَضَةُ، وَخَلْطُ الْبُرِّ بِالشَّعِيْرِ لِلْبَيْتِ لاَ لِلْبَيْعِ (رواه ابن ماجه عن صهيب)</w:t>
      </w:r>
    </w:p>
    <w:p w14:paraId="74DDCE6B" w14:textId="77777777" w:rsidR="00BC5A82" w:rsidRPr="00B51544" w:rsidRDefault="00BC5A82" w:rsidP="00B51544">
      <w:pPr>
        <w:pStyle w:val="ListParagraph"/>
        <w:spacing w:line="360" w:lineRule="auto"/>
        <w:jc w:val="both"/>
        <w:rPr>
          <w:rFonts w:asciiTheme="majorBidi" w:hAnsiTheme="majorBidi" w:cstheme="majorBidi"/>
          <w:sz w:val="24"/>
          <w:szCs w:val="24"/>
          <w:lang w:val="sv-SE"/>
        </w:rPr>
      </w:pPr>
    </w:p>
    <w:p w14:paraId="1C0B93BE" w14:textId="71F8655A" w:rsidR="00175259" w:rsidRPr="00E17038" w:rsidRDefault="00BC5A82" w:rsidP="00E17038">
      <w:pPr>
        <w:pStyle w:val="ListParagraph"/>
        <w:spacing w:line="240" w:lineRule="auto"/>
        <w:ind w:left="993" w:firstLine="709"/>
        <w:jc w:val="both"/>
        <w:rPr>
          <w:rFonts w:asciiTheme="majorBidi" w:hAnsiTheme="majorBidi" w:cstheme="majorBidi"/>
          <w:i/>
          <w:iCs/>
          <w:sz w:val="24"/>
          <w:szCs w:val="24"/>
          <w:lang w:val="sv-SE"/>
        </w:rPr>
      </w:pPr>
      <w:r w:rsidRPr="00E17038">
        <w:rPr>
          <w:rFonts w:asciiTheme="majorBidi" w:hAnsiTheme="majorBidi" w:cstheme="majorBidi"/>
          <w:i/>
          <w:iCs/>
          <w:sz w:val="24"/>
          <w:szCs w:val="24"/>
          <w:lang w:val="sv-SE"/>
        </w:rPr>
        <w:t>Artinya : ”</w:t>
      </w:r>
      <w:r w:rsidR="00175259" w:rsidRPr="00E17038">
        <w:rPr>
          <w:i/>
          <w:iCs/>
          <w:lang w:val="sv-SE"/>
        </w:rPr>
        <w:t xml:space="preserve"> </w:t>
      </w:r>
      <w:r w:rsidR="00175259" w:rsidRPr="00E17038">
        <w:rPr>
          <w:rFonts w:asciiTheme="majorBidi" w:hAnsiTheme="majorBidi" w:cstheme="majorBidi"/>
          <w:i/>
          <w:iCs/>
          <w:sz w:val="24"/>
          <w:szCs w:val="24"/>
          <w:lang w:val="sv-SE"/>
        </w:rPr>
        <w:t>Nabi berkata, "Ada tiga perkara yang penuh berkah: transaksi tanpa menggunakan uang tunai, muqaradhah (mudharabah), dan mencampurkan gandum dengan jewawut untuk keperluan rumah tangga, bukan untuk dijual. " (HR. Ibnu Majah dari Shuhaib).</w:t>
      </w:r>
    </w:p>
    <w:p w14:paraId="2DB907D8" w14:textId="38BDD5DD" w:rsidR="00D414A5" w:rsidRPr="00B51544" w:rsidRDefault="00D414A5" w:rsidP="00B51544">
      <w:pPr>
        <w:pStyle w:val="Heading3"/>
        <w:spacing w:line="360" w:lineRule="auto"/>
        <w:ind w:left="426"/>
        <w:jc w:val="both"/>
        <w:rPr>
          <w:rFonts w:asciiTheme="majorBidi" w:hAnsiTheme="majorBidi"/>
          <w:b/>
          <w:bCs/>
          <w:color w:val="auto"/>
          <w:sz w:val="24"/>
          <w:szCs w:val="24"/>
          <w:lang w:val="sv-SE"/>
        </w:rPr>
      </w:pPr>
      <w:bookmarkStart w:id="47" w:name="_Toc201063317"/>
      <w:r w:rsidRPr="00B51544">
        <w:rPr>
          <w:rFonts w:asciiTheme="majorBidi" w:hAnsiTheme="majorBidi"/>
          <w:b/>
          <w:bCs/>
          <w:color w:val="auto"/>
          <w:sz w:val="24"/>
          <w:szCs w:val="24"/>
          <w:lang w:val="sv-SE"/>
        </w:rPr>
        <w:t>2.4.3 Hipotesis Penelitian</w:t>
      </w:r>
      <w:bookmarkEnd w:id="47"/>
    </w:p>
    <w:p w14:paraId="2E6EA650" w14:textId="19A1171A" w:rsidR="00D414A5" w:rsidRPr="00B51544" w:rsidRDefault="00EB26B2" w:rsidP="00B51544">
      <w:pPr>
        <w:pStyle w:val="ListParagraph"/>
        <w:spacing w:line="360" w:lineRule="auto"/>
        <w:ind w:left="993" w:firstLine="708"/>
        <w:jc w:val="both"/>
        <w:rPr>
          <w:rFonts w:asciiTheme="majorBidi" w:hAnsiTheme="majorBidi" w:cstheme="majorBidi"/>
          <w:sz w:val="24"/>
          <w:szCs w:val="24"/>
          <w:lang w:val="sv-SE"/>
        </w:rPr>
      </w:pPr>
      <w:r w:rsidRPr="00EB26B2">
        <w:rPr>
          <w:rFonts w:asciiTheme="majorBidi" w:hAnsiTheme="majorBidi" w:cstheme="majorBidi"/>
          <w:sz w:val="24"/>
          <w:szCs w:val="24"/>
          <w:lang w:val="sv-SE"/>
        </w:rPr>
        <w:t>Nisbah bagi hasil merupakan cara pembagian hasil dari usaha di mana pemilik modal bekerja sama dengan bank untuk menjalankan kegiatan bisnis. Jika usaha tersebut mendatangkan profit, hasilnya dibagi dua, sedangkan jika mengalami kerugian, keduanya juga menanggungnya bersama.</w:t>
      </w:r>
      <w:r>
        <w:rPr>
          <w:rFonts w:asciiTheme="majorBidi" w:hAnsiTheme="majorBidi" w:cstheme="majorBidi"/>
          <w:sz w:val="24"/>
          <w:szCs w:val="24"/>
          <w:lang w:val="sv-SE"/>
        </w:rPr>
        <w:t xml:space="preserve"> </w:t>
      </w:r>
      <w:r w:rsidR="00A8607D" w:rsidRPr="00A8607D">
        <w:rPr>
          <w:rFonts w:asciiTheme="majorBidi" w:hAnsiTheme="majorBidi" w:cstheme="majorBidi"/>
          <w:sz w:val="24"/>
          <w:szCs w:val="24"/>
          <w:lang w:val="sv-SE"/>
        </w:rPr>
        <w:t xml:space="preserve">Angka yang terdapat dalam pembagian hasil adalah hasil dari kesepakatan antara pemilik modal dan pengelola usaha, dengan memperhatikan kemungkinan dari proyek yang didanai, serta didasarkan pada </w:t>
      </w:r>
      <w:r w:rsidR="00A8607D" w:rsidRPr="00A8607D">
        <w:rPr>
          <w:rFonts w:asciiTheme="majorBidi" w:hAnsiTheme="majorBidi" w:cstheme="majorBidi"/>
          <w:sz w:val="24"/>
          <w:szCs w:val="24"/>
          <w:lang w:val="sv-SE"/>
        </w:rPr>
        <w:lastRenderedPageBreak/>
        <w:t>kesepakatan kedua belah pihak. Persentase bagi hasil dapat bervariasi antara satu bank syariah dan bank syariah lainnya. Oleh karena itu, bank perlu merancang strategi yang tepat untuk menetapkan besaran bagi hasil yang ditawarkan, sehingga dapat menarik minat orang untuk menjadi nasabah</w:t>
      </w:r>
      <w:r w:rsidR="00D414A5" w:rsidRPr="00B51544">
        <w:rPr>
          <w:rFonts w:asciiTheme="majorBidi" w:hAnsiTheme="majorBidi" w:cstheme="majorBidi"/>
          <w:sz w:val="24"/>
          <w:szCs w:val="24"/>
          <w:lang w:val="sv-SE"/>
        </w:rPr>
        <w:t>.</w:t>
      </w:r>
      <w:r w:rsidR="00D414A5" w:rsidRPr="00B51544">
        <w:rPr>
          <w:rStyle w:val="FootnoteReference"/>
          <w:rFonts w:asciiTheme="majorBidi" w:hAnsiTheme="majorBidi" w:cstheme="majorBidi"/>
          <w:sz w:val="24"/>
          <w:szCs w:val="24"/>
          <w:lang w:val="sv-SE"/>
        </w:rPr>
        <w:footnoteReference w:id="68"/>
      </w:r>
    </w:p>
    <w:p w14:paraId="65EF116B" w14:textId="77777777" w:rsidR="00D414A5" w:rsidRPr="00B51544" w:rsidRDefault="00D414A5" w:rsidP="00B51544">
      <w:pPr>
        <w:pStyle w:val="ListParagraph"/>
        <w:spacing w:line="360" w:lineRule="auto"/>
        <w:ind w:left="993" w:firstLine="708"/>
        <w:jc w:val="both"/>
        <w:rPr>
          <w:rFonts w:asciiTheme="majorBidi" w:hAnsiTheme="majorBidi" w:cstheme="majorBidi"/>
          <w:sz w:val="24"/>
          <w:szCs w:val="24"/>
          <w:lang w:val="sv-SE"/>
        </w:rPr>
      </w:pPr>
      <w:r w:rsidRPr="00B51544">
        <w:rPr>
          <w:rFonts w:asciiTheme="majorBidi" w:hAnsiTheme="majorBidi" w:cstheme="majorBidi"/>
          <w:sz w:val="24"/>
          <w:szCs w:val="24"/>
          <w:lang w:val="sv-SE"/>
        </w:rPr>
        <w:t>Apabila Nisbah Bagi Hasil meningkat, pendapatan juga cenderung mengalami peningkatan. Ketika pendapatan tinggi, terdapat potensi untuk meningkatkan deposito mudharabah. Oleh karena itu, dapat disimpulkan bahwa Nisbah Bagi Hasil memiliki pengaruh positif terhadap deposito mudharabah.</w:t>
      </w:r>
    </w:p>
    <w:p w14:paraId="1F7C2538" w14:textId="7D6A2991" w:rsidR="00D414A5" w:rsidRPr="00B51544" w:rsidRDefault="00D414A5" w:rsidP="00B51544">
      <w:pPr>
        <w:pStyle w:val="ListParagraph"/>
        <w:spacing w:line="360" w:lineRule="auto"/>
        <w:ind w:left="993" w:firstLine="708"/>
        <w:jc w:val="both"/>
        <w:rPr>
          <w:rFonts w:asciiTheme="majorBidi" w:hAnsiTheme="majorBidi" w:cstheme="majorBidi"/>
          <w:sz w:val="24"/>
          <w:szCs w:val="24"/>
          <w:lang w:val="sv-SE"/>
        </w:rPr>
      </w:pPr>
      <w:r w:rsidRPr="00B51544">
        <w:rPr>
          <w:rFonts w:asciiTheme="majorBidi" w:hAnsiTheme="majorBidi" w:cstheme="majorBidi"/>
          <w:sz w:val="24"/>
          <w:szCs w:val="24"/>
          <w:lang w:val="sv-SE"/>
        </w:rPr>
        <w:t>Berdasarkan Berdasarkan penjelasan diatas bahwa hipotesis yang akan dipilih nisbah bagi hasil berpengaruh positif. Hal ini didukung dengan penelitian yang dilakukan oleh Rika Putri Nur Alinda dan Nafisah Wahyu Fauziyah menunjukkan bahwa nisbah bagi hasil berpengaruh positif terhadap deposito mudharabah.</w:t>
      </w:r>
      <w:r w:rsidRPr="00B51544">
        <w:rPr>
          <w:rStyle w:val="FootnoteReference"/>
          <w:rFonts w:asciiTheme="majorBidi" w:hAnsiTheme="majorBidi" w:cstheme="majorBidi"/>
          <w:sz w:val="24"/>
          <w:szCs w:val="24"/>
          <w:lang w:val="sv-SE"/>
        </w:rPr>
        <w:footnoteReference w:id="69"/>
      </w:r>
      <w:r w:rsidRPr="00B51544">
        <w:rPr>
          <w:rFonts w:asciiTheme="majorBidi" w:hAnsiTheme="majorBidi" w:cstheme="majorBidi"/>
          <w:sz w:val="24"/>
          <w:szCs w:val="24"/>
          <w:lang w:val="sv-SE"/>
        </w:rPr>
        <w:t xml:space="preserve"> Maka hipotesis nisbah bagi hasil sebagai berikut : </w:t>
      </w:r>
    </w:p>
    <w:p w14:paraId="704D553F" w14:textId="747A5098" w:rsidR="00D414A5" w:rsidRPr="00B51544" w:rsidRDefault="00D414A5" w:rsidP="00B51544">
      <w:pPr>
        <w:pStyle w:val="ListParagraph"/>
        <w:spacing w:line="360" w:lineRule="auto"/>
        <w:ind w:left="993" w:firstLine="708"/>
        <w:jc w:val="both"/>
        <w:rPr>
          <w:rFonts w:asciiTheme="majorBidi" w:hAnsiTheme="majorBidi" w:cstheme="majorBidi"/>
          <w:b/>
          <w:bCs/>
          <w:sz w:val="24"/>
          <w:szCs w:val="24"/>
          <w:lang w:val="sv-SE"/>
        </w:rPr>
      </w:pPr>
      <w:r w:rsidRPr="00B51544">
        <w:rPr>
          <w:rFonts w:asciiTheme="majorBidi" w:hAnsiTheme="majorBidi" w:cstheme="majorBidi"/>
          <w:b/>
          <w:bCs/>
          <w:sz w:val="24"/>
          <w:szCs w:val="24"/>
          <w:lang w:val="sv-SE"/>
        </w:rPr>
        <w:t>H3 : Nisbah Bagi Hasil berpengaruh positif terhadap deposito mudharabah</w:t>
      </w:r>
    </w:p>
    <w:p w14:paraId="56D4D6C4" w14:textId="4EC0EA87" w:rsidR="00B8380C" w:rsidRPr="00B51544" w:rsidRDefault="00B8380C" w:rsidP="00B51544">
      <w:pPr>
        <w:pStyle w:val="Heading2"/>
        <w:spacing w:line="360" w:lineRule="auto"/>
        <w:jc w:val="both"/>
        <w:rPr>
          <w:rFonts w:asciiTheme="majorBidi" w:hAnsiTheme="majorBidi"/>
          <w:b/>
          <w:bCs/>
          <w:color w:val="auto"/>
          <w:sz w:val="24"/>
          <w:szCs w:val="24"/>
          <w:lang w:val="sv-SE"/>
        </w:rPr>
      </w:pPr>
      <w:bookmarkStart w:id="48" w:name="_Toc201063318"/>
      <w:r w:rsidRPr="00B51544">
        <w:rPr>
          <w:rFonts w:asciiTheme="majorBidi" w:hAnsiTheme="majorBidi"/>
          <w:b/>
          <w:bCs/>
          <w:color w:val="auto"/>
          <w:sz w:val="24"/>
          <w:szCs w:val="24"/>
          <w:lang w:val="sv-SE"/>
        </w:rPr>
        <w:t>2.5 Deposito Mudharabah</w:t>
      </w:r>
      <w:bookmarkEnd w:id="48"/>
    </w:p>
    <w:p w14:paraId="3E40055B" w14:textId="3A898990" w:rsidR="00B8380C" w:rsidRPr="00B51544" w:rsidRDefault="00B8380C" w:rsidP="00B51544">
      <w:pPr>
        <w:pStyle w:val="Heading3"/>
        <w:spacing w:line="360" w:lineRule="auto"/>
        <w:ind w:left="426"/>
        <w:jc w:val="both"/>
        <w:rPr>
          <w:rFonts w:asciiTheme="majorBidi" w:hAnsiTheme="majorBidi"/>
          <w:b/>
          <w:bCs/>
          <w:color w:val="auto"/>
          <w:sz w:val="24"/>
          <w:szCs w:val="24"/>
          <w:lang w:val="sv-SE"/>
        </w:rPr>
      </w:pPr>
      <w:bookmarkStart w:id="49" w:name="_Toc201063319"/>
      <w:r w:rsidRPr="00B51544">
        <w:rPr>
          <w:rFonts w:asciiTheme="majorBidi" w:hAnsiTheme="majorBidi"/>
          <w:b/>
          <w:bCs/>
          <w:color w:val="auto"/>
          <w:sz w:val="24"/>
          <w:szCs w:val="24"/>
          <w:lang w:val="sv-SE"/>
        </w:rPr>
        <w:t>2.5.1 Pengertian Deposito Mudharabah</w:t>
      </w:r>
      <w:bookmarkEnd w:id="49"/>
    </w:p>
    <w:p w14:paraId="391A39F8" w14:textId="70B36F98" w:rsidR="00B8380C" w:rsidRPr="00B51544" w:rsidRDefault="00175259" w:rsidP="00B51544">
      <w:pPr>
        <w:pStyle w:val="ListParagraph"/>
        <w:spacing w:line="360" w:lineRule="auto"/>
        <w:ind w:left="993" w:firstLine="709"/>
        <w:jc w:val="both"/>
        <w:rPr>
          <w:rFonts w:asciiTheme="majorBidi" w:hAnsiTheme="majorBidi" w:cstheme="majorBidi"/>
          <w:sz w:val="24"/>
          <w:szCs w:val="24"/>
          <w:lang w:val="sv-SE"/>
        </w:rPr>
      </w:pPr>
      <w:r w:rsidRPr="00175259">
        <w:rPr>
          <w:rFonts w:asciiTheme="majorBidi" w:hAnsiTheme="majorBidi" w:cstheme="majorBidi"/>
          <w:sz w:val="24"/>
          <w:szCs w:val="24"/>
          <w:lang w:val="sv-SE"/>
        </w:rPr>
        <w:t>Deposito merupakan jenis simpanan yang dimiliki nasabah dengan jumlah minimum dan jangka waktu tertentu, serta memberikan hasil yang lebih besar dibandingkan dengan tabungan biasa. Namun, penarikan dananya hanya diperbolehkan saat waktu jatuh tempo yang telah disetujui oleh bank dan investor. Menurut Fatwa Dewan Syariah Nasional No. 03/DSN-MUI/IV/2000, ada dua kategori deposito: 1) Deposito yang tidak sesuai dengan syariah, yaitu deposito yang menggunakan sistem bunga. 2) Deposito yang sesuai dengan syariah, yaitu deposito yang mengikuti prinsip Mudharabah</w:t>
      </w:r>
      <w:r w:rsidR="00B8380C" w:rsidRPr="00B51544">
        <w:rPr>
          <w:rFonts w:asciiTheme="majorBidi" w:hAnsiTheme="majorBidi" w:cstheme="majorBidi"/>
          <w:sz w:val="24"/>
          <w:szCs w:val="24"/>
          <w:lang w:val="sv-SE"/>
        </w:rPr>
        <w:t>.</w:t>
      </w:r>
      <w:r w:rsidR="00B8380C" w:rsidRPr="00B51544">
        <w:rPr>
          <w:rStyle w:val="FootnoteReference"/>
          <w:rFonts w:asciiTheme="majorBidi" w:hAnsiTheme="majorBidi" w:cstheme="majorBidi"/>
          <w:sz w:val="24"/>
          <w:szCs w:val="24"/>
        </w:rPr>
        <w:footnoteReference w:id="70"/>
      </w:r>
    </w:p>
    <w:p w14:paraId="3E2EA4A1" w14:textId="11F70E78" w:rsidR="00B8380C" w:rsidRPr="00B51544" w:rsidRDefault="00175259" w:rsidP="00B51544">
      <w:pPr>
        <w:pStyle w:val="ListParagraph"/>
        <w:spacing w:line="360" w:lineRule="auto"/>
        <w:ind w:left="993" w:firstLine="709"/>
        <w:jc w:val="both"/>
        <w:rPr>
          <w:rFonts w:asciiTheme="majorBidi" w:hAnsiTheme="majorBidi" w:cstheme="majorBidi"/>
          <w:sz w:val="24"/>
          <w:szCs w:val="24"/>
          <w:lang w:val="sv-SE"/>
        </w:rPr>
      </w:pPr>
      <w:r w:rsidRPr="00175259">
        <w:rPr>
          <w:rFonts w:asciiTheme="majorBidi" w:hAnsiTheme="majorBidi" w:cstheme="majorBidi"/>
          <w:sz w:val="24"/>
          <w:szCs w:val="24"/>
          <w:lang w:val="sv-SE"/>
        </w:rPr>
        <w:t xml:space="preserve">Umumnya, durasi penyimpanan untuk Dana Deposito Mudharabah ditentukan berdasarkan bulan. Bank syariah menyediakan opsi selama 1 bulan, 3 bulan, 6 bulan, atau 12 bulan. Perbedaan dalam jangka waktu deposito mudharabah terjadi akibat lama penyimpanan serta variasi dalam persentase bagi hasil yang diberikan sebagai imbalan </w:t>
      </w:r>
      <w:r w:rsidRPr="00175259">
        <w:rPr>
          <w:rFonts w:asciiTheme="majorBidi" w:hAnsiTheme="majorBidi" w:cstheme="majorBidi"/>
          <w:sz w:val="24"/>
          <w:szCs w:val="24"/>
          <w:lang w:val="sv-SE"/>
        </w:rPr>
        <w:lastRenderedPageBreak/>
        <w:t>oleh bank syariah. Semakin lama periode deposito mudharabah, maka persentase bagi hasil yang ditawarkan oleh bank syariah akan semakin meningkat</w:t>
      </w:r>
      <w:r w:rsidR="00B8380C" w:rsidRPr="00B51544">
        <w:rPr>
          <w:rFonts w:asciiTheme="majorBidi" w:hAnsiTheme="majorBidi" w:cstheme="majorBidi"/>
          <w:sz w:val="24"/>
          <w:szCs w:val="24"/>
          <w:lang w:val="sv-SE"/>
        </w:rPr>
        <w:t>.</w:t>
      </w:r>
      <w:r w:rsidR="00B8380C" w:rsidRPr="00B51544">
        <w:rPr>
          <w:rStyle w:val="FootnoteReference"/>
          <w:rFonts w:asciiTheme="majorBidi" w:hAnsiTheme="majorBidi" w:cstheme="majorBidi"/>
          <w:sz w:val="24"/>
          <w:szCs w:val="24"/>
          <w:lang w:val="sv-SE"/>
        </w:rPr>
        <w:footnoteReference w:id="71"/>
      </w:r>
    </w:p>
    <w:p w14:paraId="1E6E7D8C" w14:textId="712E716D" w:rsidR="00B8380C" w:rsidRPr="00B51544" w:rsidRDefault="00175259" w:rsidP="00B51544">
      <w:pPr>
        <w:pStyle w:val="ListParagraph"/>
        <w:spacing w:line="360" w:lineRule="auto"/>
        <w:ind w:left="993" w:firstLine="709"/>
        <w:jc w:val="both"/>
        <w:rPr>
          <w:rFonts w:asciiTheme="majorBidi" w:hAnsiTheme="majorBidi" w:cstheme="majorBidi"/>
          <w:sz w:val="24"/>
          <w:szCs w:val="24"/>
          <w:lang w:val="sv-SE"/>
        </w:rPr>
      </w:pPr>
      <w:r w:rsidRPr="00175259">
        <w:rPr>
          <w:rFonts w:asciiTheme="majorBidi" w:hAnsiTheme="majorBidi" w:cstheme="majorBidi"/>
          <w:sz w:val="24"/>
          <w:szCs w:val="24"/>
          <w:lang w:val="sv-SE"/>
        </w:rPr>
        <w:t>Deposito Mudharabah merupakan jenis simpanan yang beroperasi sesuai dengan prinsip-prinsip Islam dengan menggunakan akad mudharabah. Akad Mudharabah ini adalah bentuk kolaborasi investasi yang memungkinkan bank syariah dalam mengelola dana nasabah, dengan pembagian keuntungan yang ditentukan berdasarkan nisbah yang telah disetujui antara pihak yang menyuplai modal (Shahibul mal) dan pihak yang mengelola serta menginvestasikan modal tersebut (Mudharib). Di sisi lain, risiko kerugian menjadi tanggung jawab Shahibul Mal, kecuali jika kerugian tersebut disebabkan oleh kelalaian pihak bank. Konsep ini membentuk dasar untuk memahami bahwa penerapan akuntansi dalam transaksi mudharabah memerlukan pengakuan yang sesuai terhadap hasil yang didapat</w:t>
      </w:r>
      <w:r w:rsidR="00B8380C" w:rsidRPr="00B51544">
        <w:rPr>
          <w:rFonts w:asciiTheme="majorBidi" w:hAnsiTheme="majorBidi" w:cstheme="majorBidi"/>
          <w:sz w:val="24"/>
          <w:szCs w:val="24"/>
          <w:lang w:val="sv-SE"/>
        </w:rPr>
        <w:t>.</w:t>
      </w:r>
      <w:r w:rsidR="00B8380C" w:rsidRPr="00B51544">
        <w:rPr>
          <w:rStyle w:val="FootnoteReference"/>
          <w:rFonts w:asciiTheme="majorBidi" w:hAnsiTheme="majorBidi" w:cstheme="majorBidi"/>
          <w:sz w:val="24"/>
          <w:szCs w:val="24"/>
        </w:rPr>
        <w:footnoteReference w:id="72"/>
      </w:r>
    </w:p>
    <w:p w14:paraId="0FD31B29" w14:textId="50F06396" w:rsidR="00B8380C" w:rsidRPr="00B51544" w:rsidRDefault="00175259" w:rsidP="003F0DDF">
      <w:pPr>
        <w:pStyle w:val="ListParagraph"/>
        <w:spacing w:after="0" w:line="360" w:lineRule="auto"/>
        <w:ind w:left="993" w:firstLine="709"/>
        <w:jc w:val="both"/>
        <w:rPr>
          <w:rFonts w:asciiTheme="majorBidi" w:hAnsiTheme="majorBidi" w:cstheme="majorBidi"/>
          <w:sz w:val="24"/>
          <w:szCs w:val="24"/>
          <w:lang w:val="sv-SE"/>
        </w:rPr>
      </w:pPr>
      <w:r w:rsidRPr="00175259">
        <w:rPr>
          <w:rFonts w:asciiTheme="majorBidi" w:hAnsiTheme="majorBidi" w:cstheme="majorBidi"/>
          <w:sz w:val="24"/>
          <w:szCs w:val="24"/>
          <w:lang w:val="sv-SE"/>
        </w:rPr>
        <w:t>Menurut UU Perbankan No. 10 tahun 1998, deposito merupakan simpanan yang hanya dapat diambil pada waktu tertentu sesuai kesepakatan antara nasabah dan bank. Jenis simpanan ini memiliki waktu tertentu untuk penarikannya, sehingga dapat dianggap sebagai dana yang stabil. Simpanan deposito akan berada di bank untuk jangka waktu yang telah disepakati antara bank dan pemilik deposito. Pemilik deposito hanya diizinkan untuk menarik dananya setelah jatuh tempo. Namun, dalam praktiknya, bank memberikan kemudahan kepada nasabah untuk menarik dananya sebelum waktunya tiba</w:t>
      </w:r>
      <w:r w:rsidR="00B8380C" w:rsidRPr="00B51544">
        <w:rPr>
          <w:rFonts w:asciiTheme="majorBidi" w:hAnsiTheme="majorBidi" w:cstheme="majorBidi"/>
          <w:sz w:val="24"/>
          <w:szCs w:val="24"/>
          <w:lang w:val="sv-SE"/>
        </w:rPr>
        <w:t>.</w:t>
      </w:r>
      <w:r w:rsidR="00B8380C" w:rsidRPr="00B51544">
        <w:rPr>
          <w:rStyle w:val="FootnoteReference"/>
          <w:rFonts w:asciiTheme="majorBidi" w:hAnsiTheme="majorBidi" w:cstheme="majorBidi"/>
          <w:sz w:val="24"/>
          <w:szCs w:val="24"/>
        </w:rPr>
        <w:footnoteReference w:id="73"/>
      </w:r>
    </w:p>
    <w:p w14:paraId="75868935" w14:textId="0C51B8BE" w:rsidR="006639EB" w:rsidRPr="00B51544" w:rsidRDefault="006639EB" w:rsidP="003F0DDF">
      <w:pPr>
        <w:pStyle w:val="ListParagraph"/>
        <w:spacing w:after="0" w:line="360" w:lineRule="auto"/>
        <w:ind w:left="993" w:firstLine="709"/>
        <w:jc w:val="both"/>
        <w:rPr>
          <w:rFonts w:asciiTheme="majorBidi" w:hAnsiTheme="majorBidi" w:cstheme="majorBidi"/>
          <w:sz w:val="24"/>
          <w:szCs w:val="24"/>
          <w:lang w:val="sv-SE"/>
        </w:rPr>
      </w:pPr>
      <w:r w:rsidRPr="006639EB">
        <w:rPr>
          <w:rFonts w:asciiTheme="majorBidi" w:hAnsiTheme="majorBidi" w:cstheme="majorBidi"/>
          <w:sz w:val="24"/>
          <w:szCs w:val="24"/>
          <w:lang w:val="sv-SE"/>
        </w:rPr>
        <w:t>Penarikan deposito yang dilakukan sebelum waktunya berakhir, umumnya akan dikenakan biaya penalti. Penalti adalah denda yang dikenakan kepada pemilik deposito yang mencairkan dananya sebelum waktu yang ditentukan. Biaya penalti ini dikenakan kepada nasabah karena bank telah mempertimbangkan aspek likuiditasnya, sehingga penarikan deposit sebelum jatuh tempo dianggap berpotensi mempengaruhi likuiditas bank.</w:t>
      </w:r>
    </w:p>
    <w:p w14:paraId="29FD75D3" w14:textId="4985F6CA" w:rsidR="00B8380C" w:rsidRPr="00B51544" w:rsidRDefault="00B8380C" w:rsidP="00B51544">
      <w:pPr>
        <w:pStyle w:val="Heading3"/>
        <w:spacing w:line="360" w:lineRule="auto"/>
        <w:ind w:left="426"/>
        <w:jc w:val="both"/>
        <w:rPr>
          <w:rFonts w:asciiTheme="majorBidi" w:hAnsiTheme="majorBidi"/>
          <w:b/>
          <w:bCs/>
          <w:color w:val="auto"/>
          <w:sz w:val="24"/>
          <w:szCs w:val="24"/>
          <w:lang w:val="sv-SE"/>
        </w:rPr>
      </w:pPr>
      <w:bookmarkStart w:id="50" w:name="_Toc201063320"/>
      <w:r w:rsidRPr="00B51544">
        <w:rPr>
          <w:rFonts w:asciiTheme="majorBidi" w:hAnsiTheme="majorBidi"/>
          <w:b/>
          <w:bCs/>
          <w:color w:val="auto"/>
          <w:sz w:val="24"/>
          <w:szCs w:val="24"/>
          <w:lang w:val="sv-SE"/>
        </w:rPr>
        <w:t>2.5.2 Konsep Akad Mudharabah</w:t>
      </w:r>
      <w:bookmarkEnd w:id="50"/>
    </w:p>
    <w:p w14:paraId="387B78A9" w14:textId="531D7E25" w:rsidR="00EB26B2" w:rsidRPr="006639EB" w:rsidRDefault="00B8380C" w:rsidP="00E17038">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Mudharabah adalah suatu kerja sama di mana satu pihak memberi modal, dan pihak lain menyediakan usaha, seperti tenaga dan manajemen. Pemberi modal disebut </w:t>
      </w:r>
      <w:r w:rsidRPr="00B51544">
        <w:rPr>
          <w:rFonts w:asciiTheme="majorBidi" w:hAnsiTheme="majorBidi" w:cstheme="majorBidi"/>
          <w:sz w:val="24"/>
          <w:szCs w:val="24"/>
          <w:lang w:val="sv-SE"/>
        </w:rPr>
        <w:lastRenderedPageBreak/>
        <w:t>shahibul maal, sedangkan pengelola modal disebut mudharib. Dalam perjanjian ini, tanggung jawab modal ada pada shahibul maal, sedangkan manajemen dipegang oleh mudharib. Secara grafis skema mudharabah dapat ditunjukkan dalam gambar di bawah ini :</w:t>
      </w:r>
    </w:p>
    <w:p w14:paraId="18B61F11" w14:textId="3B2E21A7" w:rsidR="00C40188" w:rsidRDefault="00C40188" w:rsidP="00E17038">
      <w:pPr>
        <w:pStyle w:val="Caption"/>
        <w:spacing w:after="0"/>
        <w:jc w:val="center"/>
        <w:rPr>
          <w:rFonts w:asciiTheme="majorBidi" w:hAnsiTheme="majorBidi" w:cstheme="majorBidi"/>
          <w:b/>
          <w:bCs/>
          <w:i w:val="0"/>
          <w:iCs w:val="0"/>
          <w:color w:val="auto"/>
          <w:sz w:val="24"/>
          <w:szCs w:val="24"/>
          <w:lang w:val="sv-SE"/>
        </w:rPr>
      </w:pPr>
      <w:bookmarkStart w:id="51" w:name="_Toc200572932"/>
      <w:r w:rsidRPr="00C40188">
        <w:rPr>
          <w:rFonts w:asciiTheme="majorBidi" w:hAnsiTheme="majorBidi" w:cstheme="majorBidi"/>
          <w:b/>
          <w:bCs/>
          <w:i w:val="0"/>
          <w:iCs w:val="0"/>
          <w:color w:val="auto"/>
          <w:sz w:val="24"/>
          <w:szCs w:val="24"/>
          <w:lang w:val="sv-SE"/>
        </w:rPr>
        <w:t xml:space="preserve">Gambar 2. </w:t>
      </w:r>
      <w:r w:rsidRPr="00C40188">
        <w:rPr>
          <w:rFonts w:asciiTheme="majorBidi" w:hAnsiTheme="majorBidi" w:cstheme="majorBidi"/>
          <w:b/>
          <w:bCs/>
          <w:i w:val="0"/>
          <w:iCs w:val="0"/>
          <w:color w:val="auto"/>
          <w:sz w:val="24"/>
          <w:szCs w:val="24"/>
        </w:rPr>
        <w:fldChar w:fldCharType="begin"/>
      </w:r>
      <w:r w:rsidRPr="00C40188">
        <w:rPr>
          <w:rFonts w:asciiTheme="majorBidi" w:hAnsiTheme="majorBidi" w:cstheme="majorBidi"/>
          <w:b/>
          <w:bCs/>
          <w:i w:val="0"/>
          <w:iCs w:val="0"/>
          <w:color w:val="auto"/>
          <w:sz w:val="24"/>
          <w:szCs w:val="24"/>
          <w:lang w:val="sv-SE"/>
        </w:rPr>
        <w:instrText xml:space="preserve"> SEQ Gambar_2. \* ARABIC </w:instrText>
      </w:r>
      <w:r w:rsidRPr="00C40188">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1</w:t>
      </w:r>
      <w:bookmarkEnd w:id="51"/>
      <w:r w:rsidRPr="00C40188">
        <w:rPr>
          <w:rFonts w:asciiTheme="majorBidi" w:hAnsiTheme="majorBidi" w:cstheme="majorBidi"/>
          <w:b/>
          <w:bCs/>
          <w:i w:val="0"/>
          <w:iCs w:val="0"/>
          <w:color w:val="auto"/>
          <w:sz w:val="24"/>
          <w:szCs w:val="24"/>
        </w:rPr>
        <w:fldChar w:fldCharType="end"/>
      </w:r>
      <w:r w:rsidRPr="00C40188">
        <w:rPr>
          <w:rFonts w:asciiTheme="majorBidi" w:hAnsiTheme="majorBidi" w:cstheme="majorBidi"/>
          <w:b/>
          <w:bCs/>
          <w:i w:val="0"/>
          <w:iCs w:val="0"/>
          <w:color w:val="auto"/>
          <w:sz w:val="24"/>
          <w:szCs w:val="24"/>
          <w:lang w:val="sv-SE"/>
        </w:rPr>
        <w:t xml:space="preserve"> </w:t>
      </w:r>
    </w:p>
    <w:p w14:paraId="62AE4114" w14:textId="51DFFB3C" w:rsidR="00C40188" w:rsidRPr="00C40188" w:rsidRDefault="00C40188" w:rsidP="00E17038">
      <w:pPr>
        <w:pStyle w:val="Caption"/>
        <w:spacing w:after="0"/>
        <w:jc w:val="center"/>
        <w:rPr>
          <w:rFonts w:asciiTheme="majorBidi" w:hAnsiTheme="majorBidi" w:cstheme="majorBidi"/>
          <w:b/>
          <w:bCs/>
          <w:i w:val="0"/>
          <w:iCs w:val="0"/>
          <w:color w:val="auto"/>
          <w:sz w:val="24"/>
          <w:szCs w:val="24"/>
          <w:lang w:val="sv-SE"/>
        </w:rPr>
      </w:pPr>
      <w:r w:rsidRPr="00C40188">
        <w:rPr>
          <w:rFonts w:asciiTheme="majorBidi" w:hAnsiTheme="majorBidi" w:cstheme="majorBidi"/>
          <w:b/>
          <w:bCs/>
          <w:i w:val="0"/>
          <w:iCs w:val="0"/>
          <w:color w:val="auto"/>
          <w:sz w:val="24"/>
          <w:szCs w:val="24"/>
          <w:lang w:val="sv-SE"/>
        </w:rPr>
        <w:t>Kurva Penentuan Bagi Hasil dalam Skema Mudharabah</w:t>
      </w:r>
    </w:p>
    <w:p w14:paraId="0C23C832"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noProof/>
          <w:sz w:val="24"/>
          <w:szCs w:val="24"/>
        </w:rPr>
        <w:drawing>
          <wp:anchor distT="0" distB="0" distL="114300" distR="114300" simplePos="0" relativeHeight="251687936" behindDoc="0" locked="0" layoutInCell="1" allowOverlap="1" wp14:anchorId="75F21B0E" wp14:editId="2D649CB5">
            <wp:simplePos x="0" y="0"/>
            <wp:positionH relativeFrom="column">
              <wp:posOffset>1485900</wp:posOffset>
            </wp:positionH>
            <wp:positionV relativeFrom="paragraph">
              <wp:posOffset>129540</wp:posOffset>
            </wp:positionV>
            <wp:extent cx="3752850" cy="2171700"/>
            <wp:effectExtent l="0" t="0" r="0" b="0"/>
            <wp:wrapSquare wrapText="bothSides"/>
            <wp:docPr id="730779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52850" cy="2171700"/>
                    </a:xfrm>
                    <a:prstGeom prst="rect">
                      <a:avLst/>
                    </a:prstGeom>
                    <a:noFill/>
                    <a:ln>
                      <a:noFill/>
                    </a:ln>
                  </pic:spPr>
                </pic:pic>
              </a:graphicData>
            </a:graphic>
          </wp:anchor>
        </w:drawing>
      </w:r>
    </w:p>
    <w:p w14:paraId="53C3D37F"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1A9584DB"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7516979A"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7EC2EB2C"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16C4FD7C"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1E3D3353"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2CE6B040" w14:textId="5D7B413E" w:rsidR="00B8380C" w:rsidRPr="00B51544" w:rsidRDefault="00170403" w:rsidP="00B51544">
      <w:pPr>
        <w:pStyle w:val="ListParagraph"/>
        <w:spacing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noProof/>
          <w:sz w:val="24"/>
          <w:szCs w:val="24"/>
          <w:lang w:val="pt-BR"/>
        </w:rPr>
        <mc:AlternateContent>
          <mc:Choice Requires="wps">
            <w:drawing>
              <wp:anchor distT="0" distB="0" distL="114300" distR="114300" simplePos="0" relativeHeight="251688960" behindDoc="0" locked="0" layoutInCell="1" allowOverlap="1" wp14:anchorId="27341FF7" wp14:editId="3FF16E79">
                <wp:simplePos x="0" y="0"/>
                <wp:positionH relativeFrom="column">
                  <wp:posOffset>2114550</wp:posOffset>
                </wp:positionH>
                <wp:positionV relativeFrom="paragraph">
                  <wp:posOffset>165735</wp:posOffset>
                </wp:positionV>
                <wp:extent cx="2152650" cy="304800"/>
                <wp:effectExtent l="0" t="0" r="0" b="0"/>
                <wp:wrapNone/>
                <wp:docPr id="845733382" name="Text Box 6"/>
                <wp:cNvGraphicFramePr/>
                <a:graphic xmlns:a="http://schemas.openxmlformats.org/drawingml/2006/main">
                  <a:graphicData uri="http://schemas.microsoft.com/office/word/2010/wordprocessingShape">
                    <wps:wsp>
                      <wps:cNvSpPr txBox="1"/>
                      <wps:spPr>
                        <a:xfrm>
                          <a:off x="0" y="0"/>
                          <a:ext cx="215265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0F64E91" w14:textId="77777777" w:rsidR="00B8380C" w:rsidRPr="0037397F" w:rsidRDefault="00B8380C" w:rsidP="00B8380C">
                            <w:pPr>
                              <w:rPr>
                                <w:rFonts w:asciiTheme="majorBidi" w:hAnsiTheme="majorBidi" w:cstheme="majorBidi"/>
                                <w:sz w:val="24"/>
                                <w:szCs w:val="24"/>
                                <w:lang w:val="en-US"/>
                              </w:rPr>
                            </w:pPr>
                            <w:r w:rsidRPr="0037397F">
                              <w:rPr>
                                <w:rFonts w:asciiTheme="majorBidi" w:hAnsiTheme="majorBidi" w:cstheme="majorBidi"/>
                                <w:i/>
                                <w:iCs/>
                                <w:sz w:val="24"/>
                                <w:szCs w:val="24"/>
                                <w:lang w:val="en-US"/>
                              </w:rPr>
                              <w:t>Sumber</w:t>
                            </w:r>
                            <w:r w:rsidRPr="0037397F">
                              <w:rPr>
                                <w:rFonts w:asciiTheme="majorBidi" w:hAnsiTheme="majorBidi" w:cstheme="majorBidi"/>
                                <w:sz w:val="24"/>
                                <w:szCs w:val="24"/>
                                <w:lang w:val="en-US"/>
                              </w:rPr>
                              <w:t xml:space="preserve"> : Muchlis yahya,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41FF7" id="Text Box 6" o:spid="_x0000_s1032" type="#_x0000_t202" style="position:absolute;left:0;text-align:left;margin-left:166.5pt;margin-top:13.05pt;width:169.5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" filled="f" stroked="f">
                <v:textbox>
                  <w:txbxContent>
                    <w:p w14:paraId="70F64E91" w14:textId="77777777" w:rsidR="00B8380C" w:rsidRPr="0037397F" w:rsidRDefault="00B8380C" w:rsidP="00B8380C">
                      <w:pPr>
                        <w:rPr>
                          <w:rFonts w:asciiTheme="majorBidi" w:hAnsiTheme="majorBidi" w:cstheme="majorBidi"/>
                          <w:sz w:val="24"/>
                          <w:szCs w:val="24"/>
                          <w:lang w:val="en-US"/>
                        </w:rPr>
                      </w:pPr>
                      <w:r w:rsidRPr="0037397F">
                        <w:rPr>
                          <w:rFonts w:asciiTheme="majorBidi" w:hAnsiTheme="majorBidi" w:cstheme="majorBidi"/>
                          <w:i/>
                          <w:iCs/>
                          <w:sz w:val="24"/>
                          <w:szCs w:val="24"/>
                          <w:lang w:val="en-US"/>
                        </w:rPr>
                        <w:t>Sumber</w:t>
                      </w:r>
                      <w:r w:rsidRPr="0037397F">
                        <w:rPr>
                          <w:rFonts w:asciiTheme="majorBidi" w:hAnsiTheme="majorBidi" w:cstheme="majorBidi"/>
                          <w:sz w:val="24"/>
                          <w:szCs w:val="24"/>
                          <w:lang w:val="en-US"/>
                        </w:rPr>
                        <w:t xml:space="preserve"> : Muchlis yahya, 2011</w:t>
                      </w:r>
                    </w:p>
                  </w:txbxContent>
                </v:textbox>
              </v:shape>
            </w:pict>
          </mc:Fallback>
        </mc:AlternateContent>
      </w:r>
    </w:p>
    <w:p w14:paraId="29044A76" w14:textId="5BB5834E"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120AD7F5" w14:textId="77777777" w:rsidR="00B8380C" w:rsidRPr="00B51544" w:rsidRDefault="00B8380C" w:rsidP="00B51544">
      <w:pPr>
        <w:pStyle w:val="ListParagraph"/>
        <w:spacing w:line="360" w:lineRule="auto"/>
        <w:ind w:left="993" w:firstLine="709"/>
        <w:jc w:val="both"/>
        <w:rPr>
          <w:rFonts w:asciiTheme="majorBidi" w:hAnsiTheme="majorBidi" w:cstheme="majorBidi"/>
          <w:sz w:val="24"/>
          <w:szCs w:val="24"/>
          <w:lang w:val="sv-SE"/>
        </w:rPr>
      </w:pPr>
    </w:p>
    <w:p w14:paraId="450B7BD0" w14:textId="77777777" w:rsidR="00B8380C" w:rsidRPr="00B51544" w:rsidRDefault="00B8380C" w:rsidP="003F0DDF">
      <w:pPr>
        <w:pStyle w:val="ListParagraph"/>
        <w:spacing w:before="240"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Kurva S menggambarkan penawaran modal dari para shahibul maal, yang berhubungan dengan produktivitas. Sementara itu, kurva D mewakili permintaan modal dari para mudharib, yang terkait dengan kelangkaan. Istilah ”</w:t>
      </w:r>
      <w:r w:rsidRPr="008F3BF6">
        <w:rPr>
          <w:rFonts w:asciiTheme="majorBidi" w:hAnsiTheme="majorBidi" w:cstheme="majorBidi"/>
          <w:i/>
          <w:iCs/>
          <w:sz w:val="24"/>
          <w:szCs w:val="24"/>
          <w:lang w:val="sv-SE"/>
        </w:rPr>
        <w:t>productivity adjusted demand</w:t>
      </w:r>
      <w:r w:rsidRPr="00B51544">
        <w:rPr>
          <w:rFonts w:asciiTheme="majorBidi" w:hAnsiTheme="majorBidi" w:cstheme="majorBidi"/>
          <w:sz w:val="24"/>
          <w:szCs w:val="24"/>
          <w:lang w:val="sv-SE"/>
        </w:rPr>
        <w:t xml:space="preserve">” berkaitan dengan seberapa produktif atau wirausaha para mudharib. Di sisi lain, " </w:t>
      </w:r>
      <w:r w:rsidRPr="008F3BF6">
        <w:rPr>
          <w:rFonts w:asciiTheme="majorBidi" w:hAnsiTheme="majorBidi" w:cstheme="majorBidi"/>
          <w:i/>
          <w:iCs/>
          <w:sz w:val="24"/>
          <w:szCs w:val="24"/>
          <w:lang w:val="sv-SE"/>
        </w:rPr>
        <w:t>scarcity adjusted demand</w:t>
      </w:r>
      <w:r w:rsidRPr="00B51544">
        <w:rPr>
          <w:rFonts w:asciiTheme="majorBidi" w:hAnsiTheme="majorBidi" w:cstheme="majorBidi"/>
          <w:sz w:val="24"/>
          <w:szCs w:val="24"/>
          <w:lang w:val="sv-SE"/>
        </w:rPr>
        <w:t>" digunakan karena adanya batasan dalam penyediaan modal.</w:t>
      </w:r>
    </w:p>
    <w:p w14:paraId="6499C209" w14:textId="77777777" w:rsidR="00B8380C" w:rsidRPr="00B51544" w:rsidRDefault="00B8380C" w:rsidP="003F0DDF">
      <w:pPr>
        <w:pStyle w:val="ListParagraph"/>
        <w:spacing w:before="240" w:line="360" w:lineRule="auto"/>
        <w:ind w:left="993"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Sumbu horisontal bagian bawah menunjukkan proporsi modal dari shahibul maal, sementara sumbu horisontal atas menunjukkan kontribusi kewirausahaan dari mudharib. Sisi vertikal kiri menggambarkan bagi hasil shahibul maal, dan kanan menunjukkan bagi hasil mudharib. Kurva penawaran S miring positif, artinya semakin tinggi bagi hasil untuk shahibul maal, semakin banyak mereka siap menawarkan modal. Namun, ini juga mengurangi porsi bagi hasil mudharib. Sebaliknya, kurva permintaan D miring negatif, menunjukkan bahwa peningkatan bagi hasil untuk shahibul maal mengurangi permintaan modal dari mudharib.</w:t>
      </w:r>
    </w:p>
    <w:p w14:paraId="0BDF3B76" w14:textId="62DCD1D2" w:rsidR="00C34D3E" w:rsidRPr="00FF6109" w:rsidRDefault="00B8380C" w:rsidP="00810BD8">
      <w:pPr>
        <w:pStyle w:val="ListParagraph"/>
        <w:spacing w:line="360" w:lineRule="auto"/>
        <w:ind w:left="993" w:firstLine="709"/>
        <w:jc w:val="both"/>
        <w:rPr>
          <w:rFonts w:asciiTheme="majorBidi" w:hAnsiTheme="majorBidi" w:cstheme="majorBidi"/>
          <w:sz w:val="24"/>
          <w:szCs w:val="24"/>
          <w:lang w:val="pt-BR"/>
        </w:rPr>
      </w:pPr>
      <w:r w:rsidRPr="00B51544">
        <w:rPr>
          <w:rFonts w:asciiTheme="majorBidi" w:hAnsiTheme="majorBidi" w:cstheme="majorBidi"/>
          <w:sz w:val="24"/>
          <w:szCs w:val="24"/>
          <w:lang w:val="sv-SE"/>
        </w:rPr>
        <w:t xml:space="preserve">Tingkat nisbah bagi hasil ditentukan oleh perpotongan kurva penawaran dan permintaan. Dalam contoh, nisbah bagi hasil adalah 40 : 60, di mana 40 persen untuk shahibul maal dan 60 persen untuk mudharib. Jika ada keuntungan, pembagian berlaku, tetapi jika ada kerugian, shahibul maal menanggung kerugian, dan mudharib tidak mendapat pendapatan. Mudharib juga menanggung kerugian dari usaha dan manajemen </w:t>
      </w:r>
      <w:r w:rsidRPr="00B51544">
        <w:rPr>
          <w:rFonts w:asciiTheme="majorBidi" w:hAnsiTheme="majorBidi" w:cstheme="majorBidi"/>
          <w:sz w:val="24"/>
          <w:szCs w:val="24"/>
          <w:lang w:val="sv-SE"/>
        </w:rPr>
        <w:lastRenderedPageBreak/>
        <w:t>yang dilakukan. Dalam keadaan tanpa keuntungan atau kerugian, tidak ada pembagian hasil. </w:t>
      </w:r>
      <w:r w:rsidRPr="00FF6109">
        <w:rPr>
          <w:rFonts w:asciiTheme="majorBidi" w:hAnsiTheme="majorBidi" w:cstheme="majorBidi"/>
          <w:sz w:val="24"/>
          <w:szCs w:val="24"/>
          <w:lang w:val="pt-BR"/>
        </w:rPr>
        <w:t>Harga modal dan kewirausahaan ditentukan bersama.</w:t>
      </w:r>
      <w:r w:rsidR="00930A3C" w:rsidRPr="00B51544">
        <w:rPr>
          <w:rStyle w:val="FootnoteReference"/>
          <w:rFonts w:asciiTheme="majorBidi" w:hAnsiTheme="majorBidi" w:cstheme="majorBidi"/>
          <w:sz w:val="24"/>
          <w:szCs w:val="24"/>
          <w:lang w:val="sv-SE"/>
        </w:rPr>
        <w:footnoteReference w:id="74"/>
      </w:r>
    </w:p>
    <w:p w14:paraId="6326E077" w14:textId="277AE78C" w:rsidR="00C40188" w:rsidRPr="00FF6109" w:rsidRDefault="00C40188" w:rsidP="00E17038">
      <w:pPr>
        <w:pStyle w:val="Caption"/>
        <w:jc w:val="center"/>
        <w:rPr>
          <w:rFonts w:asciiTheme="majorBidi" w:hAnsiTheme="majorBidi" w:cstheme="majorBidi"/>
          <w:b/>
          <w:bCs/>
          <w:i w:val="0"/>
          <w:iCs w:val="0"/>
          <w:color w:val="auto"/>
          <w:sz w:val="24"/>
          <w:szCs w:val="24"/>
          <w:lang w:val="pt-BR"/>
        </w:rPr>
      </w:pPr>
      <w:bookmarkStart w:id="52" w:name="_Toc200572182"/>
      <w:r w:rsidRPr="00FF6109">
        <w:rPr>
          <w:rFonts w:asciiTheme="majorBidi" w:hAnsiTheme="majorBidi" w:cstheme="majorBidi"/>
          <w:b/>
          <w:bCs/>
          <w:i w:val="0"/>
          <w:iCs w:val="0"/>
          <w:color w:val="auto"/>
          <w:sz w:val="24"/>
          <w:szCs w:val="24"/>
          <w:lang w:val="pt-BR"/>
        </w:rPr>
        <w:t xml:space="preserve">Tabel 2. </w:t>
      </w:r>
      <w:r w:rsidRPr="00C40188">
        <w:rPr>
          <w:rFonts w:asciiTheme="majorBidi" w:hAnsiTheme="majorBidi" w:cstheme="majorBidi"/>
          <w:b/>
          <w:bCs/>
          <w:i w:val="0"/>
          <w:iCs w:val="0"/>
          <w:color w:val="auto"/>
          <w:sz w:val="24"/>
          <w:szCs w:val="24"/>
        </w:rPr>
        <w:fldChar w:fldCharType="begin"/>
      </w:r>
      <w:r w:rsidRPr="00FF6109">
        <w:rPr>
          <w:rFonts w:asciiTheme="majorBidi" w:hAnsiTheme="majorBidi" w:cstheme="majorBidi"/>
          <w:b/>
          <w:bCs/>
          <w:i w:val="0"/>
          <w:iCs w:val="0"/>
          <w:color w:val="auto"/>
          <w:sz w:val="24"/>
          <w:szCs w:val="24"/>
          <w:lang w:val="pt-BR"/>
        </w:rPr>
        <w:instrText xml:space="preserve"> SEQ Tabel_2. \* ARABIC </w:instrText>
      </w:r>
      <w:r w:rsidRPr="00C40188">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pt-BR"/>
        </w:rPr>
        <w:t>4</w:t>
      </w:r>
      <w:r w:rsidRPr="00C40188">
        <w:rPr>
          <w:rFonts w:asciiTheme="majorBidi" w:hAnsiTheme="majorBidi" w:cstheme="majorBidi"/>
          <w:b/>
          <w:bCs/>
          <w:i w:val="0"/>
          <w:iCs w:val="0"/>
          <w:color w:val="auto"/>
          <w:sz w:val="24"/>
          <w:szCs w:val="24"/>
        </w:rPr>
        <w:fldChar w:fldCharType="end"/>
      </w:r>
      <w:r w:rsidRPr="00FF6109">
        <w:rPr>
          <w:rFonts w:asciiTheme="majorBidi" w:hAnsiTheme="majorBidi" w:cstheme="majorBidi"/>
          <w:b/>
          <w:bCs/>
          <w:i w:val="0"/>
          <w:iCs w:val="0"/>
          <w:color w:val="auto"/>
          <w:sz w:val="24"/>
          <w:szCs w:val="24"/>
          <w:lang w:val="pt-BR"/>
        </w:rPr>
        <w:t xml:space="preserve"> </w:t>
      </w:r>
      <w:r w:rsidRPr="00FF6109">
        <w:rPr>
          <w:rFonts w:asciiTheme="majorBidi" w:hAnsiTheme="majorBidi" w:cstheme="majorBidi"/>
          <w:b/>
          <w:bCs/>
          <w:i w:val="0"/>
          <w:iCs w:val="0"/>
          <w:color w:val="auto"/>
          <w:sz w:val="24"/>
          <w:szCs w:val="24"/>
          <w:lang w:val="pt-BR"/>
        </w:rPr>
        <w:br/>
        <w:t xml:space="preserve">Data Deposito Mudharabah Bank Muamalat Indonesia </w:t>
      </w:r>
      <w:r w:rsidRPr="00FF6109">
        <w:rPr>
          <w:rFonts w:asciiTheme="majorBidi" w:hAnsiTheme="majorBidi" w:cstheme="majorBidi"/>
          <w:b/>
          <w:bCs/>
          <w:i w:val="0"/>
          <w:iCs w:val="0"/>
          <w:color w:val="auto"/>
          <w:sz w:val="24"/>
          <w:szCs w:val="24"/>
          <w:lang w:val="pt-BR"/>
        </w:rPr>
        <w:br/>
        <w:t>Periode 2017 – 2024</w:t>
      </w:r>
      <w:bookmarkEnd w:id="52"/>
    </w:p>
    <w:p w14:paraId="17DF1D5D" w14:textId="3790EC87" w:rsidR="00810BD8" w:rsidRPr="00FF6109" w:rsidRDefault="00E17038" w:rsidP="00B51544">
      <w:pPr>
        <w:spacing w:line="360" w:lineRule="auto"/>
        <w:jc w:val="both"/>
        <w:rPr>
          <w:rFonts w:asciiTheme="majorBidi" w:hAnsiTheme="majorBidi" w:cstheme="majorBidi"/>
          <w:sz w:val="24"/>
          <w:szCs w:val="24"/>
          <w:lang w:val="pt-BR"/>
        </w:rPr>
      </w:pPr>
      <w:r w:rsidRPr="00810BD8">
        <w:rPr>
          <w:noProof/>
        </w:rPr>
        <w:drawing>
          <wp:anchor distT="0" distB="0" distL="114300" distR="114300" simplePos="0" relativeHeight="251795456" behindDoc="0" locked="0" layoutInCell="1" allowOverlap="1" wp14:anchorId="0C2D1D41" wp14:editId="5C0A8EE0">
            <wp:simplePos x="0" y="0"/>
            <wp:positionH relativeFrom="column">
              <wp:posOffset>833120</wp:posOffset>
            </wp:positionH>
            <wp:positionV relativeFrom="paragraph">
              <wp:posOffset>19050</wp:posOffset>
            </wp:positionV>
            <wp:extent cx="4295775" cy="7219950"/>
            <wp:effectExtent l="0" t="0" r="9525" b="0"/>
            <wp:wrapSquare wrapText="bothSides"/>
            <wp:docPr id="43812050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5775" cy="721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783664" w14:textId="77777777" w:rsidR="00810BD8" w:rsidRPr="00FF6109" w:rsidRDefault="00810BD8" w:rsidP="00B51544">
      <w:pPr>
        <w:spacing w:line="360" w:lineRule="auto"/>
        <w:jc w:val="both"/>
        <w:rPr>
          <w:rFonts w:asciiTheme="majorBidi" w:hAnsiTheme="majorBidi" w:cstheme="majorBidi"/>
          <w:sz w:val="24"/>
          <w:szCs w:val="24"/>
          <w:lang w:val="pt-BR"/>
        </w:rPr>
      </w:pPr>
    </w:p>
    <w:p w14:paraId="1CCAE5A1" w14:textId="77777777" w:rsidR="00810BD8" w:rsidRPr="00FF6109" w:rsidRDefault="00810BD8" w:rsidP="00B51544">
      <w:pPr>
        <w:spacing w:line="360" w:lineRule="auto"/>
        <w:jc w:val="both"/>
        <w:rPr>
          <w:rFonts w:asciiTheme="majorBidi" w:hAnsiTheme="majorBidi" w:cstheme="majorBidi"/>
          <w:sz w:val="24"/>
          <w:szCs w:val="24"/>
          <w:lang w:val="pt-BR"/>
        </w:rPr>
      </w:pPr>
    </w:p>
    <w:p w14:paraId="34AA16B5" w14:textId="77777777" w:rsidR="00810BD8" w:rsidRPr="00FF6109" w:rsidRDefault="00810BD8" w:rsidP="00B51544">
      <w:pPr>
        <w:spacing w:line="360" w:lineRule="auto"/>
        <w:jc w:val="both"/>
        <w:rPr>
          <w:rFonts w:asciiTheme="majorBidi" w:hAnsiTheme="majorBidi" w:cstheme="majorBidi"/>
          <w:sz w:val="24"/>
          <w:szCs w:val="24"/>
          <w:lang w:val="pt-BR"/>
        </w:rPr>
      </w:pPr>
    </w:p>
    <w:p w14:paraId="3CB61BE9" w14:textId="77777777" w:rsidR="00810BD8" w:rsidRPr="00FF6109" w:rsidRDefault="00810BD8" w:rsidP="00B51544">
      <w:pPr>
        <w:spacing w:line="360" w:lineRule="auto"/>
        <w:jc w:val="both"/>
        <w:rPr>
          <w:rFonts w:asciiTheme="majorBidi" w:hAnsiTheme="majorBidi" w:cstheme="majorBidi"/>
          <w:sz w:val="24"/>
          <w:szCs w:val="24"/>
          <w:lang w:val="pt-BR"/>
        </w:rPr>
      </w:pPr>
    </w:p>
    <w:p w14:paraId="527664FF" w14:textId="353D32AF" w:rsidR="00810BD8" w:rsidRPr="00FF6109" w:rsidRDefault="00810BD8" w:rsidP="00B51544">
      <w:pPr>
        <w:spacing w:line="360" w:lineRule="auto"/>
        <w:jc w:val="both"/>
        <w:rPr>
          <w:rFonts w:asciiTheme="majorBidi" w:hAnsiTheme="majorBidi" w:cstheme="majorBidi"/>
          <w:sz w:val="24"/>
          <w:szCs w:val="24"/>
          <w:lang w:val="pt-BR"/>
        </w:rPr>
      </w:pPr>
    </w:p>
    <w:p w14:paraId="7477FAB2" w14:textId="1400A657" w:rsidR="00533AD2" w:rsidRPr="00FF6109" w:rsidRDefault="00533AD2" w:rsidP="00B51544">
      <w:pPr>
        <w:spacing w:line="360" w:lineRule="auto"/>
        <w:jc w:val="both"/>
        <w:rPr>
          <w:rFonts w:asciiTheme="majorBidi" w:hAnsiTheme="majorBidi" w:cstheme="majorBidi"/>
          <w:sz w:val="24"/>
          <w:szCs w:val="24"/>
          <w:lang w:val="pt-BR"/>
        </w:rPr>
      </w:pPr>
    </w:p>
    <w:p w14:paraId="6635AFCB" w14:textId="77777777" w:rsidR="00533AD2" w:rsidRPr="00FF6109" w:rsidRDefault="00533AD2" w:rsidP="00B51544">
      <w:pPr>
        <w:spacing w:line="360" w:lineRule="auto"/>
        <w:jc w:val="both"/>
        <w:rPr>
          <w:rFonts w:asciiTheme="majorBidi" w:hAnsiTheme="majorBidi" w:cstheme="majorBidi"/>
          <w:sz w:val="24"/>
          <w:szCs w:val="24"/>
          <w:lang w:val="pt-BR"/>
        </w:rPr>
      </w:pPr>
    </w:p>
    <w:p w14:paraId="5B139169" w14:textId="03ED3237" w:rsidR="00533AD2" w:rsidRPr="00FF6109" w:rsidRDefault="00533AD2" w:rsidP="00B51544">
      <w:pPr>
        <w:spacing w:line="360" w:lineRule="auto"/>
        <w:jc w:val="both"/>
        <w:rPr>
          <w:rFonts w:asciiTheme="majorBidi" w:hAnsiTheme="majorBidi" w:cstheme="majorBidi"/>
          <w:sz w:val="24"/>
          <w:szCs w:val="24"/>
          <w:lang w:val="pt-BR"/>
        </w:rPr>
      </w:pPr>
    </w:p>
    <w:p w14:paraId="5D2A9BFF"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506A62F1"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0C08FFA9"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7460EB40"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0EF89607"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2EF60F45"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1A99A8A2" w14:textId="1A8BAE0A"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202EA3BE" w14:textId="22956E1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672A24CE" w14:textId="2545448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743BA9E4" w14:textId="16A9DDCC"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5EDF2F4B"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5BE12BE0" w14:textId="2C209434"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578B2D0D" w14:textId="77777777" w:rsidR="00810BD8" w:rsidRPr="00FF6109" w:rsidRDefault="00810BD8" w:rsidP="00B51544">
      <w:pPr>
        <w:pStyle w:val="ListParagraph"/>
        <w:spacing w:line="360" w:lineRule="auto"/>
        <w:ind w:left="993" w:firstLine="709"/>
        <w:jc w:val="both"/>
        <w:rPr>
          <w:rFonts w:asciiTheme="majorBidi" w:hAnsiTheme="majorBidi" w:cstheme="majorBidi"/>
          <w:sz w:val="24"/>
          <w:szCs w:val="24"/>
          <w:lang w:val="pt-BR"/>
        </w:rPr>
      </w:pPr>
    </w:p>
    <w:p w14:paraId="740DC98D" w14:textId="3A65C5FC" w:rsidR="00533AD2" w:rsidRPr="00FF6109" w:rsidRDefault="00810BD8" w:rsidP="00810BD8">
      <w:pPr>
        <w:pStyle w:val="ListParagraph"/>
        <w:spacing w:line="360" w:lineRule="auto"/>
        <w:ind w:left="993" w:firstLine="709"/>
        <w:jc w:val="both"/>
        <w:rPr>
          <w:rFonts w:asciiTheme="majorBidi" w:hAnsiTheme="majorBidi" w:cstheme="majorBidi"/>
          <w:sz w:val="24"/>
          <w:szCs w:val="24"/>
          <w:lang w:val="pt-BR"/>
        </w:rPr>
      </w:pPr>
      <w:r w:rsidRPr="00B51544">
        <w:rPr>
          <w:rFonts w:asciiTheme="majorBidi" w:hAnsiTheme="majorBidi" w:cstheme="majorBidi"/>
          <w:b/>
          <w:bCs/>
          <w:noProof/>
          <w:sz w:val="24"/>
          <w:szCs w:val="24"/>
        </w:rPr>
        <mc:AlternateContent>
          <mc:Choice Requires="wps">
            <w:drawing>
              <wp:anchor distT="0" distB="0" distL="114300" distR="114300" simplePos="0" relativeHeight="251712512" behindDoc="0" locked="0" layoutInCell="1" allowOverlap="1" wp14:anchorId="2C96683F" wp14:editId="57BF6120">
                <wp:simplePos x="0" y="0"/>
                <wp:positionH relativeFrom="column">
                  <wp:posOffset>742950</wp:posOffset>
                </wp:positionH>
                <wp:positionV relativeFrom="paragraph">
                  <wp:posOffset>544195</wp:posOffset>
                </wp:positionV>
                <wp:extent cx="3667125" cy="304800"/>
                <wp:effectExtent l="0" t="0" r="0" b="0"/>
                <wp:wrapNone/>
                <wp:docPr id="1508543623" name="Text Box 10"/>
                <wp:cNvGraphicFramePr/>
                <a:graphic xmlns:a="http://schemas.openxmlformats.org/drawingml/2006/main">
                  <a:graphicData uri="http://schemas.microsoft.com/office/word/2010/wordprocessingShape">
                    <wps:wsp>
                      <wps:cNvSpPr txBox="1"/>
                      <wps:spPr>
                        <a:xfrm>
                          <a:off x="0" y="0"/>
                          <a:ext cx="36671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6A7FF3" w14:textId="77777777" w:rsidR="008E0AEA" w:rsidRPr="00F40ABE" w:rsidRDefault="008E0AEA" w:rsidP="008E0AEA">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6683F" id="_x0000_s1033" type="#_x0000_t202" style="position:absolute;left:0;text-align:left;margin-left:58.5pt;margin-top:42.85pt;width:288.75pt;height:2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" filled="f" stroked="f">
                <v:textbox>
                  <w:txbxContent>
                    <w:p w14:paraId="546A7FF3" w14:textId="77777777" w:rsidR="008E0AEA" w:rsidRPr="00F40ABE" w:rsidRDefault="008E0AEA" w:rsidP="008E0AEA">
                      <w:pPr>
                        <w:rPr>
                          <w:rFonts w:asciiTheme="majorBidi" w:hAnsiTheme="majorBidi" w:cstheme="majorBidi"/>
                          <w:sz w:val="24"/>
                          <w:szCs w:val="24"/>
                          <w:lang w:val="sv-SE"/>
                        </w:rPr>
                      </w:pPr>
                      <w:r w:rsidRPr="00F40ABE">
                        <w:rPr>
                          <w:rFonts w:asciiTheme="majorBidi" w:hAnsiTheme="majorBidi" w:cstheme="majorBidi"/>
                          <w:sz w:val="24"/>
                          <w:szCs w:val="24"/>
                          <w:lang w:val="sv-SE"/>
                        </w:rPr>
                        <w:t>Sumber : Laporan Triwulan Bank Muamalat Indonesia</w:t>
                      </w:r>
                    </w:p>
                  </w:txbxContent>
                </v:textbox>
              </v:shape>
            </w:pict>
          </mc:Fallback>
        </mc:AlternateContent>
      </w:r>
    </w:p>
    <w:p w14:paraId="68180327" w14:textId="7A9DE8D6" w:rsidR="00EB26B2" w:rsidRPr="00FF6109" w:rsidRDefault="00EB26B2" w:rsidP="004F6C85">
      <w:pPr>
        <w:spacing w:line="360" w:lineRule="auto"/>
        <w:ind w:left="993" w:firstLine="708"/>
        <w:jc w:val="both"/>
        <w:rPr>
          <w:rFonts w:asciiTheme="majorBidi" w:eastAsiaTheme="minorEastAsia" w:hAnsiTheme="majorBidi" w:cstheme="majorBidi"/>
          <w:sz w:val="24"/>
          <w:szCs w:val="24"/>
          <w:lang w:val="pt-BR"/>
        </w:rPr>
      </w:pPr>
      <w:r w:rsidRPr="00FF6109">
        <w:rPr>
          <w:rFonts w:asciiTheme="majorBidi" w:hAnsiTheme="majorBidi" w:cstheme="majorBidi"/>
          <w:sz w:val="24"/>
          <w:szCs w:val="24"/>
          <w:lang w:val="pt-BR"/>
        </w:rPr>
        <w:lastRenderedPageBreak/>
        <w:t>Pada tabel 2. 4 di atas, terlihat bahwa deposito mudharabah Bank Muamalat Indonesia untuk jangka waktu 1, 3, 6, dan 12 bulan menunjukkan kondisi yang tidak stabil. Puncak investasi deposito mudharabah berlangsung pada tahun 2017 dengan total melebihi 30 miliyar rupiah. Namun, angka tersebut turun pada tahun 2018 hingga 2024, selalu berada di bawah 30 miliyar rupiah. Penurunan deposito mudharabah ini akan berdampak pada berkurangnya tingkat nisbah bagi hasil yang diterima nasabah.</w:t>
      </w:r>
    </w:p>
    <w:p w14:paraId="4E9B84D8" w14:textId="50FCAC50" w:rsidR="00B8380C" w:rsidRPr="00FF6109" w:rsidRDefault="00B8380C" w:rsidP="00B51544">
      <w:pPr>
        <w:pStyle w:val="Heading3"/>
        <w:spacing w:line="360" w:lineRule="auto"/>
        <w:ind w:left="426"/>
        <w:jc w:val="both"/>
        <w:rPr>
          <w:rFonts w:asciiTheme="majorBidi" w:hAnsiTheme="majorBidi"/>
          <w:b/>
          <w:bCs/>
          <w:color w:val="auto"/>
          <w:sz w:val="24"/>
          <w:szCs w:val="24"/>
          <w:lang w:val="pt-BR"/>
        </w:rPr>
      </w:pPr>
      <w:bookmarkStart w:id="53" w:name="_Toc201063321"/>
      <w:r w:rsidRPr="00FF6109">
        <w:rPr>
          <w:rFonts w:asciiTheme="majorBidi" w:hAnsiTheme="majorBidi"/>
          <w:b/>
          <w:bCs/>
          <w:color w:val="auto"/>
          <w:sz w:val="24"/>
          <w:szCs w:val="24"/>
          <w:lang w:val="pt-BR"/>
        </w:rPr>
        <w:t>2.</w:t>
      </w:r>
      <w:r w:rsidR="00170403" w:rsidRPr="00FF6109">
        <w:rPr>
          <w:rFonts w:asciiTheme="majorBidi" w:hAnsiTheme="majorBidi"/>
          <w:b/>
          <w:bCs/>
          <w:color w:val="auto"/>
          <w:sz w:val="24"/>
          <w:szCs w:val="24"/>
          <w:lang w:val="pt-BR"/>
        </w:rPr>
        <w:t>5</w:t>
      </w:r>
      <w:r w:rsidRPr="00FF6109">
        <w:rPr>
          <w:rFonts w:asciiTheme="majorBidi" w:hAnsiTheme="majorBidi"/>
          <w:b/>
          <w:bCs/>
          <w:color w:val="auto"/>
          <w:sz w:val="24"/>
          <w:szCs w:val="24"/>
          <w:lang w:val="pt-BR"/>
        </w:rPr>
        <w:t>.3 Landasan Hukum Deposito Mudharabah</w:t>
      </w:r>
      <w:bookmarkEnd w:id="53"/>
    </w:p>
    <w:p w14:paraId="3F443E97" w14:textId="05AC63F6" w:rsidR="00B8380C" w:rsidRPr="00FF6109" w:rsidRDefault="00B8380C" w:rsidP="00B51544">
      <w:pPr>
        <w:pStyle w:val="ListParagraph"/>
        <w:spacing w:line="360" w:lineRule="auto"/>
        <w:ind w:left="993" w:firstLine="709"/>
        <w:jc w:val="both"/>
        <w:rPr>
          <w:rFonts w:asciiTheme="majorBidi" w:hAnsiTheme="majorBidi" w:cstheme="majorBidi"/>
          <w:sz w:val="24"/>
          <w:szCs w:val="24"/>
          <w:lang w:val="pt-BR"/>
        </w:rPr>
      </w:pPr>
      <w:r w:rsidRPr="00FF6109">
        <w:rPr>
          <w:rFonts w:asciiTheme="majorBidi" w:hAnsiTheme="majorBidi" w:cstheme="majorBidi"/>
          <w:sz w:val="24"/>
          <w:szCs w:val="24"/>
          <w:lang w:val="pt-BR"/>
        </w:rPr>
        <w:t xml:space="preserve">Deposito Mudharabah dalam Al-Qur’an tertuang dalam Surah An-Nisaa’ ayat 29 yang berbunyi : </w:t>
      </w:r>
    </w:p>
    <w:p w14:paraId="56529E01" w14:textId="77777777" w:rsidR="00377CB4" w:rsidRPr="00FF6109" w:rsidRDefault="00377CB4" w:rsidP="00B51544">
      <w:pPr>
        <w:pStyle w:val="ListParagraph"/>
        <w:spacing w:line="360" w:lineRule="auto"/>
        <w:ind w:left="993" w:firstLine="709"/>
        <w:jc w:val="both"/>
        <w:rPr>
          <w:rFonts w:asciiTheme="majorBidi" w:hAnsiTheme="majorBidi" w:cstheme="majorBidi"/>
          <w:b/>
          <w:bCs/>
          <w:sz w:val="24"/>
          <w:szCs w:val="24"/>
          <w:lang w:val="pt-BR"/>
        </w:rPr>
      </w:pPr>
    </w:p>
    <w:p w14:paraId="382204D1" w14:textId="517AEAB2" w:rsidR="00B8380C" w:rsidRPr="00E17038" w:rsidRDefault="00B8380C" w:rsidP="00377CB4">
      <w:pPr>
        <w:pStyle w:val="ListParagraph"/>
        <w:spacing w:line="360" w:lineRule="auto"/>
        <w:jc w:val="right"/>
        <w:rPr>
          <w:rFonts w:ascii="Simplified Arabic" w:hAnsi="Simplified Arabic" w:cs="Simplified Arabic"/>
          <w:sz w:val="28"/>
          <w:szCs w:val="28"/>
        </w:rPr>
      </w:pPr>
      <w:r w:rsidRPr="00E17038">
        <w:rPr>
          <w:rFonts w:ascii="Simplified Arabic" w:hAnsi="Simplified Arabic" w:cs="Simplified Arabic"/>
          <w:sz w:val="28"/>
          <w:szCs w:val="28"/>
          <w:rtl/>
        </w:rPr>
        <w:t>يٰٓاَيُّهَا الَّذِيْنَ اٰمَنُوْا لَا تَأْكُلُوْٓا اَمْوَالَكُمْ بَيْنَكُمْ بِالْبَاطِلِ اِلَّآ اَنْ تَكُوْنَ تِجَارَةً عَنْ تَرَاضٍ مِّنْكُمْۗ وَلَا تَقْتُلُوْٓا اَنْفُسَكُمْۗ اِنَّ اللّٰهَ كَانَ بِكُمْ رَحِيْمًا</w:t>
      </w:r>
    </w:p>
    <w:p w14:paraId="081D3EDB" w14:textId="77777777" w:rsidR="00377CB4" w:rsidRDefault="00377CB4" w:rsidP="00B51544">
      <w:pPr>
        <w:pStyle w:val="ListParagraph"/>
        <w:spacing w:line="360" w:lineRule="auto"/>
        <w:ind w:left="993" w:firstLine="567"/>
        <w:jc w:val="both"/>
        <w:rPr>
          <w:rFonts w:asciiTheme="majorBidi" w:hAnsiTheme="majorBidi" w:cstheme="majorBidi"/>
          <w:sz w:val="24"/>
          <w:szCs w:val="24"/>
        </w:rPr>
      </w:pPr>
    </w:p>
    <w:p w14:paraId="0C1F973A" w14:textId="6F56AA59" w:rsidR="00B8380C" w:rsidRPr="00E17038" w:rsidRDefault="00B8380C" w:rsidP="00B51544">
      <w:pPr>
        <w:pStyle w:val="ListParagraph"/>
        <w:spacing w:line="360" w:lineRule="auto"/>
        <w:ind w:left="993" w:firstLine="567"/>
        <w:jc w:val="both"/>
        <w:rPr>
          <w:rFonts w:asciiTheme="majorBidi" w:hAnsiTheme="majorBidi" w:cstheme="majorBidi"/>
          <w:i/>
          <w:iCs/>
          <w:sz w:val="24"/>
          <w:szCs w:val="24"/>
        </w:rPr>
      </w:pPr>
      <w:r w:rsidRPr="00E17038">
        <w:rPr>
          <w:rFonts w:asciiTheme="majorBidi" w:hAnsiTheme="majorBidi" w:cstheme="majorBidi"/>
          <w:i/>
          <w:iCs/>
          <w:sz w:val="24"/>
          <w:szCs w:val="24"/>
        </w:rPr>
        <w:t xml:space="preserve">Artinya : ”Wahai orang-orang yang beriman, </w:t>
      </w:r>
      <w:r w:rsidR="00EB26B2" w:rsidRPr="00E17038">
        <w:rPr>
          <w:rFonts w:asciiTheme="majorBidi" w:hAnsiTheme="majorBidi" w:cstheme="majorBidi"/>
          <w:i/>
          <w:iCs/>
          <w:sz w:val="24"/>
          <w:szCs w:val="24"/>
        </w:rPr>
        <w:t>janganlah kalian mengambil harta orang lain dengan cara yang tidak benar, kecuali jika itu merupakan perdagangan yang dilakukan atas dasar kerelaan satu sama lain di antara kalian. Janganlah kalian saling membunuh. Sesungguhnya Allah adalah Sang Maha Pengasih kepadamu</w:t>
      </w:r>
      <w:r w:rsidRPr="00E17038">
        <w:rPr>
          <w:rFonts w:asciiTheme="majorBidi" w:hAnsiTheme="majorBidi" w:cstheme="majorBidi"/>
          <w:i/>
          <w:iCs/>
          <w:sz w:val="24"/>
          <w:szCs w:val="24"/>
        </w:rPr>
        <w:t>”.</w:t>
      </w:r>
      <w:r w:rsidRPr="00E17038">
        <w:rPr>
          <w:rStyle w:val="FootnoteReference"/>
          <w:rFonts w:asciiTheme="majorBidi" w:hAnsiTheme="majorBidi" w:cstheme="majorBidi"/>
          <w:i/>
          <w:iCs/>
          <w:sz w:val="24"/>
          <w:szCs w:val="24"/>
        </w:rPr>
        <w:footnoteReference w:id="75"/>
      </w:r>
    </w:p>
    <w:p w14:paraId="64C36931" w14:textId="77777777" w:rsidR="006639EB" w:rsidRDefault="006639EB" w:rsidP="006639EB">
      <w:pPr>
        <w:pStyle w:val="ListParagraph"/>
        <w:spacing w:line="360" w:lineRule="auto"/>
        <w:ind w:left="993" w:firstLine="567"/>
        <w:rPr>
          <w:rFonts w:asciiTheme="majorBidi" w:hAnsiTheme="majorBidi" w:cstheme="majorBidi"/>
          <w:sz w:val="24"/>
          <w:szCs w:val="24"/>
        </w:rPr>
      </w:pPr>
      <w:r w:rsidRPr="006639EB">
        <w:rPr>
          <w:rFonts w:asciiTheme="majorBidi" w:hAnsiTheme="majorBidi" w:cstheme="majorBidi"/>
          <w:sz w:val="24"/>
          <w:szCs w:val="24"/>
        </w:rPr>
        <w:t>Ayat tersebut menjelaskan bahwa Allah SWT menginstruksikan kita untuk selalu waspada dan mempersiapkan masa depan anak-anak, baik dalam aspek spiritual maupun finansial, dan terus menerus memikirkan langkah-langkah perencanaan. Salah satu cara yang dapat dilakukan untuk merencanakan adalah dengan berinvestasi atau menabung.</w:t>
      </w:r>
    </w:p>
    <w:p w14:paraId="2E2CC350" w14:textId="7064C416" w:rsidR="00B8380C" w:rsidRPr="006639EB" w:rsidRDefault="006639EB" w:rsidP="006639EB">
      <w:pPr>
        <w:pStyle w:val="ListParagraph"/>
        <w:spacing w:line="360" w:lineRule="auto"/>
        <w:ind w:left="993" w:firstLine="567"/>
        <w:rPr>
          <w:rFonts w:asciiTheme="majorBidi" w:hAnsiTheme="majorBidi" w:cstheme="majorBidi"/>
          <w:sz w:val="24"/>
          <w:szCs w:val="24"/>
        </w:rPr>
      </w:pPr>
      <w:r w:rsidRPr="006639EB">
        <w:rPr>
          <w:rFonts w:asciiTheme="majorBidi" w:hAnsiTheme="majorBidi" w:cstheme="majorBidi"/>
          <w:sz w:val="24"/>
          <w:szCs w:val="24"/>
        </w:rPr>
        <w:t>Selain itu, dijelaskan bahwa sangat dianjurkan bagi manusia untuk berusaha mendapatkan rezeki yang halal. Ada banyak cara untuk memperoleh rezeki yang halal, salah satunya adalah melalui kontrak syariah yang berbasis mudharabah. Meskipun Al-Qur’an tidak secara eksplisit menyebutkan mudharabah, kata "dharaba" digunakan dan dari akar kata ini muncul istilah mudharabah yang disebutkan dalam Al-Qur’an sebanyak 58 kali.</w:t>
      </w:r>
      <w:r w:rsidR="00B8380C" w:rsidRPr="006639EB">
        <w:rPr>
          <w:rFonts w:asciiTheme="majorBidi" w:hAnsiTheme="majorBidi" w:cstheme="majorBidi"/>
          <w:sz w:val="24"/>
          <w:szCs w:val="24"/>
        </w:rPr>
        <w:t>.</w:t>
      </w:r>
      <w:r w:rsidR="00B8380C" w:rsidRPr="00B51544">
        <w:rPr>
          <w:rStyle w:val="FootnoteReference"/>
          <w:rFonts w:asciiTheme="majorBidi" w:hAnsiTheme="majorBidi" w:cstheme="majorBidi"/>
          <w:sz w:val="24"/>
          <w:szCs w:val="24"/>
        </w:rPr>
        <w:footnoteReference w:id="76"/>
      </w:r>
    </w:p>
    <w:p w14:paraId="6CE8CC99" w14:textId="77777777" w:rsidR="009E0DEE" w:rsidRPr="006639EB" w:rsidRDefault="009E0DEE" w:rsidP="00B51544">
      <w:pPr>
        <w:pStyle w:val="ListParagraph"/>
        <w:spacing w:line="360" w:lineRule="auto"/>
        <w:ind w:left="993" w:firstLine="567"/>
        <w:jc w:val="both"/>
        <w:rPr>
          <w:rFonts w:asciiTheme="majorBidi" w:hAnsiTheme="majorBidi" w:cstheme="majorBidi"/>
          <w:sz w:val="24"/>
          <w:szCs w:val="24"/>
        </w:rPr>
      </w:pPr>
    </w:p>
    <w:p w14:paraId="064DB1A7" w14:textId="50319565" w:rsidR="00B8380C" w:rsidRPr="00B51544" w:rsidRDefault="00B8380C" w:rsidP="00B51544">
      <w:pPr>
        <w:pStyle w:val="Heading3"/>
        <w:spacing w:line="360" w:lineRule="auto"/>
        <w:ind w:left="426"/>
        <w:jc w:val="both"/>
        <w:rPr>
          <w:rFonts w:asciiTheme="majorBidi" w:hAnsiTheme="majorBidi"/>
          <w:b/>
          <w:bCs/>
          <w:color w:val="auto"/>
          <w:sz w:val="24"/>
          <w:szCs w:val="24"/>
          <w:lang w:val="sv-SE"/>
        </w:rPr>
      </w:pPr>
      <w:bookmarkStart w:id="54" w:name="_Toc201063322"/>
      <w:r w:rsidRPr="00B51544">
        <w:rPr>
          <w:rFonts w:asciiTheme="majorBidi" w:hAnsiTheme="majorBidi"/>
          <w:b/>
          <w:bCs/>
          <w:color w:val="auto"/>
          <w:sz w:val="24"/>
          <w:szCs w:val="24"/>
          <w:lang w:val="sv-SE"/>
        </w:rPr>
        <w:lastRenderedPageBreak/>
        <w:t>2.</w:t>
      </w:r>
      <w:r w:rsidR="00170403" w:rsidRPr="00B51544">
        <w:rPr>
          <w:rFonts w:asciiTheme="majorBidi" w:hAnsiTheme="majorBidi"/>
          <w:b/>
          <w:bCs/>
          <w:color w:val="auto"/>
          <w:sz w:val="24"/>
          <w:szCs w:val="24"/>
          <w:lang w:val="sv-SE"/>
        </w:rPr>
        <w:t>5</w:t>
      </w:r>
      <w:r w:rsidRPr="00B51544">
        <w:rPr>
          <w:rFonts w:asciiTheme="majorBidi" w:hAnsiTheme="majorBidi"/>
          <w:b/>
          <w:bCs/>
          <w:color w:val="auto"/>
          <w:sz w:val="24"/>
          <w:szCs w:val="24"/>
          <w:lang w:val="sv-SE"/>
        </w:rPr>
        <w:t>.4 Jenis dan Skema Mudharabah</w:t>
      </w:r>
      <w:bookmarkEnd w:id="54"/>
    </w:p>
    <w:p w14:paraId="6DA5021F" w14:textId="5319752B" w:rsidR="00B8380C" w:rsidRPr="00B51544" w:rsidRDefault="00A8607D" w:rsidP="00EB26B2">
      <w:pPr>
        <w:pStyle w:val="ListParagraph"/>
        <w:tabs>
          <w:tab w:val="left" w:pos="993"/>
        </w:tabs>
        <w:spacing w:line="360" w:lineRule="auto"/>
        <w:ind w:left="993" w:firstLine="698"/>
        <w:jc w:val="both"/>
        <w:rPr>
          <w:rFonts w:asciiTheme="majorBidi" w:hAnsiTheme="majorBidi" w:cstheme="majorBidi"/>
          <w:b/>
          <w:bCs/>
          <w:sz w:val="24"/>
          <w:szCs w:val="24"/>
          <w:lang w:val="sv-SE"/>
        </w:rPr>
      </w:pPr>
      <w:r w:rsidRPr="00A8607D">
        <w:rPr>
          <w:rFonts w:asciiTheme="majorBidi" w:hAnsiTheme="majorBidi" w:cstheme="majorBidi"/>
          <w:sz w:val="24"/>
          <w:szCs w:val="24"/>
          <w:lang w:val="sv-SE"/>
        </w:rPr>
        <w:t>Pada Layanan Perbankan Syariah yang berupa Deposito hanya berlandaskan pada akad mudharabah. Hal ini terjadi karena sifat deposito yang ditujukan untuk investasi dalam jangka panjang. Dengan demikian, bank menyediakan produk pengumpulan dana dalam bentuk deposito mudharabah. Prinsip kerja syariah yang diterapkan dalam produk deposito adalah prinsip mudharabah. Prinsip Mudharabah ini terbagi menjadi dua</w:t>
      </w:r>
      <w:r w:rsidR="00B8380C" w:rsidRPr="00B51544">
        <w:rPr>
          <w:rFonts w:asciiTheme="majorBidi" w:hAnsiTheme="majorBidi" w:cstheme="majorBidi"/>
          <w:sz w:val="24"/>
          <w:szCs w:val="24"/>
          <w:lang w:val="sv-SE"/>
        </w:rPr>
        <w:t>, yaitu :</w:t>
      </w:r>
      <w:r w:rsidR="00B8380C" w:rsidRPr="00B51544">
        <w:rPr>
          <w:rStyle w:val="FootnoteReference"/>
          <w:rFonts w:asciiTheme="majorBidi" w:hAnsiTheme="majorBidi" w:cstheme="majorBidi"/>
          <w:sz w:val="24"/>
          <w:szCs w:val="24"/>
        </w:rPr>
        <w:footnoteReference w:id="77"/>
      </w:r>
    </w:p>
    <w:p w14:paraId="6E4F50C7" w14:textId="77777777" w:rsidR="00B8380C" w:rsidRPr="004F6C85" w:rsidRDefault="00B8380C">
      <w:pPr>
        <w:pStyle w:val="ListParagraph"/>
        <w:numPr>
          <w:ilvl w:val="0"/>
          <w:numId w:val="5"/>
        </w:numPr>
        <w:spacing w:line="360" w:lineRule="auto"/>
        <w:ind w:left="1276"/>
        <w:jc w:val="both"/>
        <w:rPr>
          <w:rFonts w:asciiTheme="majorBidi" w:hAnsiTheme="majorBidi" w:cstheme="majorBidi"/>
          <w:i/>
          <w:iCs/>
          <w:sz w:val="24"/>
          <w:szCs w:val="24"/>
          <w:lang w:val="sv-SE"/>
        </w:rPr>
      </w:pPr>
      <w:r w:rsidRPr="00B51544">
        <w:rPr>
          <w:rFonts w:asciiTheme="majorBidi" w:hAnsiTheme="majorBidi" w:cstheme="majorBidi"/>
          <w:sz w:val="24"/>
          <w:szCs w:val="24"/>
          <w:lang w:val="sv-SE"/>
        </w:rPr>
        <w:t xml:space="preserve">Deposito Mudharabah </w:t>
      </w:r>
      <w:r w:rsidRPr="004F6C85">
        <w:rPr>
          <w:rFonts w:asciiTheme="majorBidi" w:hAnsiTheme="majorBidi" w:cstheme="majorBidi"/>
          <w:i/>
          <w:iCs/>
          <w:sz w:val="24"/>
          <w:szCs w:val="24"/>
          <w:lang w:val="sv-SE"/>
        </w:rPr>
        <w:t>Mutlaqah</w:t>
      </w:r>
    </w:p>
    <w:p w14:paraId="171AA925" w14:textId="393C87DA" w:rsidR="00A8607D" w:rsidRPr="00A8607D" w:rsidRDefault="00A8607D" w:rsidP="00A8607D">
      <w:pPr>
        <w:pStyle w:val="ListParagraph"/>
        <w:spacing w:line="360" w:lineRule="auto"/>
        <w:ind w:left="1276" w:firstLine="425"/>
        <w:jc w:val="both"/>
        <w:rPr>
          <w:rFonts w:asciiTheme="majorBidi" w:hAnsiTheme="majorBidi" w:cstheme="majorBidi"/>
          <w:sz w:val="24"/>
          <w:szCs w:val="24"/>
          <w:lang w:val="sv-SE"/>
        </w:rPr>
      </w:pPr>
      <w:r w:rsidRPr="00A8607D">
        <w:rPr>
          <w:rFonts w:asciiTheme="majorBidi" w:hAnsiTheme="majorBidi" w:cstheme="majorBidi"/>
          <w:sz w:val="24"/>
          <w:szCs w:val="24"/>
          <w:lang w:val="sv-SE"/>
        </w:rPr>
        <w:t>Deposito Mudharabah Mutlaqoh adalah suatu bentuk di mana individu yang memiliki dana sepenuhnya menyerahkan aset investasinya kepada bank syariah untuk dikelola dengan benar. Pemilik dana tidak menetapkan batasan mengenai lokasi, metode, atau jenis investasi yang dilakukan.</w:t>
      </w:r>
    </w:p>
    <w:p w14:paraId="2A8429AF" w14:textId="77777777" w:rsidR="00B8380C" w:rsidRPr="004F6C85" w:rsidRDefault="00B8380C">
      <w:pPr>
        <w:pStyle w:val="ListParagraph"/>
        <w:numPr>
          <w:ilvl w:val="0"/>
          <w:numId w:val="5"/>
        </w:numPr>
        <w:spacing w:line="360" w:lineRule="auto"/>
        <w:ind w:left="1276"/>
        <w:jc w:val="both"/>
        <w:rPr>
          <w:rFonts w:asciiTheme="majorBidi" w:hAnsiTheme="majorBidi" w:cstheme="majorBidi"/>
          <w:i/>
          <w:iCs/>
          <w:sz w:val="24"/>
          <w:szCs w:val="24"/>
          <w:lang w:val="sv-SE"/>
        </w:rPr>
      </w:pPr>
      <w:r w:rsidRPr="00B51544">
        <w:rPr>
          <w:rFonts w:asciiTheme="majorBidi" w:hAnsiTheme="majorBidi" w:cstheme="majorBidi"/>
          <w:sz w:val="24"/>
          <w:szCs w:val="24"/>
          <w:lang w:val="sv-SE"/>
        </w:rPr>
        <w:t xml:space="preserve">Deposito Mudharabah </w:t>
      </w:r>
      <w:r w:rsidRPr="004F6C85">
        <w:rPr>
          <w:rFonts w:asciiTheme="majorBidi" w:hAnsiTheme="majorBidi" w:cstheme="majorBidi"/>
          <w:i/>
          <w:iCs/>
          <w:sz w:val="24"/>
          <w:szCs w:val="24"/>
          <w:lang w:val="sv-SE"/>
        </w:rPr>
        <w:t>Muqoyyadah</w:t>
      </w:r>
    </w:p>
    <w:p w14:paraId="682DE2E8" w14:textId="77777777" w:rsidR="00A8607D" w:rsidRDefault="00A8607D" w:rsidP="00A8607D">
      <w:pPr>
        <w:pStyle w:val="ListParagraph"/>
        <w:spacing w:line="360" w:lineRule="auto"/>
        <w:ind w:left="1276" w:firstLine="425"/>
        <w:jc w:val="both"/>
        <w:rPr>
          <w:rFonts w:asciiTheme="majorBidi" w:hAnsiTheme="majorBidi" w:cstheme="majorBidi"/>
          <w:sz w:val="24"/>
          <w:szCs w:val="24"/>
          <w:lang w:val="sv-SE"/>
        </w:rPr>
      </w:pPr>
      <w:r w:rsidRPr="00A8607D">
        <w:rPr>
          <w:rFonts w:asciiTheme="majorBidi" w:hAnsiTheme="majorBidi" w:cstheme="majorBidi"/>
          <w:sz w:val="24"/>
          <w:szCs w:val="24"/>
          <w:lang w:val="sv-SE"/>
        </w:rPr>
        <w:t>Deposito Mudharabah Muqoyyadah adalah produk di mana pemilik dana menetapkan ketentuan dan syarat tertentu mengenai lokasi, metode, dan jenis investasi yang akan dikelola oleh bank syariah.</w:t>
      </w:r>
    </w:p>
    <w:p w14:paraId="3103311C" w14:textId="2797824E" w:rsidR="00AB3D95" w:rsidRPr="00A8607D" w:rsidRDefault="00AB3D95" w:rsidP="00A8607D">
      <w:pPr>
        <w:pStyle w:val="ListParagraph"/>
        <w:spacing w:line="360" w:lineRule="auto"/>
        <w:ind w:left="1276" w:firstLine="425"/>
        <w:jc w:val="both"/>
        <w:rPr>
          <w:rFonts w:asciiTheme="majorBidi" w:hAnsiTheme="majorBidi" w:cstheme="majorBidi"/>
          <w:sz w:val="24"/>
          <w:szCs w:val="24"/>
          <w:lang w:val="sv-SE"/>
        </w:rPr>
      </w:pPr>
      <w:r w:rsidRPr="00AB3D95">
        <w:rPr>
          <w:rFonts w:asciiTheme="majorBidi" w:hAnsiTheme="majorBidi" w:cstheme="majorBidi"/>
          <w:sz w:val="24"/>
          <w:szCs w:val="24"/>
          <w:lang w:val="sv-SE"/>
        </w:rPr>
        <w:t xml:space="preserve">Dengan penjelasan yang telah diberikan, peneliti dapat menyimpulkan bahwa Mudharabah yang diterapkan pada produk Deposito adalah Mudharabah </w:t>
      </w:r>
      <w:r w:rsidRPr="004F6C85">
        <w:rPr>
          <w:rFonts w:asciiTheme="majorBidi" w:hAnsiTheme="majorBidi" w:cstheme="majorBidi"/>
          <w:i/>
          <w:iCs/>
          <w:sz w:val="24"/>
          <w:szCs w:val="24"/>
          <w:lang w:val="sv-SE"/>
        </w:rPr>
        <w:t>Mutlaqoh</w:t>
      </w:r>
      <w:r w:rsidRPr="00AB3D95">
        <w:rPr>
          <w:rFonts w:asciiTheme="majorBidi" w:hAnsiTheme="majorBidi" w:cstheme="majorBidi"/>
          <w:sz w:val="24"/>
          <w:szCs w:val="24"/>
          <w:lang w:val="sv-SE"/>
        </w:rPr>
        <w:t xml:space="preserve">. Ini karena melalui bentuk kerjasama ini, Bank Syariah memiliki hak serta kebebasan penuh dalam menginvestasikan dana Mudharabah </w:t>
      </w:r>
      <w:r w:rsidRPr="004F6C85">
        <w:rPr>
          <w:rFonts w:asciiTheme="majorBidi" w:hAnsiTheme="majorBidi" w:cstheme="majorBidi"/>
          <w:i/>
          <w:iCs/>
          <w:sz w:val="24"/>
          <w:szCs w:val="24"/>
          <w:lang w:val="sv-SE"/>
        </w:rPr>
        <w:t>Mutlaqoh</w:t>
      </w:r>
      <w:r w:rsidRPr="00AB3D95">
        <w:rPr>
          <w:rFonts w:asciiTheme="majorBidi" w:hAnsiTheme="majorBidi" w:cstheme="majorBidi"/>
          <w:sz w:val="24"/>
          <w:szCs w:val="24"/>
          <w:lang w:val="sv-SE"/>
        </w:rPr>
        <w:t xml:space="preserve"> ke berbagai sektor usaha yang dianggap berpotensi menghasilkan keuntungan. Di sisi lain, Mudharabah Muqoyyadah berbeda dengan Deposito Mudharabah </w:t>
      </w:r>
      <w:r w:rsidRPr="004F6C85">
        <w:rPr>
          <w:rFonts w:asciiTheme="majorBidi" w:hAnsiTheme="majorBidi" w:cstheme="majorBidi"/>
          <w:i/>
          <w:iCs/>
          <w:sz w:val="24"/>
          <w:szCs w:val="24"/>
          <w:lang w:val="sv-SE"/>
        </w:rPr>
        <w:t>Mutlaqoh</w:t>
      </w:r>
      <w:r w:rsidRPr="00AB3D95">
        <w:rPr>
          <w:rFonts w:asciiTheme="majorBidi" w:hAnsiTheme="majorBidi" w:cstheme="majorBidi"/>
          <w:sz w:val="24"/>
          <w:szCs w:val="24"/>
          <w:lang w:val="sv-SE"/>
        </w:rPr>
        <w:t>.</w:t>
      </w:r>
    </w:p>
    <w:p w14:paraId="018430AC" w14:textId="36FD75AC" w:rsidR="00B8380C" w:rsidRPr="00C40188" w:rsidRDefault="00C40188" w:rsidP="00AB3D95">
      <w:pPr>
        <w:pStyle w:val="Caption"/>
        <w:jc w:val="center"/>
        <w:rPr>
          <w:rFonts w:asciiTheme="majorBidi" w:hAnsiTheme="majorBidi" w:cstheme="majorBidi"/>
          <w:i w:val="0"/>
          <w:iCs w:val="0"/>
          <w:color w:val="auto"/>
          <w:sz w:val="24"/>
          <w:szCs w:val="24"/>
          <w:lang w:val="sv-SE"/>
        </w:rPr>
      </w:pPr>
      <w:bookmarkStart w:id="55" w:name="_Toc200572933"/>
      <w:r w:rsidRPr="00D17A2E">
        <w:rPr>
          <w:rFonts w:asciiTheme="majorBidi" w:hAnsiTheme="majorBidi" w:cstheme="majorBidi"/>
          <w:b/>
          <w:bCs/>
          <w:i w:val="0"/>
          <w:iCs w:val="0"/>
          <w:color w:val="auto"/>
          <w:sz w:val="24"/>
          <w:szCs w:val="24"/>
          <w:lang w:val="sv-SE"/>
        </w:rPr>
        <w:lastRenderedPageBreak/>
        <w:t xml:space="preserve">Gambar 2. </w:t>
      </w:r>
      <w:r w:rsidRPr="00C40188">
        <w:rPr>
          <w:rFonts w:asciiTheme="majorBidi" w:hAnsiTheme="majorBidi" w:cstheme="majorBidi"/>
          <w:b/>
          <w:bCs/>
          <w:i w:val="0"/>
          <w:iCs w:val="0"/>
          <w:color w:val="auto"/>
          <w:sz w:val="24"/>
          <w:szCs w:val="24"/>
        </w:rPr>
        <w:fldChar w:fldCharType="begin"/>
      </w:r>
      <w:r w:rsidRPr="00D17A2E">
        <w:rPr>
          <w:rFonts w:asciiTheme="majorBidi" w:hAnsiTheme="majorBidi" w:cstheme="majorBidi"/>
          <w:b/>
          <w:bCs/>
          <w:i w:val="0"/>
          <w:iCs w:val="0"/>
          <w:color w:val="auto"/>
          <w:sz w:val="24"/>
          <w:szCs w:val="24"/>
          <w:lang w:val="sv-SE"/>
        </w:rPr>
        <w:instrText xml:space="preserve"> SEQ Gambar_2. \* ARABIC </w:instrText>
      </w:r>
      <w:r w:rsidRPr="00C40188">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2</w:t>
      </w:r>
      <w:bookmarkEnd w:id="55"/>
      <w:r w:rsidRPr="00C40188">
        <w:rPr>
          <w:rFonts w:asciiTheme="majorBidi" w:hAnsiTheme="majorBidi" w:cstheme="majorBidi"/>
          <w:b/>
          <w:bCs/>
          <w:i w:val="0"/>
          <w:iCs w:val="0"/>
          <w:color w:val="auto"/>
          <w:sz w:val="24"/>
          <w:szCs w:val="24"/>
        </w:rPr>
        <w:fldChar w:fldCharType="end"/>
      </w:r>
      <w:r w:rsidR="00C34D3E" w:rsidRPr="00C40188">
        <w:rPr>
          <w:rFonts w:asciiTheme="majorBidi" w:hAnsiTheme="majorBidi" w:cstheme="majorBidi"/>
          <w:i w:val="0"/>
          <w:iCs w:val="0"/>
          <w:noProof/>
          <w:color w:val="auto"/>
          <w:sz w:val="24"/>
          <w:szCs w:val="24"/>
          <w:lang w:val="sv-SE"/>
        </w:rPr>
        <w:drawing>
          <wp:anchor distT="0" distB="0" distL="114300" distR="114300" simplePos="0" relativeHeight="251686912" behindDoc="0" locked="0" layoutInCell="1" allowOverlap="1" wp14:anchorId="43E954B9" wp14:editId="7537A6C2">
            <wp:simplePos x="0" y="0"/>
            <wp:positionH relativeFrom="column">
              <wp:posOffset>561975</wp:posOffset>
            </wp:positionH>
            <wp:positionV relativeFrom="paragraph">
              <wp:posOffset>352425</wp:posOffset>
            </wp:positionV>
            <wp:extent cx="4619625" cy="3162300"/>
            <wp:effectExtent l="0" t="0" r="9525" b="0"/>
            <wp:wrapSquare wrapText="bothSides"/>
            <wp:docPr id="16914140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19625" cy="3162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4BF5F3" w14:textId="77777777" w:rsidR="00B8380C" w:rsidRPr="00B51544" w:rsidRDefault="00B8380C" w:rsidP="00B51544">
      <w:pPr>
        <w:spacing w:line="360" w:lineRule="auto"/>
        <w:jc w:val="both"/>
        <w:rPr>
          <w:rFonts w:asciiTheme="majorBidi" w:hAnsiTheme="majorBidi" w:cstheme="majorBidi"/>
          <w:sz w:val="24"/>
          <w:szCs w:val="24"/>
          <w:lang w:val="sv-SE"/>
        </w:rPr>
      </w:pPr>
    </w:p>
    <w:p w14:paraId="48273F59" w14:textId="77777777" w:rsidR="00B8380C" w:rsidRPr="00B51544" w:rsidRDefault="00B8380C" w:rsidP="00B51544">
      <w:pPr>
        <w:spacing w:line="360" w:lineRule="auto"/>
        <w:jc w:val="both"/>
        <w:rPr>
          <w:rFonts w:asciiTheme="majorBidi" w:hAnsiTheme="majorBidi" w:cstheme="majorBidi"/>
          <w:sz w:val="24"/>
          <w:szCs w:val="24"/>
          <w:lang w:val="sv-SE"/>
        </w:rPr>
      </w:pPr>
    </w:p>
    <w:p w14:paraId="24B616FF" w14:textId="77777777" w:rsidR="00B8380C" w:rsidRPr="00B51544" w:rsidRDefault="00B8380C" w:rsidP="00B51544">
      <w:pPr>
        <w:spacing w:line="360" w:lineRule="auto"/>
        <w:jc w:val="both"/>
        <w:rPr>
          <w:rFonts w:asciiTheme="majorBidi" w:hAnsiTheme="majorBidi" w:cstheme="majorBidi"/>
          <w:sz w:val="24"/>
          <w:szCs w:val="24"/>
          <w:lang w:val="sv-SE"/>
        </w:rPr>
      </w:pPr>
    </w:p>
    <w:p w14:paraId="789CEA0F" w14:textId="77777777" w:rsidR="00B8380C" w:rsidRPr="00B51544" w:rsidRDefault="00B8380C" w:rsidP="00B51544">
      <w:pPr>
        <w:spacing w:line="360" w:lineRule="auto"/>
        <w:jc w:val="both"/>
        <w:rPr>
          <w:rFonts w:asciiTheme="majorBidi" w:hAnsiTheme="majorBidi" w:cstheme="majorBidi"/>
          <w:sz w:val="24"/>
          <w:szCs w:val="24"/>
          <w:lang w:val="sv-SE"/>
        </w:rPr>
      </w:pPr>
    </w:p>
    <w:p w14:paraId="36CC2ED8" w14:textId="77777777" w:rsidR="00B8380C" w:rsidRPr="00B51544" w:rsidRDefault="00B8380C" w:rsidP="00B51544">
      <w:pPr>
        <w:spacing w:line="360" w:lineRule="auto"/>
        <w:jc w:val="both"/>
        <w:rPr>
          <w:rFonts w:asciiTheme="majorBidi" w:hAnsiTheme="majorBidi" w:cstheme="majorBidi"/>
          <w:sz w:val="24"/>
          <w:szCs w:val="24"/>
          <w:lang w:val="sv-SE"/>
        </w:rPr>
      </w:pPr>
    </w:p>
    <w:p w14:paraId="522DF5CD" w14:textId="77777777" w:rsidR="00B8380C" w:rsidRPr="00B51544" w:rsidRDefault="00B8380C" w:rsidP="00B51544">
      <w:pPr>
        <w:spacing w:line="360" w:lineRule="auto"/>
        <w:jc w:val="both"/>
        <w:rPr>
          <w:rFonts w:asciiTheme="majorBidi" w:hAnsiTheme="majorBidi" w:cstheme="majorBidi"/>
          <w:sz w:val="24"/>
          <w:szCs w:val="24"/>
          <w:lang w:val="sv-SE"/>
        </w:rPr>
      </w:pPr>
    </w:p>
    <w:p w14:paraId="7239BF26" w14:textId="77777777" w:rsidR="00377CB4" w:rsidRDefault="00377CB4" w:rsidP="00B51544">
      <w:pPr>
        <w:spacing w:line="360" w:lineRule="auto"/>
        <w:ind w:left="993" w:firstLine="708"/>
        <w:jc w:val="both"/>
        <w:rPr>
          <w:rFonts w:asciiTheme="majorBidi" w:hAnsiTheme="majorBidi" w:cstheme="majorBidi"/>
          <w:sz w:val="24"/>
          <w:szCs w:val="24"/>
          <w:lang w:val="sv-SE"/>
        </w:rPr>
      </w:pPr>
    </w:p>
    <w:p w14:paraId="7F40AD1D" w14:textId="77777777" w:rsidR="00432CBC" w:rsidRDefault="00432CBC" w:rsidP="00B51544">
      <w:pPr>
        <w:spacing w:line="360" w:lineRule="auto"/>
        <w:ind w:left="993" w:firstLine="708"/>
        <w:jc w:val="both"/>
        <w:rPr>
          <w:rFonts w:asciiTheme="majorBidi" w:hAnsiTheme="majorBidi" w:cstheme="majorBidi"/>
          <w:sz w:val="24"/>
          <w:szCs w:val="24"/>
          <w:lang w:val="sv-SE"/>
        </w:rPr>
      </w:pPr>
    </w:p>
    <w:p w14:paraId="3ECD9F94" w14:textId="77777777" w:rsidR="00432CBC" w:rsidRDefault="00432CBC" w:rsidP="00B51544">
      <w:pPr>
        <w:spacing w:line="360" w:lineRule="auto"/>
        <w:ind w:left="993" w:firstLine="708"/>
        <w:jc w:val="both"/>
        <w:rPr>
          <w:rFonts w:asciiTheme="majorBidi" w:hAnsiTheme="majorBidi" w:cstheme="majorBidi"/>
          <w:sz w:val="24"/>
          <w:szCs w:val="24"/>
          <w:lang w:val="sv-SE"/>
        </w:rPr>
      </w:pPr>
    </w:p>
    <w:p w14:paraId="691869D7" w14:textId="77777777" w:rsidR="00432CBC" w:rsidRDefault="00432CBC" w:rsidP="00B51544">
      <w:pPr>
        <w:spacing w:line="360" w:lineRule="auto"/>
        <w:ind w:left="993" w:firstLine="708"/>
        <w:jc w:val="both"/>
        <w:rPr>
          <w:rFonts w:asciiTheme="majorBidi" w:hAnsiTheme="majorBidi" w:cstheme="majorBidi"/>
          <w:sz w:val="24"/>
          <w:szCs w:val="24"/>
          <w:lang w:val="sv-SE"/>
        </w:rPr>
      </w:pPr>
    </w:p>
    <w:p w14:paraId="483B9170" w14:textId="716FCD00" w:rsidR="00B8380C" w:rsidRPr="00B51544" w:rsidRDefault="00B8380C" w:rsidP="00B51544">
      <w:pPr>
        <w:spacing w:line="360" w:lineRule="auto"/>
        <w:ind w:left="993" w:firstLine="708"/>
        <w:jc w:val="both"/>
        <w:rPr>
          <w:rFonts w:asciiTheme="majorBidi" w:hAnsiTheme="majorBidi" w:cstheme="majorBidi"/>
          <w:sz w:val="24"/>
          <w:szCs w:val="24"/>
          <w:lang w:val="sv-SE"/>
        </w:rPr>
      </w:pPr>
      <w:r w:rsidRPr="00B51544">
        <w:rPr>
          <w:rFonts w:asciiTheme="majorBidi" w:hAnsiTheme="majorBidi" w:cstheme="majorBidi"/>
          <w:sz w:val="24"/>
          <w:szCs w:val="24"/>
          <w:lang w:val="sv-SE"/>
        </w:rPr>
        <w:t>Skema Mudharabah di atas merupakan inovasi skema baru yang diterapkan dalam Perbankan Syariah. Dalam Mudharabah Muqoyyadah ada beberapa syarat yang harus dipenuhi, yaitu :</w:t>
      </w:r>
      <w:r w:rsidRPr="00B51544">
        <w:rPr>
          <w:rStyle w:val="FootnoteReference"/>
          <w:rFonts w:asciiTheme="majorBidi" w:hAnsiTheme="majorBidi" w:cstheme="majorBidi"/>
          <w:sz w:val="24"/>
          <w:szCs w:val="24"/>
        </w:rPr>
        <w:footnoteReference w:id="78"/>
      </w:r>
    </w:p>
    <w:p w14:paraId="524D2FE6" w14:textId="77777777" w:rsidR="00AB3D95" w:rsidRPr="00AB3D95"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t>1. Bank berfungsi sebagai perantara dan penanam modal bagi nasabah yang mengelola uang untuk kegiatan bisnis sesuai dengan syarat dan jenis usaha yang ditetapkan oleh investor.</w:t>
      </w:r>
    </w:p>
    <w:p w14:paraId="763370E7" w14:textId="757DAA43" w:rsidR="00AB3D95" w:rsidRPr="00AB3D95"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t xml:space="preserve">2. </w:t>
      </w:r>
      <w:r>
        <w:rPr>
          <w:rFonts w:asciiTheme="majorBidi" w:hAnsiTheme="majorBidi" w:cstheme="majorBidi"/>
          <w:sz w:val="24"/>
          <w:szCs w:val="24"/>
          <w:lang w:val="sv-SE"/>
        </w:rPr>
        <w:t>Jangka waktu</w:t>
      </w:r>
      <w:r w:rsidRPr="00AB3D95">
        <w:rPr>
          <w:rFonts w:asciiTheme="majorBidi" w:hAnsiTheme="majorBidi" w:cstheme="majorBidi"/>
          <w:sz w:val="24"/>
          <w:szCs w:val="24"/>
          <w:lang w:val="sv-SE"/>
        </w:rPr>
        <w:t xml:space="preserve"> pembiayaan, pengembalian dana, dan distribusi keuntungan ditetapkan berdasarkan kesepakatan antara investor, nasabah, dan bank.</w:t>
      </w:r>
    </w:p>
    <w:p w14:paraId="2E7F52C4" w14:textId="77777777" w:rsidR="00AB3D95" w:rsidRPr="00AB3D95"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t>3. Bank tidak terlibat langsung dalam pengelolaan usaha nasabah, namun memiliki hak untuk mengawasi dan memberikan bimbingan terhadap bisnis nasabah.</w:t>
      </w:r>
    </w:p>
    <w:p w14:paraId="659704FD" w14:textId="77777777" w:rsidR="00AB3D95" w:rsidRPr="00AB3D95"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t>4. Pembiayaan diberikan dalam bentuk uang tunai atau barang.</w:t>
      </w:r>
    </w:p>
    <w:p w14:paraId="6DA74B4E" w14:textId="77777777" w:rsidR="00AB3D95" w:rsidRPr="00AB3D95"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t>5. Jika pembiayaan disalurkan dalam bentuk barang, maka barang yang diberikan harus dinilai sesuai dengan harga perolehannya atau harga pasar.</w:t>
      </w:r>
    </w:p>
    <w:p w14:paraId="4600D0AB" w14:textId="77777777" w:rsidR="00AB3D95" w:rsidRPr="00AB3D95"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t>6. Bank, sebagai perantara penyaluran dana, dapat memperoleh imbalan yang dihitung berdasarkan kesepakatan antara semua pihak yang terlibat.</w:t>
      </w:r>
    </w:p>
    <w:p w14:paraId="2852082A" w14:textId="77777777" w:rsidR="00AB3D95" w:rsidRPr="00AB3D95"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t>7. Alokasi keuntungan dari pengelolaan dana investasi dinyatakan dalam bentuk nisbah yang disetujui oleh investor dan nasabah.</w:t>
      </w:r>
    </w:p>
    <w:p w14:paraId="61C19614" w14:textId="6E0FF724" w:rsidR="009E0DEE" w:rsidRDefault="00AB3D95" w:rsidP="00AB3D95">
      <w:pPr>
        <w:pStyle w:val="ListParagraph"/>
        <w:spacing w:line="360" w:lineRule="auto"/>
        <w:ind w:left="1276"/>
        <w:jc w:val="both"/>
        <w:rPr>
          <w:rFonts w:asciiTheme="majorBidi" w:hAnsiTheme="majorBidi" w:cstheme="majorBidi"/>
          <w:sz w:val="24"/>
          <w:szCs w:val="24"/>
          <w:lang w:val="sv-SE"/>
        </w:rPr>
      </w:pPr>
      <w:r w:rsidRPr="00AB3D95">
        <w:rPr>
          <w:rFonts w:asciiTheme="majorBidi" w:hAnsiTheme="majorBidi" w:cstheme="majorBidi"/>
          <w:sz w:val="24"/>
          <w:szCs w:val="24"/>
          <w:lang w:val="sv-SE"/>
        </w:rPr>
        <w:lastRenderedPageBreak/>
        <w:t>8. Bank sebagai perantara dana milik investor tidak menanggung risiko kerugian dari aktivitas usaha, kecuali jika nasabah melakukan kecurangan, kelalaian, atau melanggar perjanjian yang menyebabkan kerugian tersebut.</w:t>
      </w:r>
    </w:p>
    <w:p w14:paraId="10D2B647" w14:textId="77777777" w:rsidR="00AB3D95" w:rsidRPr="00B51544" w:rsidRDefault="00AB3D95" w:rsidP="00B51544">
      <w:pPr>
        <w:pStyle w:val="ListParagraph"/>
        <w:spacing w:line="360" w:lineRule="auto"/>
        <w:ind w:left="1276"/>
        <w:jc w:val="both"/>
        <w:rPr>
          <w:rFonts w:asciiTheme="majorBidi" w:hAnsiTheme="majorBidi" w:cstheme="majorBidi"/>
          <w:sz w:val="24"/>
          <w:szCs w:val="24"/>
          <w:lang w:val="sv-SE"/>
        </w:rPr>
      </w:pPr>
    </w:p>
    <w:p w14:paraId="48EAB7FD" w14:textId="07D56474" w:rsidR="00CB67EB" w:rsidRPr="00B51544" w:rsidRDefault="00AD46AB" w:rsidP="00B51544">
      <w:pPr>
        <w:pStyle w:val="Heading2"/>
        <w:spacing w:line="360" w:lineRule="auto"/>
        <w:jc w:val="both"/>
        <w:rPr>
          <w:rFonts w:asciiTheme="majorBidi" w:hAnsiTheme="majorBidi"/>
          <w:b/>
          <w:bCs/>
          <w:color w:val="auto"/>
          <w:sz w:val="24"/>
          <w:szCs w:val="24"/>
          <w:lang w:val="sv-SE"/>
        </w:rPr>
      </w:pPr>
      <w:bookmarkStart w:id="56" w:name="_Toc201063323"/>
      <w:r w:rsidRPr="00B51544">
        <w:rPr>
          <w:rFonts w:asciiTheme="majorBidi" w:hAnsiTheme="majorBidi"/>
          <w:b/>
          <w:bCs/>
          <w:color w:val="auto"/>
          <w:sz w:val="24"/>
          <w:szCs w:val="24"/>
          <w:lang w:val="sv-SE"/>
        </w:rPr>
        <w:t xml:space="preserve">2.7 </w:t>
      </w:r>
      <w:r w:rsidR="00CB67EB" w:rsidRPr="00B51544">
        <w:rPr>
          <w:rFonts w:asciiTheme="majorBidi" w:hAnsiTheme="majorBidi"/>
          <w:b/>
          <w:bCs/>
          <w:color w:val="auto"/>
          <w:sz w:val="24"/>
          <w:szCs w:val="24"/>
          <w:lang w:val="sv-SE"/>
        </w:rPr>
        <w:t>Penelitian Terdahulu</w:t>
      </w:r>
      <w:bookmarkEnd w:id="56"/>
    </w:p>
    <w:p w14:paraId="6FA1536D" w14:textId="77777777" w:rsidR="00CB67EB" w:rsidRDefault="00CB67EB"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Berikut ini adalah penelitian-penelitian terdahulu yang terkait dan juga menjadi dasar referensi untuk penelitian ini, antara lain :</w:t>
      </w:r>
    </w:p>
    <w:p w14:paraId="70838B92" w14:textId="77777777" w:rsidR="00C40188" w:rsidRPr="00C40188" w:rsidRDefault="00C40188" w:rsidP="00C40188">
      <w:pPr>
        <w:pStyle w:val="ListParagraph"/>
        <w:spacing w:line="360" w:lineRule="auto"/>
        <w:ind w:left="426" w:firstLine="709"/>
        <w:jc w:val="center"/>
        <w:rPr>
          <w:rFonts w:asciiTheme="majorBidi" w:hAnsiTheme="majorBidi" w:cstheme="majorBidi"/>
          <w:b/>
          <w:bCs/>
          <w:sz w:val="24"/>
          <w:szCs w:val="24"/>
          <w:lang w:val="sv-SE"/>
        </w:rPr>
      </w:pPr>
    </w:p>
    <w:p w14:paraId="05D42988" w14:textId="7ECDD900" w:rsidR="00D103B4" w:rsidRPr="00D103B4" w:rsidRDefault="00C40188" w:rsidP="00D103B4">
      <w:pPr>
        <w:pStyle w:val="Caption"/>
        <w:jc w:val="center"/>
        <w:rPr>
          <w:rFonts w:asciiTheme="majorBidi" w:hAnsiTheme="majorBidi" w:cstheme="majorBidi"/>
          <w:b/>
          <w:bCs/>
          <w:i w:val="0"/>
          <w:iCs w:val="0"/>
          <w:color w:val="auto"/>
          <w:sz w:val="24"/>
          <w:szCs w:val="24"/>
        </w:rPr>
      </w:pPr>
      <w:bookmarkStart w:id="57" w:name="_Toc200572183"/>
      <w:r w:rsidRPr="00C40188">
        <w:rPr>
          <w:rFonts w:asciiTheme="majorBidi" w:hAnsiTheme="majorBidi" w:cstheme="majorBidi"/>
          <w:b/>
          <w:bCs/>
          <w:i w:val="0"/>
          <w:iCs w:val="0"/>
          <w:color w:val="auto"/>
          <w:sz w:val="24"/>
          <w:szCs w:val="24"/>
        </w:rPr>
        <w:t xml:space="preserve">Tabel 2. </w:t>
      </w:r>
      <w:r w:rsidRPr="00C40188">
        <w:rPr>
          <w:rFonts w:asciiTheme="majorBidi" w:hAnsiTheme="majorBidi" w:cstheme="majorBidi"/>
          <w:b/>
          <w:bCs/>
          <w:i w:val="0"/>
          <w:iCs w:val="0"/>
          <w:color w:val="auto"/>
          <w:sz w:val="24"/>
          <w:szCs w:val="24"/>
        </w:rPr>
        <w:fldChar w:fldCharType="begin"/>
      </w:r>
      <w:r w:rsidRPr="00C40188">
        <w:rPr>
          <w:rFonts w:asciiTheme="majorBidi" w:hAnsiTheme="majorBidi" w:cstheme="majorBidi"/>
          <w:b/>
          <w:bCs/>
          <w:i w:val="0"/>
          <w:iCs w:val="0"/>
          <w:color w:val="auto"/>
          <w:sz w:val="24"/>
          <w:szCs w:val="24"/>
        </w:rPr>
        <w:instrText xml:space="preserve"> SEQ Tabel_2. \* ARABIC </w:instrText>
      </w:r>
      <w:r w:rsidRPr="00C40188">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rPr>
        <w:t>5</w:t>
      </w:r>
      <w:bookmarkEnd w:id="57"/>
      <w:r w:rsidRPr="00C40188">
        <w:rPr>
          <w:rFonts w:asciiTheme="majorBidi" w:hAnsiTheme="majorBidi" w:cstheme="majorBidi"/>
          <w:b/>
          <w:bCs/>
          <w:i w:val="0"/>
          <w:iCs w:val="0"/>
          <w:color w:val="auto"/>
          <w:sz w:val="24"/>
          <w:szCs w:val="24"/>
        </w:rPr>
        <w:fldChar w:fldCharType="end"/>
      </w:r>
      <w:r w:rsidR="00D103B4">
        <w:rPr>
          <w:rFonts w:asciiTheme="majorBidi" w:hAnsiTheme="majorBidi" w:cstheme="majorBidi"/>
          <w:b/>
          <w:bCs/>
          <w:i w:val="0"/>
          <w:iCs w:val="0"/>
          <w:color w:val="auto"/>
          <w:sz w:val="24"/>
          <w:szCs w:val="24"/>
        </w:rPr>
        <w:br/>
      </w:r>
      <w:r w:rsidR="00D103B4" w:rsidRPr="00432CBC">
        <w:rPr>
          <w:rFonts w:asciiTheme="majorBidi" w:hAnsiTheme="majorBidi" w:cstheme="majorBidi"/>
          <w:b/>
          <w:bCs/>
          <w:i w:val="0"/>
          <w:iCs w:val="0"/>
          <w:color w:val="auto"/>
          <w:sz w:val="24"/>
          <w:szCs w:val="24"/>
        </w:rPr>
        <w:t>Penelitian Terdahulu</w:t>
      </w:r>
    </w:p>
    <w:tbl>
      <w:tblPr>
        <w:tblStyle w:val="TableGrid"/>
        <w:tblW w:w="0" w:type="auto"/>
        <w:tblInd w:w="562" w:type="dxa"/>
        <w:tblLook w:val="04A0" w:firstRow="1" w:lastRow="0" w:firstColumn="1" w:lastColumn="0" w:noHBand="0" w:noVBand="1"/>
      </w:tblPr>
      <w:tblGrid>
        <w:gridCol w:w="570"/>
        <w:gridCol w:w="3259"/>
        <w:gridCol w:w="2408"/>
        <w:gridCol w:w="2217"/>
      </w:tblGrid>
      <w:tr w:rsidR="00CB67EB" w:rsidRPr="00B51544" w14:paraId="4B7BD625" w14:textId="77777777" w:rsidTr="009E0DEE">
        <w:tc>
          <w:tcPr>
            <w:tcW w:w="570" w:type="dxa"/>
            <w:shd w:val="clear" w:color="auto" w:fill="B4C6E7" w:themeFill="accent1" w:themeFillTint="66"/>
          </w:tcPr>
          <w:p w14:paraId="7BECBB98" w14:textId="77777777" w:rsidR="00CB67EB" w:rsidRPr="00B51544" w:rsidRDefault="00CB67EB" w:rsidP="00B51544">
            <w:pPr>
              <w:pStyle w:val="ListParagraph"/>
              <w:spacing w:line="360" w:lineRule="auto"/>
              <w:ind w:left="0"/>
              <w:jc w:val="both"/>
              <w:rPr>
                <w:rFonts w:asciiTheme="majorBidi" w:hAnsiTheme="majorBidi" w:cstheme="majorBidi"/>
                <w:b/>
                <w:bCs/>
                <w:sz w:val="24"/>
                <w:szCs w:val="24"/>
                <w:lang w:val="sv-SE"/>
              </w:rPr>
            </w:pPr>
            <w:r w:rsidRPr="00B51544">
              <w:rPr>
                <w:rFonts w:asciiTheme="majorBidi" w:hAnsiTheme="majorBidi" w:cstheme="majorBidi"/>
                <w:b/>
                <w:bCs/>
                <w:sz w:val="24"/>
                <w:szCs w:val="24"/>
                <w:lang w:val="sv-SE"/>
              </w:rPr>
              <w:t>No.</w:t>
            </w:r>
          </w:p>
        </w:tc>
        <w:tc>
          <w:tcPr>
            <w:tcW w:w="3259" w:type="dxa"/>
            <w:shd w:val="clear" w:color="auto" w:fill="B4C6E7" w:themeFill="accent1" w:themeFillTint="66"/>
          </w:tcPr>
          <w:p w14:paraId="43E5AD0E" w14:textId="77777777" w:rsidR="00CB67EB" w:rsidRPr="00B51544" w:rsidRDefault="00CB67EB" w:rsidP="00B51544">
            <w:pPr>
              <w:pStyle w:val="ListParagraph"/>
              <w:spacing w:line="360" w:lineRule="auto"/>
              <w:ind w:left="0"/>
              <w:jc w:val="both"/>
              <w:rPr>
                <w:rFonts w:asciiTheme="majorBidi" w:hAnsiTheme="majorBidi" w:cstheme="majorBidi"/>
                <w:b/>
                <w:bCs/>
                <w:sz w:val="24"/>
                <w:szCs w:val="24"/>
                <w:lang w:val="sv-SE"/>
              </w:rPr>
            </w:pPr>
            <w:r w:rsidRPr="00B51544">
              <w:rPr>
                <w:rFonts w:asciiTheme="majorBidi" w:hAnsiTheme="majorBidi" w:cstheme="majorBidi"/>
                <w:b/>
                <w:bCs/>
                <w:sz w:val="24"/>
                <w:szCs w:val="24"/>
                <w:lang w:val="sv-SE"/>
              </w:rPr>
              <w:t>Identifikasi Penelitian</w:t>
            </w:r>
          </w:p>
        </w:tc>
        <w:tc>
          <w:tcPr>
            <w:tcW w:w="2408" w:type="dxa"/>
            <w:shd w:val="clear" w:color="auto" w:fill="B4C6E7" w:themeFill="accent1" w:themeFillTint="66"/>
          </w:tcPr>
          <w:p w14:paraId="5D2CCF38" w14:textId="77777777" w:rsidR="00CB67EB" w:rsidRPr="00B51544" w:rsidRDefault="00CB67EB" w:rsidP="00B51544">
            <w:pPr>
              <w:pStyle w:val="ListParagraph"/>
              <w:spacing w:line="360" w:lineRule="auto"/>
              <w:ind w:left="0"/>
              <w:jc w:val="both"/>
              <w:rPr>
                <w:rFonts w:asciiTheme="majorBidi" w:hAnsiTheme="majorBidi" w:cstheme="majorBidi"/>
                <w:b/>
                <w:bCs/>
                <w:sz w:val="24"/>
                <w:szCs w:val="24"/>
                <w:lang w:val="sv-SE"/>
              </w:rPr>
            </w:pPr>
            <w:r w:rsidRPr="00B51544">
              <w:rPr>
                <w:rFonts w:asciiTheme="majorBidi" w:hAnsiTheme="majorBidi" w:cstheme="majorBidi"/>
                <w:b/>
                <w:bCs/>
                <w:sz w:val="24"/>
                <w:szCs w:val="24"/>
                <w:lang w:val="sv-SE"/>
              </w:rPr>
              <w:t>Hasil Penelitian</w:t>
            </w:r>
          </w:p>
        </w:tc>
        <w:tc>
          <w:tcPr>
            <w:tcW w:w="2217" w:type="dxa"/>
            <w:shd w:val="clear" w:color="auto" w:fill="B4C6E7" w:themeFill="accent1" w:themeFillTint="66"/>
          </w:tcPr>
          <w:p w14:paraId="1B168F15" w14:textId="77777777" w:rsidR="00CB67EB" w:rsidRPr="00B51544" w:rsidRDefault="00CB67EB" w:rsidP="00B51544">
            <w:pPr>
              <w:pStyle w:val="ListParagraph"/>
              <w:spacing w:line="360" w:lineRule="auto"/>
              <w:ind w:left="0"/>
              <w:jc w:val="both"/>
              <w:rPr>
                <w:rFonts w:asciiTheme="majorBidi" w:hAnsiTheme="majorBidi" w:cstheme="majorBidi"/>
                <w:b/>
                <w:bCs/>
                <w:sz w:val="24"/>
                <w:szCs w:val="24"/>
                <w:lang w:val="sv-SE"/>
              </w:rPr>
            </w:pPr>
            <w:r w:rsidRPr="00B51544">
              <w:rPr>
                <w:rFonts w:asciiTheme="majorBidi" w:hAnsiTheme="majorBidi" w:cstheme="majorBidi"/>
                <w:b/>
                <w:bCs/>
                <w:sz w:val="24"/>
                <w:szCs w:val="24"/>
                <w:lang w:val="sv-SE"/>
              </w:rPr>
              <w:t>Metode</w:t>
            </w:r>
          </w:p>
        </w:tc>
      </w:tr>
      <w:tr w:rsidR="00075226" w:rsidRPr="00B51544" w14:paraId="6F1D27F0" w14:textId="77777777" w:rsidTr="009E0DEE">
        <w:tc>
          <w:tcPr>
            <w:tcW w:w="570" w:type="dxa"/>
          </w:tcPr>
          <w:p w14:paraId="2BB92E47" w14:textId="51C5B261" w:rsidR="00075226" w:rsidRPr="00B51544" w:rsidRDefault="00DA36D0"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1</w:t>
            </w:r>
            <w:r w:rsidR="00075226" w:rsidRPr="00B51544">
              <w:rPr>
                <w:rFonts w:asciiTheme="majorBidi" w:hAnsiTheme="majorBidi" w:cstheme="majorBidi"/>
                <w:sz w:val="24"/>
                <w:szCs w:val="24"/>
                <w:lang w:val="sv-SE"/>
              </w:rPr>
              <w:t>.</w:t>
            </w:r>
          </w:p>
        </w:tc>
        <w:tc>
          <w:tcPr>
            <w:tcW w:w="3259" w:type="dxa"/>
          </w:tcPr>
          <w:p w14:paraId="1880BB77" w14:textId="77777777" w:rsidR="00075226" w:rsidRPr="00B51544" w:rsidRDefault="000D5FFF"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Novia Anindita Kumalasari</w:t>
            </w:r>
          </w:p>
          <w:p w14:paraId="7A312B9D" w14:textId="0B1298D3" w:rsidR="000D5FFF" w:rsidRPr="00B51544" w:rsidRDefault="000D5FFF"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”Pengaruh Inflasi, Tingkat Bagi Hasil, Non Performing Financing, Dan Produk Domestik Bruto Terhadap Deposito Mudharabah Pada Bank Umum Syariah Di Indonesia”</w:t>
            </w:r>
            <w:r w:rsidR="008276DD" w:rsidRPr="00B51544">
              <w:rPr>
                <w:rStyle w:val="FootnoteReference"/>
                <w:rFonts w:asciiTheme="majorBidi" w:hAnsiTheme="majorBidi" w:cstheme="majorBidi"/>
                <w:sz w:val="24"/>
                <w:szCs w:val="24"/>
                <w:lang w:val="sv-SE"/>
              </w:rPr>
              <w:footnoteReference w:id="79"/>
            </w:r>
          </w:p>
        </w:tc>
        <w:tc>
          <w:tcPr>
            <w:tcW w:w="2408" w:type="dxa"/>
          </w:tcPr>
          <w:p w14:paraId="4B630D5C" w14:textId="3E334FC6" w:rsidR="00075226" w:rsidRPr="00B51544" w:rsidRDefault="000D5FFF"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NPF Berpengaruh signifikan</w:t>
            </w:r>
          </w:p>
        </w:tc>
        <w:tc>
          <w:tcPr>
            <w:tcW w:w="2217" w:type="dxa"/>
          </w:tcPr>
          <w:p w14:paraId="32046ED8" w14:textId="35F06926" w:rsidR="00075226" w:rsidRPr="00B51544" w:rsidRDefault="002B79F1"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rPr>
              <w:t>Kuantitatif (Regresi Linier Berganda, SPSS, data panel 2013–2019</w:t>
            </w:r>
            <w:r w:rsidR="009E0DEE" w:rsidRPr="00B51544">
              <w:rPr>
                <w:rFonts w:asciiTheme="majorBidi" w:hAnsiTheme="majorBidi" w:cstheme="majorBidi"/>
                <w:sz w:val="24"/>
                <w:szCs w:val="24"/>
              </w:rPr>
              <w:t>.</w:t>
            </w:r>
          </w:p>
        </w:tc>
      </w:tr>
      <w:tr w:rsidR="00075226" w:rsidRPr="00B51544" w14:paraId="3D34FBC9" w14:textId="77777777" w:rsidTr="009E0DEE">
        <w:tc>
          <w:tcPr>
            <w:tcW w:w="570" w:type="dxa"/>
          </w:tcPr>
          <w:p w14:paraId="4461D5C1" w14:textId="7EC7395D" w:rsidR="00075226" w:rsidRPr="00B51544" w:rsidRDefault="00DA36D0" w:rsidP="00B51544">
            <w:pPr>
              <w:spacing w:line="360" w:lineRule="auto"/>
              <w:jc w:val="both"/>
              <w:rPr>
                <w:rFonts w:asciiTheme="majorBidi" w:hAnsiTheme="majorBidi" w:cstheme="majorBidi"/>
                <w:sz w:val="24"/>
                <w:szCs w:val="24"/>
              </w:rPr>
            </w:pPr>
            <w:r w:rsidRPr="00B51544">
              <w:rPr>
                <w:rFonts w:asciiTheme="majorBidi" w:hAnsiTheme="majorBidi" w:cstheme="majorBidi"/>
                <w:sz w:val="24"/>
                <w:szCs w:val="24"/>
              </w:rPr>
              <w:t>2</w:t>
            </w:r>
            <w:r w:rsidR="00075226" w:rsidRPr="00B51544">
              <w:rPr>
                <w:rFonts w:asciiTheme="majorBidi" w:hAnsiTheme="majorBidi" w:cstheme="majorBidi"/>
                <w:sz w:val="24"/>
                <w:szCs w:val="24"/>
              </w:rPr>
              <w:t>.</w:t>
            </w:r>
          </w:p>
        </w:tc>
        <w:tc>
          <w:tcPr>
            <w:tcW w:w="3259" w:type="dxa"/>
          </w:tcPr>
          <w:p w14:paraId="77C5DF52" w14:textId="77777777" w:rsidR="00075226" w:rsidRPr="00B51544" w:rsidRDefault="00AC5783" w:rsidP="00B51544">
            <w:pPr>
              <w:pStyle w:val="ListParagraph"/>
              <w:spacing w:line="360" w:lineRule="auto"/>
              <w:ind w:left="0"/>
              <w:jc w:val="both"/>
              <w:rPr>
                <w:rFonts w:asciiTheme="majorBidi" w:hAnsiTheme="majorBidi" w:cstheme="majorBidi"/>
                <w:sz w:val="24"/>
                <w:szCs w:val="24"/>
              </w:rPr>
            </w:pPr>
            <w:r w:rsidRPr="00B51544">
              <w:rPr>
                <w:rFonts w:asciiTheme="majorBidi" w:hAnsiTheme="majorBidi" w:cstheme="majorBidi"/>
                <w:sz w:val="24"/>
                <w:szCs w:val="24"/>
              </w:rPr>
              <w:t>Wilda Nurhidayah</w:t>
            </w:r>
          </w:p>
          <w:p w14:paraId="78522021" w14:textId="53A1782D" w:rsidR="00AC5783" w:rsidRPr="00B51544" w:rsidRDefault="00AC5783" w:rsidP="00B51544">
            <w:pPr>
              <w:pStyle w:val="ListParagraph"/>
              <w:spacing w:line="360" w:lineRule="auto"/>
              <w:ind w:left="0"/>
              <w:jc w:val="both"/>
              <w:rPr>
                <w:rFonts w:asciiTheme="majorBidi" w:hAnsiTheme="majorBidi" w:cstheme="majorBidi"/>
                <w:sz w:val="24"/>
                <w:szCs w:val="24"/>
              </w:rPr>
            </w:pPr>
            <w:r w:rsidRPr="00B51544">
              <w:rPr>
                <w:rFonts w:asciiTheme="majorBidi" w:hAnsiTheme="majorBidi" w:cstheme="majorBidi"/>
                <w:sz w:val="24"/>
                <w:szCs w:val="24"/>
              </w:rPr>
              <w:t>”Pengaruh Kecukupan Modal, Pembiayaan Bermasalah, Bagi Hasil Dan Tingkat Inflasi Terhadap Deposito Mudharabah Pada Bank Umum Syariah”</w:t>
            </w:r>
            <w:r w:rsidRPr="00B51544">
              <w:rPr>
                <w:rStyle w:val="FootnoteReference"/>
                <w:rFonts w:asciiTheme="majorBidi" w:hAnsiTheme="majorBidi" w:cstheme="majorBidi"/>
                <w:sz w:val="24"/>
                <w:szCs w:val="24"/>
                <w:lang w:val="sv-SE"/>
              </w:rPr>
              <w:footnoteReference w:id="80"/>
            </w:r>
          </w:p>
        </w:tc>
        <w:tc>
          <w:tcPr>
            <w:tcW w:w="2408" w:type="dxa"/>
          </w:tcPr>
          <w:p w14:paraId="01A79C16" w14:textId="5ECA862B" w:rsidR="00075226" w:rsidRPr="00142DC5" w:rsidRDefault="00AC5783" w:rsidP="00B51544">
            <w:pPr>
              <w:pStyle w:val="ListParagraph"/>
              <w:spacing w:line="360" w:lineRule="auto"/>
              <w:ind w:left="0"/>
              <w:jc w:val="both"/>
              <w:rPr>
                <w:rFonts w:asciiTheme="majorBidi" w:hAnsiTheme="majorBidi" w:cstheme="majorBidi"/>
                <w:sz w:val="24"/>
                <w:szCs w:val="24"/>
              </w:rPr>
            </w:pPr>
            <w:r w:rsidRPr="00142DC5">
              <w:rPr>
                <w:rFonts w:asciiTheme="majorBidi" w:hAnsiTheme="majorBidi" w:cstheme="majorBidi"/>
                <w:sz w:val="24"/>
                <w:szCs w:val="24"/>
              </w:rPr>
              <w:t>Risiko Pembiayaan bermasalah</w:t>
            </w:r>
            <w:r w:rsidR="00142DC5">
              <w:rPr>
                <w:rFonts w:asciiTheme="majorBidi" w:hAnsiTheme="majorBidi" w:cstheme="majorBidi"/>
                <w:sz w:val="24"/>
                <w:szCs w:val="24"/>
              </w:rPr>
              <w:t xml:space="preserve"> </w:t>
            </w:r>
            <w:r w:rsidR="002B79F1" w:rsidRPr="00142DC5">
              <w:rPr>
                <w:rFonts w:asciiTheme="majorBidi" w:hAnsiTheme="majorBidi" w:cstheme="majorBidi"/>
                <w:sz w:val="24"/>
                <w:szCs w:val="24"/>
              </w:rPr>
              <w:t>berpengaruh</w:t>
            </w:r>
            <w:r w:rsidR="00142DC5" w:rsidRPr="00142DC5">
              <w:rPr>
                <w:rFonts w:asciiTheme="majorBidi" w:hAnsiTheme="majorBidi" w:cstheme="majorBidi"/>
                <w:sz w:val="24"/>
                <w:szCs w:val="24"/>
              </w:rPr>
              <w:t xml:space="preserve"> positif</w:t>
            </w:r>
            <w:r w:rsidR="002B79F1" w:rsidRPr="00142DC5">
              <w:rPr>
                <w:rFonts w:asciiTheme="majorBidi" w:hAnsiTheme="majorBidi" w:cstheme="majorBidi"/>
                <w:sz w:val="24"/>
                <w:szCs w:val="24"/>
              </w:rPr>
              <w:t xml:space="preserve"> </w:t>
            </w:r>
            <w:r w:rsidRPr="00142DC5">
              <w:rPr>
                <w:rFonts w:asciiTheme="majorBidi" w:hAnsiTheme="majorBidi" w:cstheme="majorBidi"/>
                <w:sz w:val="24"/>
                <w:szCs w:val="24"/>
              </w:rPr>
              <w:t>tidak signifikan</w:t>
            </w:r>
            <w:r w:rsidR="00075226" w:rsidRPr="00142DC5">
              <w:rPr>
                <w:rFonts w:asciiTheme="majorBidi" w:hAnsiTheme="majorBidi" w:cstheme="majorBidi"/>
                <w:sz w:val="24"/>
                <w:szCs w:val="24"/>
              </w:rPr>
              <w:t>.</w:t>
            </w:r>
          </w:p>
        </w:tc>
        <w:tc>
          <w:tcPr>
            <w:tcW w:w="2217" w:type="dxa"/>
          </w:tcPr>
          <w:p w14:paraId="161BA27B" w14:textId="7B3B887F" w:rsidR="00075226" w:rsidRPr="00B51544" w:rsidRDefault="002E5E6F"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Kuantitatif (regresi data panel, model random effect, uji F &amp; t, periode 2013-2017 pada 5 BUS)</w:t>
            </w:r>
            <w:r w:rsidR="009E0DEE" w:rsidRPr="00B51544">
              <w:rPr>
                <w:rFonts w:asciiTheme="majorBidi" w:hAnsiTheme="majorBidi" w:cstheme="majorBidi"/>
                <w:sz w:val="24"/>
                <w:szCs w:val="24"/>
                <w:lang w:val="pt-BR"/>
              </w:rPr>
              <w:t>.</w:t>
            </w:r>
          </w:p>
        </w:tc>
      </w:tr>
      <w:tr w:rsidR="00B839FE" w:rsidRPr="00B51544" w14:paraId="01AD57E7" w14:textId="77777777" w:rsidTr="009E0DEE">
        <w:tc>
          <w:tcPr>
            <w:tcW w:w="570" w:type="dxa"/>
          </w:tcPr>
          <w:p w14:paraId="2337F2BE" w14:textId="33873D4D" w:rsidR="00B839FE" w:rsidRPr="00B51544" w:rsidRDefault="00B839FE" w:rsidP="00B51544">
            <w:pPr>
              <w:spacing w:line="360" w:lineRule="auto"/>
              <w:jc w:val="both"/>
              <w:rPr>
                <w:rFonts w:asciiTheme="majorBidi" w:hAnsiTheme="majorBidi" w:cstheme="majorBidi"/>
                <w:sz w:val="24"/>
                <w:szCs w:val="24"/>
              </w:rPr>
            </w:pPr>
            <w:r>
              <w:rPr>
                <w:rFonts w:asciiTheme="majorBidi" w:hAnsiTheme="majorBidi" w:cstheme="majorBidi"/>
                <w:sz w:val="24"/>
                <w:szCs w:val="24"/>
              </w:rPr>
              <w:t>3.</w:t>
            </w:r>
          </w:p>
        </w:tc>
        <w:tc>
          <w:tcPr>
            <w:tcW w:w="3259" w:type="dxa"/>
          </w:tcPr>
          <w:p w14:paraId="2415BFAF" w14:textId="77777777" w:rsidR="00B839FE" w:rsidRDefault="004D746D" w:rsidP="00B51544">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Agung Yulianto</w:t>
            </w:r>
          </w:p>
          <w:p w14:paraId="346826AF" w14:textId="5E1D2CAF" w:rsidR="004D746D" w:rsidRPr="00B51544" w:rsidRDefault="004D746D" w:rsidP="00B51544">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“The Internal Factors of Indonesian Sharia Banking to </w:t>
            </w:r>
            <w:r>
              <w:rPr>
                <w:rFonts w:asciiTheme="majorBidi" w:hAnsiTheme="majorBidi" w:cstheme="majorBidi"/>
                <w:sz w:val="24"/>
                <w:szCs w:val="24"/>
              </w:rPr>
              <w:lastRenderedPageBreak/>
              <w:t>Predict The Mudharabah Deposits”</w:t>
            </w:r>
            <w:r>
              <w:rPr>
                <w:rStyle w:val="FootnoteReference"/>
                <w:rFonts w:asciiTheme="majorBidi" w:hAnsiTheme="majorBidi" w:cstheme="majorBidi"/>
                <w:sz w:val="24"/>
                <w:szCs w:val="24"/>
              </w:rPr>
              <w:footnoteReference w:id="81"/>
            </w:r>
          </w:p>
        </w:tc>
        <w:tc>
          <w:tcPr>
            <w:tcW w:w="2408" w:type="dxa"/>
          </w:tcPr>
          <w:p w14:paraId="1AA0E23D" w14:textId="26E1A3BB" w:rsidR="00B839FE" w:rsidRPr="004D746D" w:rsidRDefault="004D746D" w:rsidP="00B51544">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lastRenderedPageBreak/>
              <w:t>NPF memiliki berpengaruh negatif.</w:t>
            </w:r>
          </w:p>
        </w:tc>
        <w:tc>
          <w:tcPr>
            <w:tcW w:w="2217" w:type="dxa"/>
          </w:tcPr>
          <w:p w14:paraId="29140FC2" w14:textId="006629E5" w:rsidR="00B839FE" w:rsidRPr="004D746D" w:rsidRDefault="004D746D" w:rsidP="00B51544">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Kuantitatif, analisis regresi berganda</w:t>
            </w:r>
          </w:p>
        </w:tc>
      </w:tr>
      <w:tr w:rsidR="00075226" w:rsidRPr="0031036E" w14:paraId="528A737F" w14:textId="77777777" w:rsidTr="009E0DEE">
        <w:tc>
          <w:tcPr>
            <w:tcW w:w="570" w:type="dxa"/>
          </w:tcPr>
          <w:p w14:paraId="6567C14C" w14:textId="59736069" w:rsidR="00075226" w:rsidRPr="00B51544" w:rsidRDefault="004D746D" w:rsidP="00B51544">
            <w:p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t>4</w:t>
            </w:r>
            <w:r w:rsidR="00075226" w:rsidRPr="00B51544">
              <w:rPr>
                <w:rFonts w:asciiTheme="majorBidi" w:hAnsiTheme="majorBidi" w:cstheme="majorBidi"/>
                <w:sz w:val="24"/>
                <w:szCs w:val="24"/>
                <w:lang w:val="sv-SE"/>
              </w:rPr>
              <w:t>.</w:t>
            </w:r>
          </w:p>
        </w:tc>
        <w:tc>
          <w:tcPr>
            <w:tcW w:w="3259" w:type="dxa"/>
          </w:tcPr>
          <w:p w14:paraId="3C635D68" w14:textId="77777777" w:rsidR="00075226" w:rsidRPr="00B51544" w:rsidRDefault="00075226"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Nini, Murniati, Rahmaita</w:t>
            </w:r>
          </w:p>
          <w:p w14:paraId="586F7C51" w14:textId="491928F3"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“Pengaruh Jumlah Bagi Hasil Deposito, Likuiditas, dan Inflasi Terhadap Jumlah Deposito Mudharabah Pada Bank Syariah Mandiri Periode 2014-2018”</w:t>
            </w:r>
            <w:r w:rsidR="00213FC6" w:rsidRPr="00B51544">
              <w:rPr>
                <w:rStyle w:val="FootnoteReference"/>
                <w:rFonts w:asciiTheme="majorBidi" w:hAnsiTheme="majorBidi" w:cstheme="majorBidi"/>
                <w:sz w:val="24"/>
                <w:szCs w:val="24"/>
                <w:lang w:val="sv-SE"/>
              </w:rPr>
              <w:footnoteReference w:id="82"/>
            </w:r>
          </w:p>
        </w:tc>
        <w:tc>
          <w:tcPr>
            <w:tcW w:w="2408" w:type="dxa"/>
          </w:tcPr>
          <w:p w14:paraId="480104FE" w14:textId="54367C3F" w:rsidR="00075226" w:rsidRPr="00B51544" w:rsidRDefault="005B626F"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Likuiditas (FDR) berpengaruh positif signifikan</w:t>
            </w:r>
            <w:r w:rsidR="00075226" w:rsidRPr="00B51544">
              <w:rPr>
                <w:rFonts w:asciiTheme="majorBidi" w:hAnsiTheme="majorBidi" w:cstheme="majorBidi"/>
                <w:sz w:val="24"/>
                <w:szCs w:val="24"/>
                <w:lang w:val="sv-SE"/>
              </w:rPr>
              <w:t xml:space="preserve"> terhadap jumlah deposito mudharabah</w:t>
            </w:r>
            <w:r w:rsidRPr="00B51544">
              <w:rPr>
                <w:rFonts w:asciiTheme="majorBidi" w:hAnsiTheme="majorBidi" w:cstheme="majorBidi"/>
                <w:sz w:val="24"/>
                <w:szCs w:val="24"/>
                <w:lang w:val="sv-SE"/>
              </w:rPr>
              <w:t>.</w:t>
            </w:r>
          </w:p>
        </w:tc>
        <w:tc>
          <w:tcPr>
            <w:tcW w:w="2217" w:type="dxa"/>
          </w:tcPr>
          <w:p w14:paraId="6A296EBF" w14:textId="758C2A7F"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Kuantitatif dengan data sekunder dari tahun 2014-2018, menggunakan regresi linier berganda dengan SPSS 21.</w:t>
            </w:r>
          </w:p>
        </w:tc>
      </w:tr>
      <w:tr w:rsidR="00075226" w:rsidRPr="0031036E" w14:paraId="59DDC8F9" w14:textId="77777777" w:rsidTr="009E0DEE">
        <w:tc>
          <w:tcPr>
            <w:tcW w:w="570" w:type="dxa"/>
          </w:tcPr>
          <w:p w14:paraId="1E77CDB7" w14:textId="3D0C2C01" w:rsidR="00075226" w:rsidRPr="00B51544" w:rsidRDefault="004D746D" w:rsidP="00B51544">
            <w:p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t>5</w:t>
            </w:r>
            <w:r w:rsidR="00075226" w:rsidRPr="00B51544">
              <w:rPr>
                <w:rFonts w:asciiTheme="majorBidi" w:hAnsiTheme="majorBidi" w:cstheme="majorBidi"/>
                <w:sz w:val="24"/>
                <w:szCs w:val="24"/>
                <w:lang w:val="sv-SE"/>
              </w:rPr>
              <w:t>.</w:t>
            </w:r>
          </w:p>
        </w:tc>
        <w:tc>
          <w:tcPr>
            <w:tcW w:w="3259" w:type="dxa"/>
          </w:tcPr>
          <w:p w14:paraId="6ABB53DB" w14:textId="77777777" w:rsidR="00075226" w:rsidRPr="00B51544" w:rsidRDefault="00075226"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Laily Nur Fitriana dan Syaiful</w:t>
            </w:r>
          </w:p>
          <w:p w14:paraId="751BB3C7" w14:textId="1D116F1C"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“Pengaruh Suku Bunga, Likuiditas, dan Bagi Hasil terhadap Deposito Mudharabah pada Bank Umum Syariah yang ada di Indonesia”</w:t>
            </w:r>
            <w:r w:rsidR="00213FC6" w:rsidRPr="00B51544">
              <w:rPr>
                <w:rStyle w:val="FootnoteReference"/>
                <w:rFonts w:asciiTheme="majorBidi" w:hAnsiTheme="majorBidi" w:cstheme="majorBidi"/>
                <w:sz w:val="24"/>
                <w:szCs w:val="24"/>
                <w:lang w:val="sv-SE"/>
              </w:rPr>
              <w:footnoteReference w:id="83"/>
            </w:r>
          </w:p>
        </w:tc>
        <w:tc>
          <w:tcPr>
            <w:tcW w:w="2408" w:type="dxa"/>
          </w:tcPr>
          <w:p w14:paraId="42CCD261" w14:textId="4BCEBDEE"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likuiditas dan bagi hasil memiliki pengaruh signifikan terhadap jumlah deposito mudharabah.</w:t>
            </w:r>
          </w:p>
        </w:tc>
        <w:tc>
          <w:tcPr>
            <w:tcW w:w="2217" w:type="dxa"/>
          </w:tcPr>
          <w:p w14:paraId="46AF9B18" w14:textId="55592428"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kuantitatif dengan regresi linier berganda, sampel 8 bank syariah terdaftar di OJK (2019-2021).</w:t>
            </w:r>
          </w:p>
        </w:tc>
      </w:tr>
      <w:tr w:rsidR="00075226" w:rsidRPr="00B51544" w14:paraId="1622E036" w14:textId="77777777" w:rsidTr="009E0DEE">
        <w:tc>
          <w:tcPr>
            <w:tcW w:w="570" w:type="dxa"/>
          </w:tcPr>
          <w:p w14:paraId="59F9595A" w14:textId="18FB298B" w:rsidR="00075226" w:rsidRPr="00B51544" w:rsidRDefault="004D746D" w:rsidP="00B51544">
            <w:p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t>6</w:t>
            </w:r>
            <w:r w:rsidR="00075226" w:rsidRPr="00B51544">
              <w:rPr>
                <w:rFonts w:asciiTheme="majorBidi" w:hAnsiTheme="majorBidi" w:cstheme="majorBidi"/>
                <w:sz w:val="24"/>
                <w:szCs w:val="24"/>
                <w:lang w:val="sv-SE"/>
              </w:rPr>
              <w:t>.</w:t>
            </w:r>
          </w:p>
        </w:tc>
        <w:tc>
          <w:tcPr>
            <w:tcW w:w="3259" w:type="dxa"/>
          </w:tcPr>
          <w:p w14:paraId="7105E1CF" w14:textId="77777777" w:rsidR="00075226" w:rsidRPr="00B51544" w:rsidRDefault="00075226" w:rsidP="00B51544">
            <w:p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Maulana Islam Saputra</w:t>
            </w:r>
          </w:p>
          <w:p w14:paraId="4DE5A923" w14:textId="199C7FBA" w:rsidR="00075226" w:rsidRPr="00B51544" w:rsidRDefault="00075226"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”Pengaruh Inflasi, Suku Bunga, Likuiditas Dan Bagi Hasil Terhadap Deposito Mudharabah”</w:t>
            </w:r>
            <w:r w:rsidRPr="00B51544">
              <w:rPr>
                <w:rStyle w:val="FootnoteReference"/>
                <w:rFonts w:asciiTheme="majorBidi" w:hAnsiTheme="majorBidi" w:cstheme="majorBidi"/>
                <w:sz w:val="24"/>
                <w:szCs w:val="24"/>
                <w:lang w:val="sv-SE"/>
              </w:rPr>
              <w:footnoteReference w:id="84"/>
            </w:r>
          </w:p>
        </w:tc>
        <w:tc>
          <w:tcPr>
            <w:tcW w:w="2408" w:type="dxa"/>
          </w:tcPr>
          <w:p w14:paraId="7E96880A" w14:textId="7217CEB0" w:rsidR="00075226" w:rsidRPr="00B51544" w:rsidRDefault="00075226"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FDR dan suku bunga berpengaruh negatif, bagi hasil berpengaruh positif, inflasi tidak berpengaruh terhadap deposito mudharabah</w:t>
            </w:r>
          </w:p>
        </w:tc>
        <w:tc>
          <w:tcPr>
            <w:tcW w:w="2217" w:type="dxa"/>
          </w:tcPr>
          <w:p w14:paraId="6FEDF026" w14:textId="701F48DF"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rPr>
              <w:t>Kuantitatif, regresi linier berganda</w:t>
            </w:r>
            <w:r w:rsidR="009E0DEE" w:rsidRPr="00B51544">
              <w:rPr>
                <w:rFonts w:asciiTheme="majorBidi" w:hAnsiTheme="majorBidi" w:cstheme="majorBidi"/>
                <w:sz w:val="24"/>
                <w:szCs w:val="24"/>
              </w:rPr>
              <w:t>.</w:t>
            </w:r>
          </w:p>
        </w:tc>
      </w:tr>
      <w:tr w:rsidR="00075226" w:rsidRPr="0031036E" w14:paraId="56073A78" w14:textId="77777777" w:rsidTr="009E0DEE">
        <w:tc>
          <w:tcPr>
            <w:tcW w:w="570" w:type="dxa"/>
          </w:tcPr>
          <w:p w14:paraId="53003B94" w14:textId="1412E4EA" w:rsidR="00075226" w:rsidRPr="00B51544" w:rsidRDefault="004D746D" w:rsidP="00B51544">
            <w:p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t>7</w:t>
            </w:r>
            <w:r w:rsidR="00075226" w:rsidRPr="00B51544">
              <w:rPr>
                <w:rFonts w:asciiTheme="majorBidi" w:hAnsiTheme="majorBidi" w:cstheme="majorBidi"/>
                <w:sz w:val="24"/>
                <w:szCs w:val="24"/>
                <w:lang w:val="sv-SE"/>
              </w:rPr>
              <w:t>.</w:t>
            </w:r>
          </w:p>
        </w:tc>
        <w:tc>
          <w:tcPr>
            <w:tcW w:w="3259" w:type="dxa"/>
          </w:tcPr>
          <w:p w14:paraId="59AEB83E" w14:textId="77777777" w:rsidR="00075226"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Fauzan Al Farizi</w:t>
            </w:r>
          </w:p>
          <w:p w14:paraId="4AFA6CF0" w14:textId="454FF450"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”Pengaruh Inflasi, Suku Bunga, Likuiditas Dan Bagi Hasil Terhadap Deposito Mudharabah”</w:t>
            </w:r>
            <w:r w:rsidRPr="00B51544">
              <w:rPr>
                <w:rStyle w:val="FootnoteReference"/>
                <w:rFonts w:asciiTheme="majorBidi" w:hAnsiTheme="majorBidi" w:cstheme="majorBidi"/>
                <w:sz w:val="24"/>
                <w:szCs w:val="24"/>
                <w:lang w:val="pt-BR"/>
              </w:rPr>
              <w:footnoteReference w:id="85"/>
            </w:r>
          </w:p>
        </w:tc>
        <w:tc>
          <w:tcPr>
            <w:tcW w:w="2408" w:type="dxa"/>
          </w:tcPr>
          <w:p w14:paraId="04321AAB" w14:textId="26005E62"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FDR tidak berpengaruh</w:t>
            </w:r>
            <w:r w:rsidR="008276DD" w:rsidRPr="00B51544">
              <w:rPr>
                <w:rFonts w:asciiTheme="majorBidi" w:hAnsiTheme="majorBidi" w:cstheme="majorBidi"/>
                <w:sz w:val="24"/>
                <w:szCs w:val="24"/>
                <w:lang w:val="sv-SE"/>
              </w:rPr>
              <w:t xml:space="preserve"> signifikan.</w:t>
            </w:r>
          </w:p>
        </w:tc>
        <w:tc>
          <w:tcPr>
            <w:tcW w:w="2217" w:type="dxa"/>
          </w:tcPr>
          <w:p w14:paraId="1135BFAE" w14:textId="2AD608E0" w:rsidR="00075226" w:rsidRPr="00B51544" w:rsidRDefault="002E5E6F"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Kuantitatif </w:t>
            </w:r>
            <w:r w:rsidRPr="00B51544">
              <w:rPr>
                <w:rFonts w:asciiTheme="majorBidi" w:hAnsiTheme="majorBidi" w:cstheme="majorBidi"/>
                <w:sz w:val="24"/>
                <w:szCs w:val="24"/>
                <w:lang w:val="sv-SE"/>
              </w:rPr>
              <w:br/>
              <w:t>(Regresi linier berganda, data time series 2010–2014, BRI Syariah)</w:t>
            </w:r>
            <w:r w:rsidR="009E0DEE" w:rsidRPr="00B51544">
              <w:rPr>
                <w:rFonts w:asciiTheme="majorBidi" w:hAnsiTheme="majorBidi" w:cstheme="majorBidi"/>
                <w:sz w:val="24"/>
                <w:szCs w:val="24"/>
                <w:lang w:val="sv-SE"/>
              </w:rPr>
              <w:t>.</w:t>
            </w:r>
          </w:p>
        </w:tc>
      </w:tr>
      <w:tr w:rsidR="008276DD" w:rsidRPr="00B51544" w14:paraId="1031FBB9" w14:textId="77777777" w:rsidTr="009E0DEE">
        <w:tc>
          <w:tcPr>
            <w:tcW w:w="570" w:type="dxa"/>
          </w:tcPr>
          <w:p w14:paraId="709D8BCA" w14:textId="63F9DBDF" w:rsidR="008276DD" w:rsidRPr="00B51544" w:rsidRDefault="004D746D" w:rsidP="00B51544">
            <w:p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lastRenderedPageBreak/>
              <w:t>8</w:t>
            </w:r>
            <w:r w:rsidR="008276DD" w:rsidRPr="00B51544">
              <w:rPr>
                <w:rFonts w:asciiTheme="majorBidi" w:hAnsiTheme="majorBidi" w:cstheme="majorBidi"/>
                <w:sz w:val="24"/>
                <w:szCs w:val="24"/>
                <w:lang w:val="sv-SE"/>
              </w:rPr>
              <w:t>.</w:t>
            </w:r>
          </w:p>
        </w:tc>
        <w:tc>
          <w:tcPr>
            <w:tcW w:w="3259" w:type="dxa"/>
          </w:tcPr>
          <w:p w14:paraId="0A3884AB" w14:textId="77777777"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Akhris Fuadatis Sholikha</w:t>
            </w:r>
          </w:p>
          <w:p w14:paraId="6708A6C3" w14:textId="47795DDA"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”Pengaruh Tingkat Suku Bunga, Tingkat Bagi Hasil, Likuiditas, Inflasi, Ukuran Bank, Dan Pertumbuhan Produk Domestik Bruto Terhadap Deposito Mudharabah Bank Umum Syariah Di Indonesia”</w:t>
            </w:r>
            <w:r w:rsidRPr="00B51544">
              <w:rPr>
                <w:rStyle w:val="FootnoteReference"/>
                <w:rFonts w:asciiTheme="majorBidi" w:hAnsiTheme="majorBidi" w:cstheme="majorBidi"/>
                <w:sz w:val="24"/>
                <w:szCs w:val="24"/>
                <w:lang w:val="sv-SE"/>
              </w:rPr>
              <w:footnoteReference w:id="86"/>
            </w:r>
          </w:p>
        </w:tc>
        <w:tc>
          <w:tcPr>
            <w:tcW w:w="2408" w:type="dxa"/>
          </w:tcPr>
          <w:p w14:paraId="51F273B6" w14:textId="33589FDC"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FDR tidak berpengaruh signifikan.</w:t>
            </w:r>
          </w:p>
        </w:tc>
        <w:tc>
          <w:tcPr>
            <w:tcW w:w="2217" w:type="dxa"/>
          </w:tcPr>
          <w:p w14:paraId="5D4DE408" w14:textId="0F4D7D8B" w:rsidR="008276DD" w:rsidRPr="00B51544" w:rsidRDefault="002E5E6F" w:rsidP="00B51544">
            <w:pPr>
              <w:pStyle w:val="ListParagraph"/>
              <w:spacing w:line="360" w:lineRule="auto"/>
              <w:ind w:left="0"/>
              <w:jc w:val="both"/>
              <w:rPr>
                <w:rFonts w:asciiTheme="majorBidi" w:hAnsiTheme="majorBidi" w:cstheme="majorBidi"/>
                <w:sz w:val="24"/>
                <w:szCs w:val="24"/>
              </w:rPr>
            </w:pPr>
            <w:r w:rsidRPr="00B51544">
              <w:rPr>
                <w:rFonts w:asciiTheme="majorBidi" w:hAnsiTheme="majorBidi" w:cstheme="majorBidi"/>
                <w:sz w:val="24"/>
                <w:szCs w:val="24"/>
              </w:rPr>
              <w:t xml:space="preserve">Kuantitatif </w:t>
            </w:r>
            <w:r w:rsidRPr="00B51544">
              <w:rPr>
                <w:rFonts w:asciiTheme="majorBidi" w:hAnsiTheme="majorBidi" w:cstheme="majorBidi"/>
                <w:sz w:val="24"/>
                <w:szCs w:val="24"/>
              </w:rPr>
              <w:br/>
              <w:t>(Regresi linier berganda, data time series triwulan 2011–2014, 6 BUS, purposive sampling)</w:t>
            </w:r>
            <w:r w:rsidR="009E0DEE" w:rsidRPr="00B51544">
              <w:rPr>
                <w:rFonts w:asciiTheme="majorBidi" w:hAnsiTheme="majorBidi" w:cstheme="majorBidi"/>
                <w:sz w:val="24"/>
                <w:szCs w:val="24"/>
              </w:rPr>
              <w:t>.</w:t>
            </w:r>
          </w:p>
        </w:tc>
      </w:tr>
      <w:tr w:rsidR="00075226" w:rsidRPr="00B51544" w14:paraId="11FBC1E1" w14:textId="77777777" w:rsidTr="009E0DEE">
        <w:tc>
          <w:tcPr>
            <w:tcW w:w="570" w:type="dxa"/>
          </w:tcPr>
          <w:p w14:paraId="6E5AF9A3" w14:textId="3787FA7C" w:rsidR="00075226" w:rsidRPr="00B51544" w:rsidRDefault="004D746D" w:rsidP="00B51544">
            <w:p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t>9</w:t>
            </w:r>
            <w:r w:rsidR="00075226" w:rsidRPr="00B51544">
              <w:rPr>
                <w:rFonts w:asciiTheme="majorBidi" w:hAnsiTheme="majorBidi" w:cstheme="majorBidi"/>
                <w:sz w:val="24"/>
                <w:szCs w:val="24"/>
                <w:lang w:val="sv-SE"/>
              </w:rPr>
              <w:t>.</w:t>
            </w:r>
          </w:p>
        </w:tc>
        <w:tc>
          <w:tcPr>
            <w:tcW w:w="3259" w:type="dxa"/>
          </w:tcPr>
          <w:p w14:paraId="30151347" w14:textId="77777777" w:rsidR="00075226" w:rsidRPr="00B51544" w:rsidRDefault="00075226"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Shoona Kabila Mahaaba</w:t>
            </w:r>
          </w:p>
          <w:p w14:paraId="3327DF92" w14:textId="7EFDCA35" w:rsidR="00075226" w:rsidRPr="00B51544" w:rsidRDefault="00075226"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”Analisis Pengaruh Tingkat Bagi Hasil Deposito Mudharabah, FDR, Suku Bunga, Inflasi Dan PDB Terhadap Jumlah Deposito Mudharabah Pada Bank Pembiayaan Rakyat Syariah (BPRS) Di Provinsi Banten”</w:t>
            </w:r>
            <w:r w:rsidRPr="00B51544">
              <w:rPr>
                <w:rStyle w:val="FootnoteReference"/>
                <w:rFonts w:asciiTheme="majorBidi" w:hAnsiTheme="majorBidi" w:cstheme="majorBidi"/>
                <w:sz w:val="24"/>
                <w:szCs w:val="24"/>
                <w:lang w:val="sv-SE"/>
              </w:rPr>
              <w:footnoteReference w:id="87"/>
            </w:r>
          </w:p>
        </w:tc>
        <w:tc>
          <w:tcPr>
            <w:tcW w:w="2408" w:type="dxa"/>
          </w:tcPr>
          <w:p w14:paraId="1BB8B989" w14:textId="68113796" w:rsidR="00075226" w:rsidRPr="00B51544" w:rsidRDefault="00075226"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FDR berpengaruh negatif terhadap deposito mudharabah.</w:t>
            </w:r>
          </w:p>
        </w:tc>
        <w:tc>
          <w:tcPr>
            <w:tcW w:w="2217" w:type="dxa"/>
          </w:tcPr>
          <w:p w14:paraId="18B279EA" w14:textId="42A000DA" w:rsidR="00075226" w:rsidRPr="00B51544" w:rsidRDefault="00075226" w:rsidP="00B51544">
            <w:pPr>
              <w:pStyle w:val="ListParagraph"/>
              <w:spacing w:line="360" w:lineRule="auto"/>
              <w:ind w:left="0"/>
              <w:jc w:val="both"/>
              <w:rPr>
                <w:rFonts w:asciiTheme="majorBidi" w:hAnsiTheme="majorBidi" w:cstheme="majorBidi"/>
                <w:sz w:val="24"/>
                <w:szCs w:val="24"/>
              </w:rPr>
            </w:pPr>
            <w:r w:rsidRPr="00B51544">
              <w:rPr>
                <w:rFonts w:asciiTheme="majorBidi" w:hAnsiTheme="majorBidi" w:cstheme="majorBidi"/>
                <w:sz w:val="24"/>
                <w:szCs w:val="24"/>
              </w:rPr>
              <w:t>Kuantitatif, data panel dengan fixed-effect model</w:t>
            </w:r>
            <w:r w:rsidR="009E0DEE" w:rsidRPr="00B51544">
              <w:rPr>
                <w:rFonts w:asciiTheme="majorBidi" w:hAnsiTheme="majorBidi" w:cstheme="majorBidi"/>
                <w:sz w:val="24"/>
                <w:szCs w:val="24"/>
              </w:rPr>
              <w:t>.</w:t>
            </w:r>
          </w:p>
        </w:tc>
      </w:tr>
      <w:tr w:rsidR="008276DD" w:rsidRPr="0031036E" w14:paraId="3B34D437" w14:textId="77777777" w:rsidTr="009E0DEE">
        <w:tc>
          <w:tcPr>
            <w:tcW w:w="570" w:type="dxa"/>
          </w:tcPr>
          <w:p w14:paraId="6C77879E" w14:textId="153F2FC2" w:rsidR="008276DD" w:rsidRPr="00B51544" w:rsidRDefault="004D746D" w:rsidP="00B51544">
            <w:p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t>10</w:t>
            </w:r>
            <w:r w:rsidR="008276DD" w:rsidRPr="00B51544">
              <w:rPr>
                <w:rFonts w:asciiTheme="majorBidi" w:hAnsiTheme="majorBidi" w:cstheme="majorBidi"/>
                <w:sz w:val="24"/>
                <w:szCs w:val="24"/>
                <w:lang w:val="sv-SE"/>
              </w:rPr>
              <w:t>.</w:t>
            </w:r>
          </w:p>
        </w:tc>
        <w:tc>
          <w:tcPr>
            <w:tcW w:w="3259" w:type="dxa"/>
          </w:tcPr>
          <w:p w14:paraId="5D160767" w14:textId="77777777"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Rani Puspitaningrum, Falahuddin dan Nurul Husna</w:t>
            </w:r>
          </w:p>
          <w:p w14:paraId="409A98C2" w14:textId="3126E305"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”Analisis Pengaruh Tingkat Bagi Hasil, Inflasi, Dan Likuiditas Terhadap Deposito Mudharabah Pada Bank Umum Syariah Indonesia (Periode 2015-2019)”</w:t>
            </w:r>
            <w:r w:rsidRPr="00B51544">
              <w:rPr>
                <w:rStyle w:val="FootnoteReference"/>
                <w:rFonts w:asciiTheme="majorBidi" w:hAnsiTheme="majorBidi" w:cstheme="majorBidi"/>
                <w:sz w:val="24"/>
                <w:szCs w:val="24"/>
                <w:lang w:val="sv-SE"/>
              </w:rPr>
              <w:footnoteReference w:id="88"/>
            </w:r>
          </w:p>
        </w:tc>
        <w:tc>
          <w:tcPr>
            <w:tcW w:w="2408" w:type="dxa"/>
          </w:tcPr>
          <w:p w14:paraId="05E314BC" w14:textId="1B736B28"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Tingkat bagi hasil berpengaruh positif signifikan terhadap deposito mudharabah, sedangkan inflasi dan likuiditas (FDR) berpengaruh negatif terhadap deposito mudharabah.</w:t>
            </w:r>
          </w:p>
        </w:tc>
        <w:tc>
          <w:tcPr>
            <w:tcW w:w="2217" w:type="dxa"/>
          </w:tcPr>
          <w:p w14:paraId="739F23FF" w14:textId="35E2A8D6"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Regresi linier berganda menggunakan data sekunder dari laporan keuangan Bank Umum Syariah Indonesia periode 2015-2019.</w:t>
            </w:r>
          </w:p>
        </w:tc>
      </w:tr>
      <w:tr w:rsidR="008276DD" w:rsidRPr="0031036E" w14:paraId="052A2511" w14:textId="77777777" w:rsidTr="009E0DEE">
        <w:tc>
          <w:tcPr>
            <w:tcW w:w="570" w:type="dxa"/>
          </w:tcPr>
          <w:p w14:paraId="44B8F89D" w14:textId="108F09F7"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1</w:t>
            </w:r>
            <w:r w:rsidR="004D746D">
              <w:rPr>
                <w:rFonts w:asciiTheme="majorBidi" w:hAnsiTheme="majorBidi" w:cstheme="majorBidi"/>
                <w:sz w:val="24"/>
                <w:szCs w:val="24"/>
                <w:lang w:val="sv-SE"/>
              </w:rPr>
              <w:t>1</w:t>
            </w:r>
            <w:r w:rsidRPr="00B51544">
              <w:rPr>
                <w:rFonts w:asciiTheme="majorBidi" w:hAnsiTheme="majorBidi" w:cstheme="majorBidi"/>
                <w:sz w:val="24"/>
                <w:szCs w:val="24"/>
                <w:lang w:val="sv-SE"/>
              </w:rPr>
              <w:t>.</w:t>
            </w:r>
          </w:p>
        </w:tc>
        <w:tc>
          <w:tcPr>
            <w:tcW w:w="3259" w:type="dxa"/>
          </w:tcPr>
          <w:p w14:paraId="34DFEDEE" w14:textId="77777777" w:rsidR="008276DD" w:rsidRPr="00B51544" w:rsidRDefault="006F6C68"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Firda Izzati Febriani</w:t>
            </w:r>
          </w:p>
          <w:p w14:paraId="07268983" w14:textId="0F816A67" w:rsidR="006F6C68" w:rsidRPr="00B51544" w:rsidRDefault="006F6C68"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”Pengaruh Tingkat Bagi Hasil, Financing to Deposit Ratio </w:t>
            </w:r>
            <w:r w:rsidRPr="00B51544">
              <w:rPr>
                <w:rFonts w:asciiTheme="majorBidi" w:hAnsiTheme="majorBidi" w:cstheme="majorBidi"/>
                <w:sz w:val="24"/>
                <w:szCs w:val="24"/>
                <w:lang w:val="sv-SE"/>
              </w:rPr>
              <w:lastRenderedPageBreak/>
              <w:t>(FDR) Dan Tingkat Inflasi Terhadap Deposito Mudharabah Pada Bank Umum Syariah (BUS) Periode 2014-2017”</w:t>
            </w:r>
            <w:r w:rsidRPr="00B51544">
              <w:rPr>
                <w:rStyle w:val="FootnoteReference"/>
                <w:rFonts w:asciiTheme="majorBidi" w:hAnsiTheme="majorBidi" w:cstheme="majorBidi"/>
                <w:sz w:val="24"/>
                <w:szCs w:val="24"/>
                <w:lang w:val="sv-SE"/>
              </w:rPr>
              <w:footnoteReference w:id="89"/>
            </w:r>
          </w:p>
        </w:tc>
        <w:tc>
          <w:tcPr>
            <w:tcW w:w="2408" w:type="dxa"/>
          </w:tcPr>
          <w:p w14:paraId="6C761E56" w14:textId="252F6098" w:rsidR="008276DD" w:rsidRPr="00B51544" w:rsidRDefault="006F6C68"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FDR berpengaruh negatif.</w:t>
            </w:r>
          </w:p>
        </w:tc>
        <w:tc>
          <w:tcPr>
            <w:tcW w:w="2217" w:type="dxa"/>
          </w:tcPr>
          <w:p w14:paraId="0A76A87B" w14:textId="679E6545" w:rsidR="008276DD" w:rsidRPr="00B51544" w:rsidRDefault="002E5E6F"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Kuantitatif </w:t>
            </w:r>
            <w:r w:rsidRPr="00B51544">
              <w:rPr>
                <w:rFonts w:asciiTheme="majorBidi" w:hAnsiTheme="majorBidi" w:cstheme="majorBidi"/>
                <w:sz w:val="24"/>
                <w:szCs w:val="24"/>
                <w:lang w:val="sv-SE"/>
              </w:rPr>
              <w:br/>
              <w:t xml:space="preserve">(Regresi linier berganda, data </w:t>
            </w:r>
            <w:r w:rsidRPr="00B51544">
              <w:rPr>
                <w:rFonts w:asciiTheme="majorBidi" w:hAnsiTheme="majorBidi" w:cstheme="majorBidi"/>
                <w:sz w:val="24"/>
                <w:szCs w:val="24"/>
                <w:lang w:val="sv-SE"/>
              </w:rPr>
              <w:lastRenderedPageBreak/>
              <w:t>sekunder 2014–2017, teknik sensus pada 13 BUS)</w:t>
            </w:r>
            <w:r w:rsidR="009E0DEE" w:rsidRPr="00B51544">
              <w:rPr>
                <w:rFonts w:asciiTheme="majorBidi" w:hAnsiTheme="majorBidi" w:cstheme="majorBidi"/>
                <w:sz w:val="24"/>
                <w:szCs w:val="24"/>
                <w:lang w:val="sv-SE"/>
              </w:rPr>
              <w:t>.</w:t>
            </w:r>
          </w:p>
        </w:tc>
      </w:tr>
      <w:tr w:rsidR="008276DD" w:rsidRPr="00B51544" w14:paraId="720F5352" w14:textId="77777777" w:rsidTr="009E0DEE">
        <w:tc>
          <w:tcPr>
            <w:tcW w:w="570" w:type="dxa"/>
          </w:tcPr>
          <w:p w14:paraId="3CDCC15C" w14:textId="2E2D2FD5"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1</w:t>
            </w:r>
            <w:r w:rsidR="004D746D">
              <w:rPr>
                <w:rFonts w:asciiTheme="majorBidi" w:hAnsiTheme="majorBidi" w:cstheme="majorBidi"/>
                <w:sz w:val="24"/>
                <w:szCs w:val="24"/>
                <w:lang w:val="sv-SE"/>
              </w:rPr>
              <w:t>2</w:t>
            </w:r>
            <w:r w:rsidRPr="00B51544">
              <w:rPr>
                <w:rFonts w:asciiTheme="majorBidi" w:hAnsiTheme="majorBidi" w:cstheme="majorBidi"/>
                <w:sz w:val="24"/>
                <w:szCs w:val="24"/>
                <w:lang w:val="sv-SE"/>
              </w:rPr>
              <w:t>.</w:t>
            </w:r>
          </w:p>
        </w:tc>
        <w:tc>
          <w:tcPr>
            <w:tcW w:w="3259" w:type="dxa"/>
          </w:tcPr>
          <w:p w14:paraId="2B2FAAC8" w14:textId="77777777"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Nurhidayatus Sifki dan Ibrahim Pinondang Dalimunthe</w:t>
            </w:r>
          </w:p>
          <w:p w14:paraId="7BF2CB7F" w14:textId="66B51A4C"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”Pengaruh Bagi Hasil, Biaya Promosi, Efisiensi Operasional Dan Ukuran Perusahaan Terhadap Jumlah Deposito Mudharabah”</w:t>
            </w:r>
            <w:r w:rsidRPr="00B51544">
              <w:rPr>
                <w:rStyle w:val="FootnoteReference"/>
                <w:rFonts w:asciiTheme="majorBidi" w:hAnsiTheme="majorBidi" w:cstheme="majorBidi"/>
                <w:sz w:val="24"/>
                <w:szCs w:val="24"/>
                <w:lang w:val="sv-SE"/>
              </w:rPr>
              <w:footnoteReference w:id="90"/>
            </w:r>
          </w:p>
        </w:tc>
        <w:tc>
          <w:tcPr>
            <w:tcW w:w="2408" w:type="dxa"/>
          </w:tcPr>
          <w:p w14:paraId="2C75C89D" w14:textId="403686EF"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Bagi hasil dan ukuran perusahaan memiliki pengaruh positif signifikan.</w:t>
            </w:r>
          </w:p>
        </w:tc>
        <w:tc>
          <w:tcPr>
            <w:tcW w:w="2217" w:type="dxa"/>
          </w:tcPr>
          <w:p w14:paraId="3D9E0414" w14:textId="55DBAD91"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Kuantitatif dengan regresi linear berganda</w:t>
            </w:r>
            <w:r w:rsidR="009E0DEE" w:rsidRPr="00B51544">
              <w:rPr>
                <w:rFonts w:asciiTheme="majorBidi" w:hAnsiTheme="majorBidi" w:cstheme="majorBidi"/>
                <w:sz w:val="24"/>
                <w:szCs w:val="24"/>
                <w:lang w:val="sv-SE"/>
              </w:rPr>
              <w:t>.</w:t>
            </w:r>
          </w:p>
        </w:tc>
      </w:tr>
      <w:tr w:rsidR="008276DD" w:rsidRPr="0031036E" w14:paraId="11719D6D" w14:textId="77777777" w:rsidTr="009E0DEE">
        <w:tc>
          <w:tcPr>
            <w:tcW w:w="570" w:type="dxa"/>
          </w:tcPr>
          <w:p w14:paraId="3F59A412" w14:textId="4C455F37"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1</w:t>
            </w:r>
            <w:r w:rsidR="004D746D">
              <w:rPr>
                <w:rFonts w:asciiTheme="majorBidi" w:hAnsiTheme="majorBidi" w:cstheme="majorBidi"/>
                <w:sz w:val="24"/>
                <w:szCs w:val="24"/>
                <w:lang w:val="sv-SE"/>
              </w:rPr>
              <w:t>3</w:t>
            </w:r>
            <w:r w:rsidRPr="00B51544">
              <w:rPr>
                <w:rFonts w:asciiTheme="majorBidi" w:hAnsiTheme="majorBidi" w:cstheme="majorBidi"/>
                <w:sz w:val="24"/>
                <w:szCs w:val="24"/>
                <w:lang w:val="sv-SE"/>
              </w:rPr>
              <w:t>.</w:t>
            </w:r>
          </w:p>
        </w:tc>
        <w:tc>
          <w:tcPr>
            <w:tcW w:w="3259" w:type="dxa"/>
          </w:tcPr>
          <w:p w14:paraId="7ADA6543" w14:textId="77777777"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Rika Putri Nur Alinda dan Akmad Riduwan</w:t>
            </w:r>
          </w:p>
          <w:p w14:paraId="6CF82938" w14:textId="2DCA2620"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”Pengaruh Tingkat Suku Bunga Bank Dan Nisbah Bagi Hasil Pada Deposito Mudharabah”</w:t>
            </w:r>
            <w:r w:rsidRPr="00B51544">
              <w:rPr>
                <w:rStyle w:val="FootnoteReference"/>
                <w:rFonts w:asciiTheme="majorBidi" w:hAnsiTheme="majorBidi" w:cstheme="majorBidi"/>
                <w:sz w:val="24"/>
                <w:szCs w:val="24"/>
                <w:lang w:val="sv-SE"/>
              </w:rPr>
              <w:footnoteReference w:id="91"/>
            </w:r>
          </w:p>
        </w:tc>
        <w:tc>
          <w:tcPr>
            <w:tcW w:w="2408" w:type="dxa"/>
          </w:tcPr>
          <w:p w14:paraId="07522BA7" w14:textId="6BC44CB4"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nisbah bagi hasil berpengaruh positif terhadap jumlah deposito.</w:t>
            </w:r>
          </w:p>
        </w:tc>
        <w:tc>
          <w:tcPr>
            <w:tcW w:w="2217" w:type="dxa"/>
          </w:tcPr>
          <w:p w14:paraId="76616521" w14:textId="64BF98AA"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Korelasional dengan pendekatan kuantitatif, menggunakan regresi linier berganda.</w:t>
            </w:r>
          </w:p>
        </w:tc>
      </w:tr>
      <w:tr w:rsidR="008276DD" w:rsidRPr="00B51544" w14:paraId="1A38742F" w14:textId="77777777" w:rsidTr="009E0DEE">
        <w:tc>
          <w:tcPr>
            <w:tcW w:w="570" w:type="dxa"/>
          </w:tcPr>
          <w:p w14:paraId="4EB10A94" w14:textId="0F6F89BB"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1</w:t>
            </w:r>
            <w:r w:rsidR="004D746D">
              <w:rPr>
                <w:rFonts w:asciiTheme="majorBidi" w:hAnsiTheme="majorBidi" w:cstheme="majorBidi"/>
                <w:sz w:val="24"/>
                <w:szCs w:val="24"/>
                <w:lang w:val="sv-SE"/>
              </w:rPr>
              <w:t>4</w:t>
            </w:r>
            <w:r w:rsidRPr="00B51544">
              <w:rPr>
                <w:rFonts w:asciiTheme="majorBidi" w:hAnsiTheme="majorBidi" w:cstheme="majorBidi"/>
                <w:sz w:val="24"/>
                <w:szCs w:val="24"/>
                <w:lang w:val="sv-SE"/>
              </w:rPr>
              <w:t>.</w:t>
            </w:r>
          </w:p>
        </w:tc>
        <w:tc>
          <w:tcPr>
            <w:tcW w:w="3259" w:type="dxa"/>
          </w:tcPr>
          <w:p w14:paraId="25509497" w14:textId="77777777"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Nafisah Wahyu Fauziyah dan Segaf</w:t>
            </w:r>
          </w:p>
          <w:p w14:paraId="78EFC181" w14:textId="4537779D"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”Seberapa Pengaruh Penetapan Nisbah Bagi Hasil Inflasi, Dan Jumlah Uang Beredar Terhadap Deposito Mudharabah di Indonesia”</w:t>
            </w:r>
            <w:r w:rsidRPr="00B51544">
              <w:rPr>
                <w:rStyle w:val="FootnoteReference"/>
                <w:rFonts w:asciiTheme="majorBidi" w:hAnsiTheme="majorBidi" w:cstheme="majorBidi"/>
                <w:sz w:val="24"/>
                <w:szCs w:val="24"/>
                <w:lang w:val="sv-SE"/>
              </w:rPr>
              <w:footnoteReference w:id="92"/>
            </w:r>
          </w:p>
        </w:tc>
        <w:tc>
          <w:tcPr>
            <w:tcW w:w="2408" w:type="dxa"/>
          </w:tcPr>
          <w:p w14:paraId="20DF67BA" w14:textId="6E4ABFE1" w:rsidR="008276DD" w:rsidRPr="00B51544" w:rsidRDefault="008276DD"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Nisbah bagi hasil berpengaruh terhadap deposito mudharabah.</w:t>
            </w:r>
          </w:p>
        </w:tc>
        <w:tc>
          <w:tcPr>
            <w:tcW w:w="2217" w:type="dxa"/>
          </w:tcPr>
          <w:p w14:paraId="359B19C5" w14:textId="16084214" w:rsidR="008276DD" w:rsidRPr="00B51544" w:rsidRDefault="008276DD"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rPr>
              <w:t>Kuantitatif dengan metode purposive sampling</w:t>
            </w:r>
            <w:r w:rsidR="009E0DEE" w:rsidRPr="00B51544">
              <w:rPr>
                <w:rFonts w:asciiTheme="majorBidi" w:hAnsiTheme="majorBidi" w:cstheme="majorBidi"/>
                <w:sz w:val="24"/>
                <w:szCs w:val="24"/>
              </w:rPr>
              <w:t>.</w:t>
            </w:r>
          </w:p>
        </w:tc>
      </w:tr>
      <w:tr w:rsidR="008276DD" w:rsidRPr="0031036E" w14:paraId="4A0BC8DD" w14:textId="77777777" w:rsidTr="009E0DEE">
        <w:tc>
          <w:tcPr>
            <w:tcW w:w="570" w:type="dxa"/>
          </w:tcPr>
          <w:p w14:paraId="02CDEBD8" w14:textId="312C7E4B"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1</w:t>
            </w:r>
            <w:r w:rsidR="004D746D">
              <w:rPr>
                <w:rFonts w:asciiTheme="majorBidi" w:hAnsiTheme="majorBidi" w:cstheme="majorBidi"/>
                <w:sz w:val="24"/>
                <w:szCs w:val="24"/>
                <w:lang w:val="sv-SE"/>
              </w:rPr>
              <w:t>5</w:t>
            </w:r>
            <w:r w:rsidRPr="00B51544">
              <w:rPr>
                <w:rFonts w:asciiTheme="majorBidi" w:hAnsiTheme="majorBidi" w:cstheme="majorBidi"/>
                <w:sz w:val="24"/>
                <w:szCs w:val="24"/>
                <w:lang w:val="sv-SE"/>
              </w:rPr>
              <w:t>.</w:t>
            </w:r>
          </w:p>
        </w:tc>
        <w:tc>
          <w:tcPr>
            <w:tcW w:w="3259" w:type="dxa"/>
          </w:tcPr>
          <w:p w14:paraId="49F8D7DC" w14:textId="77777777" w:rsidR="00942114" w:rsidRPr="00B51544" w:rsidRDefault="00942114"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Fauzan Al Farizi</w:t>
            </w:r>
          </w:p>
          <w:p w14:paraId="30DD7CDC" w14:textId="5232B6C4" w:rsidR="008276DD" w:rsidRPr="00B51544" w:rsidRDefault="00942114"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”Pengaruh Inflasi, Suku Bunga, Likuiditas Dan Bagi Hasil </w:t>
            </w:r>
            <w:r w:rsidRPr="00B51544">
              <w:rPr>
                <w:rFonts w:asciiTheme="majorBidi" w:hAnsiTheme="majorBidi" w:cstheme="majorBidi"/>
                <w:sz w:val="24"/>
                <w:szCs w:val="24"/>
                <w:lang w:val="sv-SE"/>
              </w:rPr>
              <w:lastRenderedPageBreak/>
              <w:t>Terhadap Deposito Mudharabah”</w:t>
            </w:r>
            <w:r w:rsidRPr="00B51544">
              <w:rPr>
                <w:rStyle w:val="FootnoteReference"/>
                <w:rFonts w:asciiTheme="majorBidi" w:hAnsiTheme="majorBidi" w:cstheme="majorBidi"/>
                <w:sz w:val="24"/>
                <w:szCs w:val="24"/>
                <w:lang w:val="sv-SE"/>
              </w:rPr>
              <w:footnoteReference w:id="93"/>
            </w:r>
          </w:p>
        </w:tc>
        <w:tc>
          <w:tcPr>
            <w:tcW w:w="2408" w:type="dxa"/>
          </w:tcPr>
          <w:p w14:paraId="3C0BD107" w14:textId="4BC2FDD9" w:rsidR="008276DD" w:rsidRPr="00B51544" w:rsidRDefault="00942114"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lastRenderedPageBreak/>
              <w:t>Nisbah bagi hasil tidak berpengaruh terhadap deposito mudharabah.</w:t>
            </w:r>
          </w:p>
        </w:tc>
        <w:tc>
          <w:tcPr>
            <w:tcW w:w="2217" w:type="dxa"/>
          </w:tcPr>
          <w:p w14:paraId="2C5EC080" w14:textId="47FB7D71" w:rsidR="008276DD" w:rsidRPr="00B51544" w:rsidRDefault="002E5E6F"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Kuantitatif </w:t>
            </w:r>
            <w:r w:rsidRPr="00B51544">
              <w:rPr>
                <w:rFonts w:asciiTheme="majorBidi" w:hAnsiTheme="majorBidi" w:cstheme="majorBidi"/>
                <w:sz w:val="24"/>
                <w:szCs w:val="24"/>
                <w:lang w:val="sv-SE"/>
              </w:rPr>
              <w:br/>
              <w:t xml:space="preserve">(Regresi linier berganda, data time </w:t>
            </w:r>
            <w:r w:rsidRPr="00B51544">
              <w:rPr>
                <w:rFonts w:asciiTheme="majorBidi" w:hAnsiTheme="majorBidi" w:cstheme="majorBidi"/>
                <w:sz w:val="24"/>
                <w:szCs w:val="24"/>
                <w:lang w:val="sv-SE"/>
              </w:rPr>
              <w:lastRenderedPageBreak/>
              <w:t>series 2010–2014, BRI Syariah)</w:t>
            </w:r>
            <w:r w:rsidR="009E0DEE" w:rsidRPr="00B51544">
              <w:rPr>
                <w:rFonts w:asciiTheme="majorBidi" w:hAnsiTheme="majorBidi" w:cstheme="majorBidi"/>
                <w:sz w:val="24"/>
                <w:szCs w:val="24"/>
                <w:lang w:val="sv-SE"/>
              </w:rPr>
              <w:t>.</w:t>
            </w:r>
          </w:p>
        </w:tc>
      </w:tr>
      <w:tr w:rsidR="008276DD" w:rsidRPr="0031036E" w14:paraId="4E5225E4" w14:textId="77777777" w:rsidTr="009E0DEE">
        <w:tc>
          <w:tcPr>
            <w:tcW w:w="570" w:type="dxa"/>
          </w:tcPr>
          <w:p w14:paraId="4125A25F" w14:textId="7B665B39" w:rsidR="008276DD" w:rsidRPr="00B51544" w:rsidRDefault="008276DD" w:rsidP="00B51544">
            <w:p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1</w:t>
            </w:r>
            <w:r w:rsidR="004D746D">
              <w:rPr>
                <w:rFonts w:asciiTheme="majorBidi" w:hAnsiTheme="majorBidi" w:cstheme="majorBidi"/>
                <w:sz w:val="24"/>
                <w:szCs w:val="24"/>
                <w:lang w:val="sv-SE"/>
              </w:rPr>
              <w:t>6</w:t>
            </w:r>
            <w:r w:rsidRPr="00B51544">
              <w:rPr>
                <w:rFonts w:asciiTheme="majorBidi" w:hAnsiTheme="majorBidi" w:cstheme="majorBidi"/>
                <w:sz w:val="24"/>
                <w:szCs w:val="24"/>
                <w:lang w:val="sv-SE"/>
              </w:rPr>
              <w:t>.</w:t>
            </w:r>
          </w:p>
        </w:tc>
        <w:tc>
          <w:tcPr>
            <w:tcW w:w="3259" w:type="dxa"/>
          </w:tcPr>
          <w:p w14:paraId="4A922ED3" w14:textId="77777777" w:rsidR="008276DD" w:rsidRPr="00B51544" w:rsidRDefault="00942114"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Anggi Adelia</w:t>
            </w:r>
          </w:p>
          <w:p w14:paraId="5BD2F96A" w14:textId="2EBB7F8E" w:rsidR="00942114" w:rsidRPr="00B51544" w:rsidRDefault="00942114" w:rsidP="00B51544">
            <w:pPr>
              <w:pStyle w:val="ListParagraph"/>
              <w:spacing w:line="360" w:lineRule="auto"/>
              <w:ind w:left="0"/>
              <w:jc w:val="both"/>
              <w:rPr>
                <w:rFonts w:asciiTheme="majorBidi" w:hAnsiTheme="majorBidi" w:cstheme="majorBidi"/>
                <w:sz w:val="24"/>
                <w:szCs w:val="24"/>
                <w:lang w:val="pt-BR"/>
              </w:rPr>
            </w:pPr>
            <w:r w:rsidRPr="00B51544">
              <w:rPr>
                <w:rFonts w:asciiTheme="majorBidi" w:hAnsiTheme="majorBidi" w:cstheme="majorBidi"/>
                <w:sz w:val="24"/>
                <w:szCs w:val="24"/>
                <w:lang w:val="pt-BR"/>
              </w:rPr>
              <w:t>”Pengaruh Bagi Hasil Terhadap Jumlah Dana Deposito Mudharabah Pada Bank Syariah Periode 2017-2019”</w:t>
            </w:r>
            <w:r w:rsidRPr="00B51544">
              <w:rPr>
                <w:rStyle w:val="FootnoteReference"/>
                <w:rFonts w:asciiTheme="majorBidi" w:hAnsiTheme="majorBidi" w:cstheme="majorBidi"/>
                <w:sz w:val="24"/>
                <w:szCs w:val="24"/>
                <w:lang w:val="sv-SE"/>
              </w:rPr>
              <w:footnoteReference w:id="94"/>
            </w:r>
          </w:p>
        </w:tc>
        <w:tc>
          <w:tcPr>
            <w:tcW w:w="2408" w:type="dxa"/>
          </w:tcPr>
          <w:p w14:paraId="47B74EB8" w14:textId="4B03624C" w:rsidR="008276DD" w:rsidRPr="00AF5A30" w:rsidRDefault="00942114" w:rsidP="00B51544">
            <w:pPr>
              <w:pStyle w:val="ListParagraph"/>
              <w:spacing w:line="360" w:lineRule="auto"/>
              <w:ind w:left="0"/>
              <w:jc w:val="both"/>
              <w:rPr>
                <w:rFonts w:asciiTheme="majorBidi" w:hAnsiTheme="majorBidi" w:cstheme="majorBidi"/>
                <w:sz w:val="24"/>
                <w:szCs w:val="24"/>
                <w:lang w:val="sv-SE"/>
              </w:rPr>
            </w:pPr>
            <w:r w:rsidRPr="00AF5A30">
              <w:rPr>
                <w:rFonts w:asciiTheme="majorBidi" w:hAnsiTheme="majorBidi" w:cstheme="majorBidi"/>
                <w:sz w:val="24"/>
                <w:szCs w:val="24"/>
                <w:lang w:val="sv-SE"/>
              </w:rPr>
              <w:t>Nisbah Bagi Hasil berpengaruh</w:t>
            </w:r>
            <w:r w:rsidR="00AF5A30" w:rsidRPr="00AF5A30">
              <w:rPr>
                <w:rFonts w:asciiTheme="majorBidi" w:hAnsiTheme="majorBidi" w:cstheme="majorBidi"/>
                <w:sz w:val="24"/>
                <w:szCs w:val="24"/>
                <w:lang w:val="sv-SE"/>
              </w:rPr>
              <w:t xml:space="preserve"> </w:t>
            </w:r>
            <w:r w:rsidR="00AF5A30" w:rsidRPr="00AF5A30">
              <w:rPr>
                <w:rFonts w:asciiTheme="majorBidi" w:hAnsiTheme="majorBidi" w:cstheme="majorBidi"/>
                <w:color w:val="000000"/>
                <w:kern w:val="0"/>
                <w:sz w:val="24"/>
                <w:szCs w:val="24"/>
                <w:lang w:val="sv-SE"/>
              </w:rPr>
              <w:t>positif tetapi tidak signifikan</w:t>
            </w:r>
          </w:p>
        </w:tc>
        <w:tc>
          <w:tcPr>
            <w:tcW w:w="2217" w:type="dxa"/>
          </w:tcPr>
          <w:p w14:paraId="5E53C24E" w14:textId="603763C6" w:rsidR="008276DD" w:rsidRPr="00B51544" w:rsidRDefault="009E0DEE" w:rsidP="00B51544">
            <w:pPr>
              <w:pStyle w:val="ListParagraph"/>
              <w:spacing w:line="360" w:lineRule="auto"/>
              <w:ind w:left="0"/>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Kuantitatif </w:t>
            </w:r>
            <w:r w:rsidRPr="00B51544">
              <w:rPr>
                <w:rFonts w:asciiTheme="majorBidi" w:hAnsiTheme="majorBidi" w:cstheme="majorBidi"/>
                <w:sz w:val="24"/>
                <w:szCs w:val="24"/>
                <w:lang w:val="sv-SE"/>
              </w:rPr>
              <w:br/>
              <w:t>(Regresi Linier Sederhana, uji t, data dokumentasi 36 bulan).</w:t>
            </w:r>
          </w:p>
        </w:tc>
      </w:tr>
    </w:tbl>
    <w:p w14:paraId="0759199A" w14:textId="77777777" w:rsidR="00377CB4" w:rsidRPr="00B51544" w:rsidRDefault="00377CB4" w:rsidP="00B51544">
      <w:pPr>
        <w:spacing w:line="360" w:lineRule="auto"/>
        <w:jc w:val="both"/>
        <w:rPr>
          <w:rFonts w:asciiTheme="majorBidi" w:hAnsiTheme="majorBidi" w:cstheme="majorBidi"/>
          <w:sz w:val="24"/>
          <w:szCs w:val="24"/>
          <w:lang w:val="sv-SE"/>
        </w:rPr>
      </w:pPr>
    </w:p>
    <w:p w14:paraId="38981948" w14:textId="54A6965C" w:rsidR="00CB67EB" w:rsidRPr="00B51544" w:rsidRDefault="00AD46AB" w:rsidP="00B51544">
      <w:pPr>
        <w:pStyle w:val="Heading2"/>
        <w:spacing w:line="360" w:lineRule="auto"/>
        <w:jc w:val="both"/>
        <w:rPr>
          <w:rFonts w:asciiTheme="majorBidi" w:hAnsiTheme="majorBidi"/>
          <w:b/>
          <w:bCs/>
          <w:color w:val="auto"/>
          <w:sz w:val="24"/>
          <w:szCs w:val="24"/>
          <w:lang w:val="sv-SE"/>
        </w:rPr>
      </w:pPr>
      <w:bookmarkStart w:id="58" w:name="_Toc201063324"/>
      <w:r w:rsidRPr="00B51544">
        <w:rPr>
          <w:rFonts w:asciiTheme="majorBidi" w:hAnsiTheme="majorBidi"/>
          <w:b/>
          <w:bCs/>
          <w:color w:val="auto"/>
          <w:sz w:val="24"/>
          <w:szCs w:val="24"/>
          <w:lang w:val="sv-SE"/>
        </w:rPr>
        <w:t xml:space="preserve">2.8 </w:t>
      </w:r>
      <w:r w:rsidR="00CB67EB" w:rsidRPr="00B51544">
        <w:rPr>
          <w:rFonts w:asciiTheme="majorBidi" w:hAnsiTheme="majorBidi"/>
          <w:b/>
          <w:bCs/>
          <w:color w:val="auto"/>
          <w:sz w:val="24"/>
          <w:szCs w:val="24"/>
          <w:lang w:val="sv-SE"/>
        </w:rPr>
        <w:t>Kerangka Pemikiran</w:t>
      </w:r>
      <w:bookmarkEnd w:id="58"/>
    </w:p>
    <w:p w14:paraId="7FC12240" w14:textId="67924A20" w:rsidR="00BE0174" w:rsidRPr="00B51544" w:rsidRDefault="00434444" w:rsidP="00B51544">
      <w:pPr>
        <w:pStyle w:val="ListParagraph"/>
        <w:spacing w:line="360" w:lineRule="auto"/>
        <w:ind w:left="426" w:firstLine="709"/>
        <w:jc w:val="both"/>
        <w:rPr>
          <w:rFonts w:asciiTheme="majorBidi" w:hAnsiTheme="majorBidi" w:cstheme="majorBidi"/>
          <w:sz w:val="24"/>
          <w:szCs w:val="24"/>
          <w:lang w:val="sv-SE"/>
        </w:rPr>
      </w:pPr>
      <w:r w:rsidRPr="00434444">
        <w:rPr>
          <w:rFonts w:asciiTheme="majorBidi" w:hAnsiTheme="majorBidi" w:cstheme="majorBidi"/>
          <w:noProof/>
          <w:sz w:val="24"/>
          <w:szCs w:val="24"/>
        </w:rPr>
        <w:drawing>
          <wp:anchor distT="0" distB="0" distL="114300" distR="114300" simplePos="0" relativeHeight="251741184" behindDoc="0" locked="0" layoutInCell="1" allowOverlap="1" wp14:anchorId="21BF29E9" wp14:editId="6E671937">
            <wp:simplePos x="0" y="0"/>
            <wp:positionH relativeFrom="column">
              <wp:posOffset>352425</wp:posOffset>
            </wp:positionH>
            <wp:positionV relativeFrom="paragraph">
              <wp:posOffset>906780</wp:posOffset>
            </wp:positionV>
            <wp:extent cx="5731510" cy="2819400"/>
            <wp:effectExtent l="0" t="0" r="0" b="0"/>
            <wp:wrapSquare wrapText="bothSides"/>
            <wp:docPr id="4125890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819400"/>
                    </a:xfrm>
                    <a:prstGeom prst="rect">
                      <a:avLst/>
                    </a:prstGeom>
                    <a:noFill/>
                    <a:ln>
                      <a:noFill/>
                    </a:ln>
                  </pic:spPr>
                </pic:pic>
              </a:graphicData>
            </a:graphic>
            <wp14:sizeRelV relativeFrom="margin">
              <wp14:pctHeight>0</wp14:pctHeight>
            </wp14:sizeRelV>
          </wp:anchor>
        </w:drawing>
      </w:r>
      <w:r w:rsidR="00AB3D95" w:rsidRPr="00AB3D95">
        <w:rPr>
          <w:lang w:val="sv-SE"/>
        </w:rPr>
        <w:t xml:space="preserve"> </w:t>
      </w:r>
      <w:r w:rsidR="00AB3D95" w:rsidRPr="00AB3D95">
        <w:rPr>
          <w:rFonts w:asciiTheme="majorBidi" w:hAnsiTheme="majorBidi" w:cstheme="majorBidi"/>
          <w:sz w:val="24"/>
          <w:szCs w:val="24"/>
          <w:lang w:val="sv-SE"/>
        </w:rPr>
        <w:t>Kerangka pemikiran yang solid secara teoritis akan menguraikan hubungan antara variabel yang sedang diteliti, dan secara teoritis menerangkan interaksi antara variabel bebas dan terikat seperti berikut</w:t>
      </w:r>
      <w:r w:rsidR="00AB3D95">
        <w:rPr>
          <w:rFonts w:asciiTheme="majorBidi" w:hAnsiTheme="majorBidi" w:cstheme="majorBidi"/>
          <w:sz w:val="24"/>
          <w:szCs w:val="24"/>
          <w:lang w:val="sv-SE"/>
        </w:rPr>
        <w:t xml:space="preserve"> </w:t>
      </w:r>
      <w:r w:rsidR="00CB67EB" w:rsidRPr="00B51544">
        <w:rPr>
          <w:rFonts w:asciiTheme="majorBidi" w:hAnsiTheme="majorBidi" w:cstheme="majorBidi"/>
          <w:sz w:val="24"/>
          <w:szCs w:val="24"/>
          <w:lang w:val="sv-SE"/>
        </w:rPr>
        <w:t>:</w:t>
      </w:r>
    </w:p>
    <w:p w14:paraId="7119438F" w14:textId="77777777" w:rsidR="009E3DCE" w:rsidRDefault="009E3DCE" w:rsidP="00C40188">
      <w:pPr>
        <w:spacing w:line="360" w:lineRule="auto"/>
        <w:jc w:val="both"/>
        <w:rPr>
          <w:rFonts w:asciiTheme="majorBidi" w:hAnsiTheme="majorBidi" w:cstheme="majorBidi"/>
          <w:b/>
          <w:bCs/>
          <w:sz w:val="24"/>
          <w:szCs w:val="24"/>
          <w:lang w:val="sv-SE"/>
        </w:rPr>
      </w:pPr>
    </w:p>
    <w:p w14:paraId="465BA896" w14:textId="77777777" w:rsidR="00484DA9" w:rsidRDefault="00484DA9" w:rsidP="00C40188">
      <w:pPr>
        <w:spacing w:line="360" w:lineRule="auto"/>
        <w:jc w:val="both"/>
        <w:rPr>
          <w:rFonts w:asciiTheme="majorBidi" w:hAnsiTheme="majorBidi" w:cstheme="majorBidi"/>
          <w:b/>
          <w:bCs/>
          <w:sz w:val="24"/>
          <w:szCs w:val="24"/>
          <w:lang w:val="sv-SE"/>
        </w:rPr>
      </w:pPr>
    </w:p>
    <w:p w14:paraId="7885421B" w14:textId="77777777" w:rsidR="00484DA9" w:rsidRDefault="00484DA9" w:rsidP="00C40188">
      <w:pPr>
        <w:spacing w:line="360" w:lineRule="auto"/>
        <w:jc w:val="both"/>
        <w:rPr>
          <w:rFonts w:asciiTheme="majorBidi" w:hAnsiTheme="majorBidi" w:cstheme="majorBidi"/>
          <w:b/>
          <w:bCs/>
          <w:sz w:val="24"/>
          <w:szCs w:val="24"/>
          <w:lang w:val="sv-SE"/>
        </w:rPr>
      </w:pPr>
    </w:p>
    <w:p w14:paraId="063B9A26" w14:textId="77777777" w:rsidR="00484DA9" w:rsidRDefault="00484DA9" w:rsidP="00C40188">
      <w:pPr>
        <w:spacing w:line="360" w:lineRule="auto"/>
        <w:jc w:val="both"/>
        <w:rPr>
          <w:rFonts w:asciiTheme="majorBidi" w:hAnsiTheme="majorBidi" w:cstheme="majorBidi"/>
          <w:b/>
          <w:bCs/>
          <w:sz w:val="24"/>
          <w:szCs w:val="24"/>
          <w:lang w:val="sv-SE"/>
        </w:rPr>
      </w:pPr>
    </w:p>
    <w:p w14:paraId="75C31F10" w14:textId="77777777" w:rsidR="00484DA9" w:rsidRDefault="00484DA9" w:rsidP="00C40188">
      <w:pPr>
        <w:spacing w:line="360" w:lineRule="auto"/>
        <w:jc w:val="both"/>
        <w:rPr>
          <w:rFonts w:asciiTheme="majorBidi" w:hAnsiTheme="majorBidi" w:cstheme="majorBidi"/>
          <w:b/>
          <w:bCs/>
          <w:sz w:val="24"/>
          <w:szCs w:val="24"/>
          <w:lang w:val="sv-SE"/>
        </w:rPr>
      </w:pPr>
    </w:p>
    <w:p w14:paraId="2F6D0213" w14:textId="77777777" w:rsidR="00484DA9" w:rsidRDefault="00484DA9" w:rsidP="00C40188">
      <w:pPr>
        <w:spacing w:line="360" w:lineRule="auto"/>
        <w:jc w:val="both"/>
        <w:rPr>
          <w:rFonts w:asciiTheme="majorBidi" w:hAnsiTheme="majorBidi" w:cstheme="majorBidi"/>
          <w:b/>
          <w:bCs/>
          <w:sz w:val="24"/>
          <w:szCs w:val="24"/>
          <w:lang w:val="sv-SE"/>
        </w:rPr>
      </w:pPr>
    </w:p>
    <w:p w14:paraId="4FD3B10B" w14:textId="77777777" w:rsidR="00484DA9" w:rsidRDefault="00484DA9" w:rsidP="00C40188">
      <w:pPr>
        <w:spacing w:line="360" w:lineRule="auto"/>
        <w:jc w:val="both"/>
        <w:rPr>
          <w:rFonts w:asciiTheme="majorBidi" w:hAnsiTheme="majorBidi" w:cstheme="majorBidi"/>
          <w:b/>
          <w:bCs/>
          <w:sz w:val="24"/>
          <w:szCs w:val="24"/>
          <w:lang w:val="sv-SE"/>
        </w:rPr>
      </w:pPr>
    </w:p>
    <w:p w14:paraId="2C9301A0" w14:textId="77777777" w:rsidR="00484DA9" w:rsidRDefault="00484DA9" w:rsidP="00C40188">
      <w:pPr>
        <w:spacing w:line="360" w:lineRule="auto"/>
        <w:jc w:val="both"/>
        <w:rPr>
          <w:rFonts w:asciiTheme="majorBidi" w:hAnsiTheme="majorBidi" w:cstheme="majorBidi"/>
          <w:b/>
          <w:bCs/>
          <w:sz w:val="24"/>
          <w:szCs w:val="24"/>
          <w:lang w:val="sv-SE"/>
        </w:rPr>
      </w:pPr>
    </w:p>
    <w:p w14:paraId="545790EC" w14:textId="77777777" w:rsidR="00484DA9" w:rsidRPr="00C40188" w:rsidRDefault="00484DA9" w:rsidP="00C40188">
      <w:pPr>
        <w:spacing w:line="360" w:lineRule="auto"/>
        <w:jc w:val="both"/>
        <w:rPr>
          <w:rFonts w:asciiTheme="majorBidi" w:hAnsiTheme="majorBidi" w:cstheme="majorBidi"/>
          <w:b/>
          <w:bCs/>
          <w:sz w:val="24"/>
          <w:szCs w:val="24"/>
          <w:lang w:val="sv-SE"/>
        </w:rPr>
      </w:pPr>
    </w:p>
    <w:p w14:paraId="575EFEF8" w14:textId="0C134FB1" w:rsidR="00CB67EB" w:rsidRPr="00B51544" w:rsidRDefault="00BE0174" w:rsidP="00B51544">
      <w:pPr>
        <w:pStyle w:val="Heading2"/>
        <w:spacing w:line="360" w:lineRule="auto"/>
        <w:jc w:val="both"/>
        <w:rPr>
          <w:rFonts w:asciiTheme="majorBidi" w:hAnsiTheme="majorBidi"/>
          <w:b/>
          <w:bCs/>
          <w:color w:val="auto"/>
          <w:sz w:val="24"/>
          <w:szCs w:val="24"/>
          <w:lang w:val="sv-SE"/>
        </w:rPr>
      </w:pPr>
      <w:bookmarkStart w:id="59" w:name="_Toc201063325"/>
      <w:r w:rsidRPr="00B51544">
        <w:rPr>
          <w:rFonts w:asciiTheme="majorBidi" w:hAnsiTheme="majorBidi"/>
          <w:b/>
          <w:bCs/>
          <w:color w:val="auto"/>
          <w:sz w:val="24"/>
          <w:szCs w:val="24"/>
          <w:lang w:val="sv-SE"/>
        </w:rPr>
        <w:t xml:space="preserve">2.9 </w:t>
      </w:r>
      <w:r w:rsidR="00CB67EB" w:rsidRPr="00B51544">
        <w:rPr>
          <w:rFonts w:asciiTheme="majorBidi" w:hAnsiTheme="majorBidi"/>
          <w:b/>
          <w:bCs/>
          <w:color w:val="auto"/>
          <w:sz w:val="24"/>
          <w:szCs w:val="24"/>
          <w:lang w:val="sv-SE"/>
        </w:rPr>
        <w:t>Hipotesis</w:t>
      </w:r>
      <w:bookmarkEnd w:id="59"/>
    </w:p>
    <w:p w14:paraId="3539506F" w14:textId="77777777" w:rsidR="001114A2" w:rsidRPr="00B51544" w:rsidRDefault="001114A2"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Dalam skripsi ini hipotesis yang diajukan adalah :</w:t>
      </w:r>
    </w:p>
    <w:p w14:paraId="04481F74" w14:textId="747C1AA4" w:rsidR="001114A2" w:rsidRPr="00B51544" w:rsidRDefault="00282C11" w:rsidP="00B51544">
      <w:pPr>
        <w:spacing w:after="0" w:line="360" w:lineRule="auto"/>
        <w:ind w:left="426"/>
        <w:jc w:val="both"/>
        <w:rPr>
          <w:rFonts w:asciiTheme="majorBidi" w:hAnsiTheme="majorBidi" w:cstheme="majorBidi"/>
          <w:sz w:val="24"/>
          <w:szCs w:val="24"/>
          <w:lang w:val="pt-BR"/>
        </w:rPr>
      </w:pPr>
      <w:r w:rsidRPr="00B51544">
        <w:rPr>
          <w:rFonts w:asciiTheme="majorBidi" w:hAnsiTheme="majorBidi" w:cstheme="majorBidi"/>
          <w:sz w:val="24"/>
          <w:szCs w:val="24"/>
          <w:lang w:val="pt-BR"/>
        </w:rPr>
        <w:t>H1 : Risiko Pembiayaan berpengaruh negatif terhadap deposito mudharabah</w:t>
      </w:r>
    </w:p>
    <w:p w14:paraId="2C188E72" w14:textId="6A60BE33" w:rsidR="001114A2" w:rsidRPr="00B51544" w:rsidRDefault="00262415" w:rsidP="00B51544">
      <w:pPr>
        <w:spacing w:after="0" w:line="360" w:lineRule="auto"/>
        <w:ind w:left="426"/>
        <w:jc w:val="both"/>
        <w:rPr>
          <w:rFonts w:asciiTheme="majorBidi" w:hAnsiTheme="majorBidi" w:cstheme="majorBidi"/>
          <w:sz w:val="24"/>
          <w:szCs w:val="24"/>
          <w:lang w:val="pt-BR"/>
        </w:rPr>
      </w:pPr>
      <w:r w:rsidRPr="00B51544">
        <w:rPr>
          <w:rFonts w:asciiTheme="majorBidi" w:hAnsiTheme="majorBidi" w:cstheme="majorBidi"/>
          <w:sz w:val="24"/>
          <w:szCs w:val="24"/>
          <w:lang w:val="pt-BR"/>
        </w:rPr>
        <w:t xml:space="preserve">H2 : Risiko Likuiditas berpengaruh </w:t>
      </w:r>
      <w:r w:rsidR="00B9747F">
        <w:rPr>
          <w:rFonts w:asciiTheme="majorBidi" w:hAnsiTheme="majorBidi" w:cstheme="majorBidi"/>
          <w:sz w:val="24"/>
          <w:szCs w:val="24"/>
          <w:lang w:val="pt-BR"/>
        </w:rPr>
        <w:t>negatif</w:t>
      </w:r>
      <w:r w:rsidRPr="00B51544">
        <w:rPr>
          <w:rFonts w:asciiTheme="majorBidi" w:hAnsiTheme="majorBidi" w:cstheme="majorBidi"/>
          <w:sz w:val="24"/>
          <w:szCs w:val="24"/>
          <w:lang w:val="pt-BR"/>
        </w:rPr>
        <w:t xml:space="preserve"> signifikan terhadap deposito mudharabah</w:t>
      </w:r>
    </w:p>
    <w:p w14:paraId="7F52E434" w14:textId="0909FCB7" w:rsidR="006639EB" w:rsidRPr="00B51544" w:rsidRDefault="00262415" w:rsidP="00E17038">
      <w:pPr>
        <w:spacing w:after="0" w:line="360" w:lineRule="auto"/>
        <w:ind w:left="426"/>
        <w:jc w:val="both"/>
        <w:rPr>
          <w:rFonts w:asciiTheme="majorBidi" w:hAnsiTheme="majorBidi" w:cstheme="majorBidi"/>
          <w:sz w:val="24"/>
          <w:szCs w:val="24"/>
          <w:lang w:val="pt-BR"/>
        </w:rPr>
      </w:pPr>
      <w:r w:rsidRPr="00B51544">
        <w:rPr>
          <w:rFonts w:asciiTheme="majorBidi" w:hAnsiTheme="majorBidi" w:cstheme="majorBidi"/>
          <w:sz w:val="24"/>
          <w:szCs w:val="24"/>
          <w:lang w:val="pt-BR"/>
        </w:rPr>
        <w:t>H3 : Nisbah Bagi Hasil berpengaruh positif terhadap deposito mudharabah</w:t>
      </w:r>
      <w:bookmarkEnd w:id="28"/>
    </w:p>
    <w:p w14:paraId="172C6DE1" w14:textId="109F6909" w:rsidR="00CB67EB" w:rsidRPr="00B51544" w:rsidRDefault="00CB67EB" w:rsidP="008B2471">
      <w:pPr>
        <w:pStyle w:val="Heading1"/>
        <w:spacing w:line="360" w:lineRule="auto"/>
        <w:jc w:val="center"/>
        <w:rPr>
          <w:rFonts w:asciiTheme="majorBidi" w:hAnsiTheme="majorBidi"/>
          <w:b/>
          <w:bCs/>
          <w:color w:val="auto"/>
          <w:sz w:val="24"/>
          <w:szCs w:val="24"/>
          <w:lang w:val="pt-BR"/>
        </w:rPr>
      </w:pPr>
      <w:bookmarkStart w:id="60" w:name="_Toc201063326"/>
      <w:bookmarkStart w:id="61" w:name="_Hlk202763929"/>
      <w:bookmarkStart w:id="62" w:name="_Hlk201243760"/>
      <w:r w:rsidRPr="00B51544">
        <w:rPr>
          <w:rFonts w:asciiTheme="majorBidi" w:hAnsiTheme="majorBidi"/>
          <w:b/>
          <w:bCs/>
          <w:color w:val="auto"/>
          <w:sz w:val="24"/>
          <w:szCs w:val="24"/>
          <w:lang w:val="pt-BR"/>
        </w:rPr>
        <w:lastRenderedPageBreak/>
        <w:t>BAB III</w:t>
      </w:r>
      <w:r w:rsidR="008B2471">
        <w:rPr>
          <w:rFonts w:asciiTheme="majorBidi" w:hAnsiTheme="majorBidi"/>
          <w:b/>
          <w:bCs/>
          <w:color w:val="auto"/>
          <w:sz w:val="24"/>
          <w:szCs w:val="24"/>
          <w:lang w:val="pt-BR"/>
        </w:rPr>
        <w:br/>
      </w:r>
      <w:r w:rsidRPr="00B51544">
        <w:rPr>
          <w:rFonts w:asciiTheme="majorBidi" w:hAnsiTheme="majorBidi"/>
          <w:b/>
          <w:bCs/>
          <w:color w:val="auto"/>
          <w:sz w:val="24"/>
          <w:szCs w:val="24"/>
          <w:lang w:val="pt-BR"/>
        </w:rPr>
        <w:t>METODE PENELITIAN</w:t>
      </w:r>
      <w:bookmarkEnd w:id="60"/>
    </w:p>
    <w:p w14:paraId="1E801380" w14:textId="031E1B40" w:rsidR="00CB67EB" w:rsidRPr="00B51544" w:rsidRDefault="00CB67EB">
      <w:pPr>
        <w:pStyle w:val="Heading2"/>
        <w:numPr>
          <w:ilvl w:val="1"/>
          <w:numId w:val="26"/>
        </w:numPr>
        <w:spacing w:line="360" w:lineRule="auto"/>
        <w:jc w:val="both"/>
        <w:rPr>
          <w:rFonts w:asciiTheme="majorBidi" w:hAnsiTheme="majorBidi"/>
          <w:b/>
          <w:bCs/>
          <w:color w:val="auto"/>
          <w:sz w:val="24"/>
          <w:szCs w:val="24"/>
          <w:lang w:val="pt-BR"/>
        </w:rPr>
      </w:pPr>
      <w:bookmarkStart w:id="63" w:name="_Toc201063327"/>
      <w:r w:rsidRPr="00B51544">
        <w:rPr>
          <w:rFonts w:asciiTheme="majorBidi" w:hAnsiTheme="majorBidi"/>
          <w:b/>
          <w:bCs/>
          <w:color w:val="auto"/>
          <w:sz w:val="24"/>
          <w:szCs w:val="24"/>
          <w:lang w:val="pt-BR"/>
        </w:rPr>
        <w:t xml:space="preserve">Jenis dan </w:t>
      </w:r>
      <w:r w:rsidR="00AD00F8" w:rsidRPr="00B51544">
        <w:rPr>
          <w:rFonts w:asciiTheme="majorBidi" w:hAnsiTheme="majorBidi"/>
          <w:b/>
          <w:bCs/>
          <w:color w:val="auto"/>
          <w:sz w:val="24"/>
          <w:szCs w:val="24"/>
          <w:lang w:val="pt-BR"/>
        </w:rPr>
        <w:t>Sumber Data</w:t>
      </w:r>
      <w:bookmarkEnd w:id="63"/>
    </w:p>
    <w:p w14:paraId="1FA05C02" w14:textId="77777777" w:rsidR="006639EB" w:rsidRDefault="006639EB" w:rsidP="00E17038">
      <w:pPr>
        <w:pStyle w:val="ListParagraph"/>
        <w:spacing w:line="360" w:lineRule="auto"/>
        <w:ind w:left="426" w:firstLine="709"/>
        <w:jc w:val="both"/>
        <w:rPr>
          <w:rFonts w:asciiTheme="majorBidi" w:hAnsiTheme="majorBidi" w:cstheme="majorBidi"/>
          <w:sz w:val="24"/>
          <w:szCs w:val="24"/>
          <w:lang w:val="sv-SE"/>
        </w:rPr>
      </w:pPr>
      <w:r w:rsidRPr="006639EB">
        <w:rPr>
          <w:rFonts w:asciiTheme="majorBidi" w:hAnsiTheme="majorBidi" w:cstheme="majorBidi"/>
          <w:sz w:val="24"/>
          <w:szCs w:val="24"/>
          <w:lang w:val="sv-SE"/>
        </w:rPr>
        <w:t>Jenis penelitian yang diterapkan dalam studi ini adalah penelitian kuantitatif. Penelitian kuantitatif merupakan tipe penelitian yang menghasilkan informasi baru yang diperoleh melalui metode statistik atau teknik pengukuran lainnya. Penelitian yang menggunakan pendekatan kuantitatif lebih menekankan pada berbagai fenomena yang memiliki karakteristik tertentu dalam kehidupan manusia, yaitu variabel</w:t>
      </w:r>
      <w:r w:rsidR="00933244" w:rsidRPr="006639EB">
        <w:rPr>
          <w:rFonts w:asciiTheme="majorBidi" w:hAnsiTheme="majorBidi" w:cstheme="majorBidi"/>
          <w:sz w:val="24"/>
          <w:szCs w:val="24"/>
          <w:lang w:val="sv-SE"/>
        </w:rPr>
        <w:t>.</w:t>
      </w:r>
      <w:r w:rsidR="00933244" w:rsidRPr="00B51544">
        <w:rPr>
          <w:rStyle w:val="FootnoteReference"/>
          <w:rFonts w:asciiTheme="majorBidi" w:hAnsiTheme="majorBidi" w:cstheme="majorBidi"/>
          <w:sz w:val="24"/>
          <w:szCs w:val="24"/>
          <w:lang w:val="pt-BR"/>
        </w:rPr>
        <w:footnoteReference w:id="95"/>
      </w:r>
      <w:r w:rsidR="00933244" w:rsidRPr="006639EB">
        <w:rPr>
          <w:rFonts w:asciiTheme="majorBidi" w:hAnsiTheme="majorBidi" w:cstheme="majorBidi"/>
          <w:sz w:val="24"/>
          <w:szCs w:val="24"/>
          <w:lang w:val="sv-SE"/>
        </w:rPr>
        <w:t xml:space="preserve"> </w:t>
      </w:r>
      <w:bookmarkStart w:id="64" w:name="_Toc201063328"/>
      <w:r w:rsidRPr="006639EB">
        <w:rPr>
          <w:rFonts w:asciiTheme="majorBidi" w:hAnsiTheme="majorBidi" w:cstheme="majorBidi"/>
          <w:sz w:val="24"/>
          <w:szCs w:val="24"/>
          <w:lang w:val="sv-SE"/>
        </w:rPr>
        <w:t>Tujuan dari studi kuantitatif ini adalah memberikan pemahaman yang lebih mendalam mengenai fenomena yang diteliti melalui pengumpulan data yang bisa diukur secara kuantitatif.</w:t>
      </w:r>
    </w:p>
    <w:p w14:paraId="7A1DDF5D" w14:textId="77777777" w:rsidR="00FF6109" w:rsidRDefault="006639EB" w:rsidP="00E17038">
      <w:pPr>
        <w:pStyle w:val="ListParagraph"/>
        <w:spacing w:line="360" w:lineRule="auto"/>
        <w:ind w:left="426" w:firstLine="709"/>
        <w:jc w:val="both"/>
        <w:rPr>
          <w:rFonts w:asciiTheme="majorBidi" w:hAnsiTheme="majorBidi" w:cstheme="majorBidi"/>
          <w:sz w:val="24"/>
          <w:szCs w:val="24"/>
          <w:lang w:val="sv-SE"/>
        </w:rPr>
      </w:pPr>
      <w:r w:rsidRPr="006639EB">
        <w:rPr>
          <w:rFonts w:asciiTheme="majorBidi" w:hAnsiTheme="majorBidi" w:cstheme="majorBidi"/>
          <w:sz w:val="24"/>
          <w:szCs w:val="24"/>
          <w:lang w:val="sv-SE"/>
        </w:rPr>
        <w:t>Jenis data yang digunakan dalam penelitian ini adalah data sekunder. Data sekunder diperoleh dari bahan literatur, jurnal, atau sumber lain yang berkaitan dengan objek penelitian. Data sekunder yang dianalisis dalam penelitian ini adalah laporan keuangan dari Bank Muamalat Indonesia. Periode yang diteliti adalah dari Januari 2017 hingga Desember 2024. Data yang dikumpulkan bersifat triwulanan, dan jenis data yang digunakan dalam penelitian ini adalah data sekunder dengan urutan waktu (time series).</w:t>
      </w:r>
    </w:p>
    <w:p w14:paraId="7246724E" w14:textId="4C262DEF" w:rsidR="00CB67EB" w:rsidRPr="00FF6109" w:rsidRDefault="00FF6109" w:rsidP="00FF6109">
      <w:pPr>
        <w:pStyle w:val="Heading2"/>
        <w:rPr>
          <w:rFonts w:asciiTheme="majorBidi" w:hAnsiTheme="majorBidi"/>
          <w:b/>
          <w:bCs/>
          <w:color w:val="auto"/>
          <w:sz w:val="24"/>
          <w:szCs w:val="24"/>
          <w:lang w:val="sv-SE"/>
        </w:rPr>
      </w:pPr>
      <w:r>
        <w:rPr>
          <w:rFonts w:asciiTheme="majorBidi" w:hAnsiTheme="majorBidi"/>
          <w:b/>
          <w:bCs/>
          <w:color w:val="auto"/>
          <w:sz w:val="24"/>
          <w:szCs w:val="24"/>
          <w:lang w:val="sv-SE"/>
        </w:rPr>
        <w:t xml:space="preserve">4.2 </w:t>
      </w:r>
      <w:r w:rsidR="00CB67EB" w:rsidRPr="00FF6109">
        <w:rPr>
          <w:rFonts w:asciiTheme="majorBidi" w:hAnsiTheme="majorBidi"/>
          <w:b/>
          <w:bCs/>
          <w:color w:val="auto"/>
          <w:sz w:val="24"/>
          <w:szCs w:val="24"/>
          <w:lang w:val="sv-SE"/>
        </w:rPr>
        <w:t xml:space="preserve">Definisi </w:t>
      </w:r>
      <w:r w:rsidR="000B579B" w:rsidRPr="00FF6109">
        <w:rPr>
          <w:rFonts w:asciiTheme="majorBidi" w:hAnsiTheme="majorBidi"/>
          <w:b/>
          <w:bCs/>
          <w:color w:val="auto"/>
          <w:sz w:val="24"/>
          <w:szCs w:val="24"/>
          <w:lang w:val="sv-SE"/>
        </w:rPr>
        <w:t>Operasional Variabel Penelitian</w:t>
      </w:r>
      <w:bookmarkEnd w:id="64"/>
    </w:p>
    <w:p w14:paraId="753435EF" w14:textId="77777777" w:rsidR="00C80F31" w:rsidRPr="00B51544" w:rsidRDefault="000B579B" w:rsidP="00B51544">
      <w:pPr>
        <w:pStyle w:val="ListParagraph"/>
        <w:spacing w:line="360" w:lineRule="auto"/>
        <w:ind w:left="426" w:firstLine="708"/>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Definisi Operasional merupakan sebuah definisi yang menjelaskan variabel yang akan diuji. Selain itu, definisi operasional akan membatasi konteks serta pengertian dari variabel yang dioperasionalkan. Definisi operasional berfungsi untuk memperjelas variabel sehingga teori menjadi lebih konkret sifatnya.</w:t>
      </w:r>
      <w:r w:rsidR="00BF77EF" w:rsidRPr="00B51544">
        <w:rPr>
          <w:rStyle w:val="FootnoteReference"/>
          <w:rFonts w:asciiTheme="majorBidi" w:eastAsia="Times New Roman" w:hAnsiTheme="majorBidi" w:cstheme="majorBidi"/>
          <w:kern w:val="0"/>
          <w:sz w:val="24"/>
          <w:szCs w:val="24"/>
          <w:lang w:val="sv-SE" w:eastAsia="en-ID"/>
          <w14:ligatures w14:val="none"/>
        </w:rPr>
        <w:footnoteReference w:id="96"/>
      </w:r>
    </w:p>
    <w:p w14:paraId="38AC8FA9" w14:textId="70CA9456" w:rsidR="00C34D3E" w:rsidRDefault="00CB67EB" w:rsidP="00C34D3E">
      <w:pPr>
        <w:pStyle w:val="ListParagraph"/>
        <w:spacing w:line="360" w:lineRule="auto"/>
        <w:ind w:left="426" w:firstLine="708"/>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 xml:space="preserve">Ada dua variabel dalam penelitian ini : variabel independen (bebas) dan variabel dependen (terikat). Risiko </w:t>
      </w:r>
      <w:r w:rsidR="000909DA" w:rsidRPr="00B51544">
        <w:rPr>
          <w:rFonts w:asciiTheme="majorBidi" w:eastAsia="Times New Roman" w:hAnsiTheme="majorBidi" w:cstheme="majorBidi"/>
          <w:kern w:val="0"/>
          <w:sz w:val="24"/>
          <w:szCs w:val="24"/>
          <w:lang w:val="sv-SE" w:eastAsia="en-ID"/>
          <w14:ligatures w14:val="none"/>
        </w:rPr>
        <w:t>Pembiayaan</w:t>
      </w:r>
      <w:r w:rsidRPr="00B51544">
        <w:rPr>
          <w:rFonts w:asciiTheme="majorBidi" w:eastAsia="Times New Roman" w:hAnsiTheme="majorBidi" w:cstheme="majorBidi"/>
          <w:kern w:val="0"/>
          <w:sz w:val="24"/>
          <w:szCs w:val="24"/>
          <w:lang w:val="sv-SE" w:eastAsia="en-ID"/>
          <w14:ligatures w14:val="none"/>
        </w:rPr>
        <w:t>, risiko likuiditas, dan nisbah bagi hasil adalah variabel independen</w:t>
      </w:r>
      <w:r w:rsidR="000B579B" w:rsidRPr="00B51544">
        <w:rPr>
          <w:rFonts w:asciiTheme="majorBidi" w:eastAsia="Times New Roman" w:hAnsiTheme="majorBidi" w:cstheme="majorBidi"/>
          <w:kern w:val="0"/>
          <w:sz w:val="24"/>
          <w:szCs w:val="24"/>
          <w:lang w:val="sv-SE" w:eastAsia="en-ID"/>
          <w14:ligatures w14:val="none"/>
        </w:rPr>
        <w:t xml:space="preserve"> (X)</w:t>
      </w:r>
      <w:r w:rsidRPr="00B51544">
        <w:rPr>
          <w:rFonts w:asciiTheme="majorBidi" w:eastAsia="Times New Roman" w:hAnsiTheme="majorBidi" w:cstheme="majorBidi"/>
          <w:kern w:val="0"/>
          <w:sz w:val="24"/>
          <w:szCs w:val="24"/>
          <w:lang w:val="sv-SE" w:eastAsia="en-ID"/>
          <w14:ligatures w14:val="none"/>
        </w:rPr>
        <w:t xml:space="preserve"> dalam penelitian ini, dan deposito mudharabah Bank Muamalat Indonesia adalah variabel dependen</w:t>
      </w:r>
      <w:r w:rsidR="000B579B" w:rsidRPr="00B51544">
        <w:rPr>
          <w:rFonts w:asciiTheme="majorBidi" w:eastAsia="Times New Roman" w:hAnsiTheme="majorBidi" w:cstheme="majorBidi"/>
          <w:kern w:val="0"/>
          <w:sz w:val="24"/>
          <w:szCs w:val="24"/>
          <w:lang w:val="sv-SE" w:eastAsia="en-ID"/>
          <w14:ligatures w14:val="none"/>
        </w:rPr>
        <w:t xml:space="preserve"> (Y)</w:t>
      </w:r>
      <w:r w:rsidRPr="00B51544">
        <w:rPr>
          <w:rFonts w:asciiTheme="majorBidi" w:eastAsia="Times New Roman" w:hAnsiTheme="majorBidi" w:cstheme="majorBidi"/>
          <w:kern w:val="0"/>
          <w:sz w:val="24"/>
          <w:szCs w:val="24"/>
          <w:lang w:val="sv-SE" w:eastAsia="en-ID"/>
          <w14:ligatures w14:val="none"/>
        </w:rPr>
        <w:t xml:space="preserve">. </w:t>
      </w:r>
      <w:r w:rsidR="000B579B" w:rsidRPr="00B51544">
        <w:rPr>
          <w:rFonts w:asciiTheme="majorBidi" w:eastAsia="Times New Roman" w:hAnsiTheme="majorBidi" w:cstheme="majorBidi"/>
          <w:kern w:val="0"/>
          <w:sz w:val="24"/>
          <w:szCs w:val="24"/>
          <w:lang w:val="sv-SE" w:eastAsia="en-ID"/>
          <w14:ligatures w14:val="none"/>
        </w:rPr>
        <w:t>Dalam penelitian ini operasional variabel penelitian dan pengukuran variabelnya yaitu sebagai berikut :</w:t>
      </w:r>
      <w:r w:rsidRPr="00B51544">
        <w:rPr>
          <w:rFonts w:asciiTheme="majorBidi" w:eastAsia="Times New Roman" w:hAnsiTheme="majorBidi" w:cstheme="majorBidi"/>
          <w:kern w:val="0"/>
          <w:sz w:val="24"/>
          <w:szCs w:val="24"/>
          <w:lang w:val="sv-SE" w:eastAsia="en-ID"/>
          <w14:ligatures w14:val="none"/>
        </w:rPr>
        <w:t xml:space="preserve"> </w:t>
      </w:r>
    </w:p>
    <w:p w14:paraId="517B9CE1" w14:textId="77777777" w:rsidR="00834B34" w:rsidRDefault="00834B34" w:rsidP="00FF6109">
      <w:pPr>
        <w:spacing w:line="360" w:lineRule="auto"/>
        <w:jc w:val="both"/>
        <w:rPr>
          <w:rFonts w:asciiTheme="majorBidi" w:eastAsia="Times New Roman" w:hAnsiTheme="majorBidi" w:cstheme="majorBidi"/>
          <w:kern w:val="0"/>
          <w:sz w:val="24"/>
          <w:szCs w:val="24"/>
          <w:lang w:val="sv-SE" w:eastAsia="en-ID"/>
          <w14:ligatures w14:val="none"/>
        </w:rPr>
      </w:pPr>
    </w:p>
    <w:p w14:paraId="2F8F04A6" w14:textId="77777777" w:rsidR="00E23066" w:rsidRDefault="00E23066" w:rsidP="00FF6109">
      <w:pPr>
        <w:spacing w:line="360" w:lineRule="auto"/>
        <w:jc w:val="both"/>
        <w:rPr>
          <w:rFonts w:asciiTheme="majorBidi" w:eastAsia="Times New Roman" w:hAnsiTheme="majorBidi" w:cstheme="majorBidi"/>
          <w:kern w:val="0"/>
          <w:sz w:val="24"/>
          <w:szCs w:val="24"/>
          <w:lang w:val="sv-SE" w:eastAsia="en-ID"/>
          <w14:ligatures w14:val="none"/>
        </w:rPr>
      </w:pPr>
    </w:p>
    <w:p w14:paraId="401B9B45" w14:textId="77777777" w:rsidR="007F1C3F" w:rsidRPr="00FF6109" w:rsidRDefault="007F1C3F" w:rsidP="00FF6109">
      <w:pPr>
        <w:spacing w:line="360" w:lineRule="auto"/>
        <w:jc w:val="both"/>
        <w:rPr>
          <w:rFonts w:asciiTheme="majorBidi" w:eastAsia="Times New Roman" w:hAnsiTheme="majorBidi" w:cstheme="majorBidi"/>
          <w:kern w:val="0"/>
          <w:sz w:val="24"/>
          <w:szCs w:val="24"/>
          <w:lang w:val="sv-SE" w:eastAsia="en-ID"/>
          <w14:ligatures w14:val="none"/>
        </w:rPr>
      </w:pPr>
    </w:p>
    <w:p w14:paraId="3686A86E" w14:textId="3D1BE291" w:rsidR="00C34D3E" w:rsidRPr="00C40188" w:rsidRDefault="00C40188" w:rsidP="002C4F4B">
      <w:pPr>
        <w:pStyle w:val="Caption"/>
        <w:jc w:val="center"/>
        <w:rPr>
          <w:rFonts w:asciiTheme="majorBidi" w:eastAsia="Times New Roman" w:hAnsiTheme="majorBidi" w:cstheme="majorBidi"/>
          <w:b/>
          <w:bCs/>
          <w:i w:val="0"/>
          <w:iCs w:val="0"/>
          <w:color w:val="auto"/>
          <w:kern w:val="0"/>
          <w:sz w:val="24"/>
          <w:szCs w:val="24"/>
          <w:lang w:val="sv-SE" w:eastAsia="en-ID"/>
          <w14:ligatures w14:val="none"/>
        </w:rPr>
      </w:pPr>
      <w:bookmarkStart w:id="65" w:name="_Toc200572235"/>
      <w:r w:rsidRPr="00C40188">
        <w:rPr>
          <w:rFonts w:asciiTheme="majorBidi" w:hAnsiTheme="majorBidi" w:cstheme="majorBidi"/>
          <w:b/>
          <w:bCs/>
          <w:i w:val="0"/>
          <w:iCs w:val="0"/>
          <w:color w:val="auto"/>
          <w:sz w:val="24"/>
          <w:szCs w:val="24"/>
        </w:rPr>
        <w:lastRenderedPageBreak/>
        <w:t xml:space="preserve">Tabel 3. </w:t>
      </w:r>
      <w:r w:rsidRPr="00C40188">
        <w:rPr>
          <w:rFonts w:asciiTheme="majorBidi" w:hAnsiTheme="majorBidi" w:cstheme="majorBidi"/>
          <w:b/>
          <w:bCs/>
          <w:i w:val="0"/>
          <w:iCs w:val="0"/>
          <w:color w:val="auto"/>
          <w:sz w:val="24"/>
          <w:szCs w:val="24"/>
        </w:rPr>
        <w:fldChar w:fldCharType="begin"/>
      </w:r>
      <w:r w:rsidRPr="00C40188">
        <w:rPr>
          <w:rFonts w:asciiTheme="majorBidi" w:hAnsiTheme="majorBidi" w:cstheme="majorBidi"/>
          <w:b/>
          <w:bCs/>
          <w:i w:val="0"/>
          <w:iCs w:val="0"/>
          <w:color w:val="auto"/>
          <w:sz w:val="24"/>
          <w:szCs w:val="24"/>
        </w:rPr>
        <w:instrText xml:space="preserve"> SEQ Tabel_3. \* ARABIC </w:instrText>
      </w:r>
      <w:r w:rsidRPr="00C40188">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rPr>
        <w:t>1</w:t>
      </w:r>
      <w:bookmarkEnd w:id="65"/>
      <w:r w:rsidRPr="00C40188">
        <w:rPr>
          <w:rFonts w:asciiTheme="majorBidi" w:hAnsiTheme="majorBidi" w:cstheme="majorBidi"/>
          <w:b/>
          <w:bCs/>
          <w:i w:val="0"/>
          <w:iCs w:val="0"/>
          <w:color w:val="auto"/>
          <w:sz w:val="24"/>
          <w:szCs w:val="24"/>
        </w:rPr>
        <w:fldChar w:fldCharType="end"/>
      </w:r>
    </w:p>
    <w:tbl>
      <w:tblPr>
        <w:tblStyle w:val="TableGrid"/>
        <w:tblpPr w:leftFromText="180" w:rightFromText="180" w:vertAnchor="page" w:horzAnchor="margin" w:tblpXSpec="right" w:tblpY="1936"/>
        <w:tblW w:w="9067" w:type="dxa"/>
        <w:tblLayout w:type="fixed"/>
        <w:tblLook w:val="04A0" w:firstRow="1" w:lastRow="0" w:firstColumn="1" w:lastColumn="0" w:noHBand="0" w:noVBand="1"/>
      </w:tblPr>
      <w:tblGrid>
        <w:gridCol w:w="1838"/>
        <w:gridCol w:w="2552"/>
        <w:gridCol w:w="3685"/>
        <w:gridCol w:w="992"/>
      </w:tblGrid>
      <w:tr w:rsidR="002C4F4B" w:rsidRPr="00B51544" w14:paraId="14164B06" w14:textId="77777777" w:rsidTr="002C4F4B">
        <w:tc>
          <w:tcPr>
            <w:tcW w:w="1838" w:type="dxa"/>
            <w:shd w:val="clear" w:color="auto" w:fill="FFF2CC" w:themeFill="accent4" w:themeFillTint="33"/>
          </w:tcPr>
          <w:p w14:paraId="3B850BA6" w14:textId="77777777" w:rsidR="00CB67EB" w:rsidRPr="00B51544" w:rsidRDefault="00CB67EB" w:rsidP="002C4F4B">
            <w:pPr>
              <w:pStyle w:val="ListParagraph"/>
              <w:spacing w:line="360" w:lineRule="auto"/>
              <w:ind w:left="0" w:right="-108"/>
              <w:rPr>
                <w:rFonts w:asciiTheme="majorBidi" w:eastAsia="Times New Roman" w:hAnsiTheme="majorBidi" w:cstheme="majorBidi"/>
                <w:b/>
                <w:bCs/>
                <w:kern w:val="0"/>
                <w:sz w:val="24"/>
                <w:szCs w:val="24"/>
                <w:lang w:val="sv-SE" w:eastAsia="en-ID"/>
                <w14:ligatures w14:val="none"/>
              </w:rPr>
            </w:pPr>
            <w:r w:rsidRPr="00B51544">
              <w:rPr>
                <w:rFonts w:asciiTheme="majorBidi" w:eastAsia="Times New Roman" w:hAnsiTheme="majorBidi" w:cstheme="majorBidi"/>
                <w:b/>
                <w:bCs/>
                <w:kern w:val="0"/>
                <w:sz w:val="24"/>
                <w:szCs w:val="24"/>
                <w:lang w:val="sv-SE" w:eastAsia="en-ID"/>
                <w14:ligatures w14:val="none"/>
              </w:rPr>
              <w:t>Nama Variabel</w:t>
            </w:r>
          </w:p>
        </w:tc>
        <w:tc>
          <w:tcPr>
            <w:tcW w:w="2552" w:type="dxa"/>
            <w:shd w:val="clear" w:color="auto" w:fill="FFF2CC" w:themeFill="accent4" w:themeFillTint="33"/>
          </w:tcPr>
          <w:p w14:paraId="7A1CB0E6" w14:textId="77777777" w:rsidR="00CB67EB" w:rsidRPr="00B51544" w:rsidRDefault="00CB67EB" w:rsidP="002C4F4B">
            <w:pPr>
              <w:pStyle w:val="ListParagraph"/>
              <w:spacing w:line="360" w:lineRule="auto"/>
              <w:ind w:left="0"/>
              <w:jc w:val="center"/>
              <w:rPr>
                <w:rFonts w:asciiTheme="majorBidi" w:eastAsia="Times New Roman" w:hAnsiTheme="majorBidi" w:cstheme="majorBidi"/>
                <w:b/>
                <w:bCs/>
                <w:kern w:val="0"/>
                <w:sz w:val="24"/>
                <w:szCs w:val="24"/>
                <w:lang w:val="sv-SE" w:eastAsia="en-ID"/>
                <w14:ligatures w14:val="none"/>
              </w:rPr>
            </w:pPr>
            <w:r w:rsidRPr="00B51544">
              <w:rPr>
                <w:rFonts w:asciiTheme="majorBidi" w:eastAsia="Times New Roman" w:hAnsiTheme="majorBidi" w:cstheme="majorBidi"/>
                <w:b/>
                <w:bCs/>
                <w:kern w:val="0"/>
                <w:sz w:val="24"/>
                <w:szCs w:val="24"/>
                <w:lang w:val="sv-SE" w:eastAsia="en-ID"/>
                <w14:ligatures w14:val="none"/>
              </w:rPr>
              <w:t>Definisi</w:t>
            </w:r>
          </w:p>
        </w:tc>
        <w:tc>
          <w:tcPr>
            <w:tcW w:w="3685" w:type="dxa"/>
            <w:shd w:val="clear" w:color="auto" w:fill="FFF2CC" w:themeFill="accent4" w:themeFillTint="33"/>
          </w:tcPr>
          <w:p w14:paraId="39BB6057" w14:textId="77777777" w:rsidR="00CB67EB" w:rsidRPr="00B51544" w:rsidRDefault="00CB67EB" w:rsidP="002C4F4B">
            <w:pPr>
              <w:pStyle w:val="ListParagraph"/>
              <w:spacing w:line="360" w:lineRule="auto"/>
              <w:ind w:left="0"/>
              <w:jc w:val="center"/>
              <w:rPr>
                <w:rFonts w:asciiTheme="majorBidi" w:eastAsia="Times New Roman" w:hAnsiTheme="majorBidi" w:cstheme="majorBidi"/>
                <w:b/>
                <w:bCs/>
                <w:kern w:val="0"/>
                <w:sz w:val="24"/>
                <w:szCs w:val="24"/>
                <w:lang w:val="sv-SE" w:eastAsia="en-ID"/>
                <w14:ligatures w14:val="none"/>
              </w:rPr>
            </w:pPr>
            <w:r w:rsidRPr="00B51544">
              <w:rPr>
                <w:rFonts w:asciiTheme="majorBidi" w:eastAsia="Times New Roman" w:hAnsiTheme="majorBidi" w:cstheme="majorBidi"/>
                <w:b/>
                <w:bCs/>
                <w:kern w:val="0"/>
                <w:sz w:val="24"/>
                <w:szCs w:val="24"/>
                <w:lang w:val="sv-SE" w:eastAsia="en-ID"/>
                <w14:ligatures w14:val="none"/>
              </w:rPr>
              <w:t>Indikator</w:t>
            </w:r>
          </w:p>
        </w:tc>
        <w:tc>
          <w:tcPr>
            <w:tcW w:w="992" w:type="dxa"/>
            <w:shd w:val="clear" w:color="auto" w:fill="FFF2CC" w:themeFill="accent4" w:themeFillTint="33"/>
          </w:tcPr>
          <w:p w14:paraId="646BBBF3" w14:textId="77777777" w:rsidR="00CB67EB" w:rsidRPr="00B51544" w:rsidRDefault="00CB67EB" w:rsidP="002C4F4B">
            <w:pPr>
              <w:pStyle w:val="ListParagraph"/>
              <w:spacing w:line="360" w:lineRule="auto"/>
              <w:ind w:left="0"/>
              <w:jc w:val="center"/>
              <w:rPr>
                <w:rFonts w:asciiTheme="majorBidi" w:eastAsia="Times New Roman" w:hAnsiTheme="majorBidi" w:cstheme="majorBidi"/>
                <w:b/>
                <w:bCs/>
                <w:kern w:val="0"/>
                <w:sz w:val="24"/>
                <w:szCs w:val="24"/>
                <w:lang w:val="sv-SE" w:eastAsia="en-ID"/>
                <w14:ligatures w14:val="none"/>
              </w:rPr>
            </w:pPr>
            <w:r w:rsidRPr="00B51544">
              <w:rPr>
                <w:rFonts w:asciiTheme="majorBidi" w:eastAsia="Times New Roman" w:hAnsiTheme="majorBidi" w:cstheme="majorBidi"/>
                <w:b/>
                <w:bCs/>
                <w:kern w:val="0"/>
                <w:sz w:val="24"/>
                <w:szCs w:val="24"/>
                <w:lang w:val="sv-SE" w:eastAsia="en-ID"/>
                <w14:ligatures w14:val="none"/>
              </w:rPr>
              <w:t>Satuan</w:t>
            </w:r>
          </w:p>
        </w:tc>
      </w:tr>
      <w:tr w:rsidR="00CB67EB" w:rsidRPr="00B51544" w14:paraId="5744AEEE" w14:textId="77777777" w:rsidTr="002C4F4B">
        <w:tc>
          <w:tcPr>
            <w:tcW w:w="1838" w:type="dxa"/>
          </w:tcPr>
          <w:p w14:paraId="3648CE51" w14:textId="7E5EDBCC" w:rsidR="00CB67EB" w:rsidRPr="00B51544" w:rsidRDefault="00CB67EB" w:rsidP="002C4F4B">
            <w:pPr>
              <w:pStyle w:val="ListParagraph"/>
              <w:spacing w:line="360" w:lineRule="auto"/>
              <w:ind w:left="0" w:right="-108"/>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 xml:space="preserve">Risiko </w:t>
            </w:r>
            <w:r w:rsidR="001349A5" w:rsidRPr="00B51544">
              <w:rPr>
                <w:rFonts w:asciiTheme="majorBidi" w:eastAsia="Times New Roman" w:hAnsiTheme="majorBidi" w:cstheme="majorBidi"/>
                <w:kern w:val="0"/>
                <w:sz w:val="24"/>
                <w:szCs w:val="24"/>
                <w:lang w:val="sv-SE" w:eastAsia="en-ID"/>
                <w14:ligatures w14:val="none"/>
              </w:rPr>
              <w:t>Pembiayaan</w:t>
            </w:r>
          </w:p>
        </w:tc>
        <w:tc>
          <w:tcPr>
            <w:tcW w:w="2552" w:type="dxa"/>
          </w:tcPr>
          <w:p w14:paraId="221FC88D" w14:textId="5E2D2903" w:rsidR="00CB67EB" w:rsidRPr="00B51544" w:rsidRDefault="00CB67EB" w:rsidP="00B51544">
            <w:pPr>
              <w:spacing w:line="360" w:lineRule="auto"/>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 xml:space="preserve">Risiko </w:t>
            </w:r>
            <w:r w:rsidR="004C4ED7" w:rsidRPr="00B51544">
              <w:rPr>
                <w:rFonts w:asciiTheme="majorBidi" w:eastAsia="Times New Roman" w:hAnsiTheme="majorBidi" w:cstheme="majorBidi"/>
                <w:kern w:val="0"/>
                <w:sz w:val="24"/>
                <w:szCs w:val="24"/>
                <w:lang w:val="sv-SE" w:eastAsia="en-ID"/>
                <w14:ligatures w14:val="none"/>
              </w:rPr>
              <w:t>pembiayaan muncul jika bank tidak bisa memperoleh kembali cicilan pokok dana atau bunga dari pinjaman yang diberikannya atau investasi yang sedang</w:t>
            </w:r>
            <w:r w:rsidR="00685810" w:rsidRPr="00B51544">
              <w:rPr>
                <w:rFonts w:asciiTheme="majorBidi" w:eastAsia="Times New Roman" w:hAnsiTheme="majorBidi" w:cstheme="majorBidi"/>
                <w:kern w:val="0"/>
                <w:sz w:val="24"/>
                <w:szCs w:val="24"/>
                <w:lang w:val="sv-SE" w:eastAsia="en-ID"/>
                <w14:ligatures w14:val="none"/>
              </w:rPr>
              <w:t xml:space="preserve"> </w:t>
            </w:r>
            <w:r w:rsidR="004C4ED7" w:rsidRPr="00B51544">
              <w:rPr>
                <w:rFonts w:asciiTheme="majorBidi" w:eastAsia="Times New Roman" w:hAnsiTheme="majorBidi" w:cstheme="majorBidi"/>
                <w:kern w:val="0"/>
                <w:sz w:val="24"/>
                <w:szCs w:val="24"/>
                <w:lang w:val="sv-SE" w:eastAsia="en-ID"/>
                <w14:ligatures w14:val="none"/>
              </w:rPr>
              <w:t>dilakukannya.</w:t>
            </w:r>
            <w:r w:rsidR="000909DA" w:rsidRPr="00B51544">
              <w:rPr>
                <w:rStyle w:val="FootnoteReference"/>
                <w:rFonts w:asciiTheme="majorBidi" w:eastAsia="Times New Roman" w:hAnsiTheme="majorBidi" w:cstheme="majorBidi"/>
                <w:kern w:val="0"/>
                <w:sz w:val="24"/>
                <w:szCs w:val="24"/>
                <w:lang w:val="sv-SE" w:eastAsia="en-ID"/>
                <w14:ligatures w14:val="none"/>
              </w:rPr>
              <w:footnoteReference w:id="97"/>
            </w:r>
          </w:p>
        </w:tc>
        <w:tc>
          <w:tcPr>
            <w:tcW w:w="3685" w:type="dxa"/>
          </w:tcPr>
          <w:p w14:paraId="079A4FB9" w14:textId="77777777" w:rsidR="00685810" w:rsidRPr="00B51544" w:rsidRDefault="000909DA"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NPF=</w:t>
            </w:r>
          </w:p>
          <w:p w14:paraId="385D9BDF" w14:textId="7644E351" w:rsidR="00CB67EB" w:rsidRPr="00B51544" w:rsidRDefault="00000000"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m:oMathPara>
              <m:oMath>
                <m:f>
                  <m:fPr>
                    <m:ctrlPr>
                      <w:rPr>
                        <w:rFonts w:ascii="Cambria Math" w:hAnsi="Cambria Math" w:cstheme="majorBidi"/>
                        <w:iCs/>
                        <w:sz w:val="24"/>
                        <w:szCs w:val="24"/>
                      </w:rPr>
                    </m:ctrlPr>
                  </m:fPr>
                  <m:num>
                    <m:r>
                      <m:rPr>
                        <m:sty m:val="p"/>
                      </m:rPr>
                      <w:rPr>
                        <w:rFonts w:ascii="Cambria Math" w:hAnsi="Cambria Math" w:cstheme="majorBidi"/>
                        <w:sz w:val="24"/>
                        <w:szCs w:val="24"/>
                        <w:lang w:val="sv-SE"/>
                      </w:rPr>
                      <m:t>Pembiayaan Bermasalah</m:t>
                    </m:r>
                  </m:num>
                  <m:den>
                    <m:r>
                      <m:rPr>
                        <m:sty m:val="p"/>
                      </m:rPr>
                      <w:rPr>
                        <w:rFonts w:ascii="Cambria Math" w:hAnsi="Cambria Math" w:cstheme="majorBidi"/>
                        <w:sz w:val="24"/>
                        <w:szCs w:val="24"/>
                        <w:lang w:val="sv-SE"/>
                      </w:rPr>
                      <m:t>Total Pembiayaan</m:t>
                    </m:r>
                  </m:den>
                </m:f>
                <m:r>
                  <m:rPr>
                    <m:sty m:val="p"/>
                  </m:rPr>
                  <w:rPr>
                    <w:rFonts w:ascii="Cambria Math" w:hAnsi="Cambria Math" w:cstheme="majorBidi"/>
                    <w:sz w:val="24"/>
                    <w:szCs w:val="24"/>
                    <w:lang w:val="sv-SE"/>
                  </w:rPr>
                  <m:t>X100%</m:t>
                </m:r>
                <m:r>
                  <m:rPr>
                    <m:sty m:val="p"/>
                  </m:rPr>
                  <w:rPr>
                    <w:rStyle w:val="FootnoteReference"/>
                    <w:rFonts w:ascii="Cambria Math" w:hAnsi="Cambria Math" w:cstheme="majorBidi"/>
                    <w:sz w:val="24"/>
                    <w:szCs w:val="24"/>
                    <w:lang w:val="sv-SE"/>
                  </w:rPr>
                  <w:footnoteReference w:id="98"/>
                </m:r>
                <m:r>
                  <m:rPr>
                    <m:sty m:val="p"/>
                  </m:rPr>
                  <w:rPr>
                    <w:rFonts w:ascii="Cambria Math" w:hAnsi="Cambria Math" w:cstheme="majorBidi"/>
                    <w:sz w:val="24"/>
                    <w:szCs w:val="24"/>
                    <w:lang w:val="sv-SE"/>
                  </w:rPr>
                  <w:br/>
                </m:r>
              </m:oMath>
            </m:oMathPara>
          </w:p>
        </w:tc>
        <w:tc>
          <w:tcPr>
            <w:tcW w:w="992" w:type="dxa"/>
          </w:tcPr>
          <w:p w14:paraId="7A317AE5" w14:textId="77777777" w:rsidR="00CB67EB" w:rsidRPr="00B51544" w:rsidRDefault="00CB67EB"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Rasio</w:t>
            </w:r>
          </w:p>
        </w:tc>
      </w:tr>
      <w:tr w:rsidR="00CB67EB" w:rsidRPr="00B51544" w14:paraId="10BC10F2" w14:textId="77777777" w:rsidTr="002C4F4B">
        <w:tc>
          <w:tcPr>
            <w:tcW w:w="1838" w:type="dxa"/>
          </w:tcPr>
          <w:p w14:paraId="00F7D787" w14:textId="77777777" w:rsidR="00CB67EB" w:rsidRPr="00B51544" w:rsidRDefault="00CB67EB" w:rsidP="002C4F4B">
            <w:pPr>
              <w:pStyle w:val="ListParagraph"/>
              <w:spacing w:line="360" w:lineRule="auto"/>
              <w:ind w:left="0" w:right="-108"/>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Risiko Likuiditas</w:t>
            </w:r>
          </w:p>
        </w:tc>
        <w:tc>
          <w:tcPr>
            <w:tcW w:w="2552" w:type="dxa"/>
          </w:tcPr>
          <w:p w14:paraId="3F13FB35" w14:textId="77777777" w:rsidR="00CB67EB" w:rsidRPr="00B51544" w:rsidRDefault="00CB67EB" w:rsidP="00B51544">
            <w:pPr>
              <w:spacing w:line="360" w:lineRule="auto"/>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Resiko likuiditas adalah ketika bank tidak dapat memenuhi kewajibannya yang telah jatuh tempo dengan membayar aset likuid dan arus kas tanpa mengganggu aktivitas bank sehari-hari.</w:t>
            </w:r>
            <w:r w:rsidRPr="00B51544">
              <w:rPr>
                <w:rStyle w:val="FootnoteReference"/>
                <w:rFonts w:asciiTheme="majorBidi" w:hAnsiTheme="majorBidi" w:cstheme="majorBidi"/>
                <w:sz w:val="24"/>
                <w:szCs w:val="24"/>
              </w:rPr>
              <w:footnoteReference w:id="99"/>
            </w:r>
          </w:p>
        </w:tc>
        <w:tc>
          <w:tcPr>
            <w:tcW w:w="3685" w:type="dxa"/>
          </w:tcPr>
          <w:p w14:paraId="7C98FDB0" w14:textId="543451D8" w:rsidR="00CB67EB" w:rsidRPr="00B51544" w:rsidRDefault="00CB67EB"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FD</w:t>
            </w:r>
            <w:r w:rsidR="000909DA" w:rsidRPr="00B51544">
              <w:rPr>
                <w:rFonts w:asciiTheme="majorBidi" w:eastAsia="Times New Roman" w:hAnsiTheme="majorBidi" w:cstheme="majorBidi"/>
                <w:kern w:val="0"/>
                <w:sz w:val="24"/>
                <w:szCs w:val="24"/>
                <w:lang w:val="sv-SE" w:eastAsia="en-ID"/>
                <w14:ligatures w14:val="none"/>
              </w:rPr>
              <w:t xml:space="preserve">R </w:t>
            </w:r>
            <w:r w:rsidRPr="00B51544">
              <w:rPr>
                <w:rFonts w:asciiTheme="majorBidi" w:eastAsia="Times New Roman" w:hAnsiTheme="majorBidi" w:cstheme="majorBidi"/>
                <w:kern w:val="0"/>
                <w:sz w:val="24"/>
                <w:szCs w:val="24"/>
                <w:lang w:val="sv-SE" w:eastAsia="en-ID"/>
                <w14:ligatures w14:val="none"/>
              </w:rPr>
              <w:t>=</w:t>
            </w:r>
          </w:p>
          <w:p w14:paraId="144941A6" w14:textId="3BDB0886" w:rsidR="00CB67EB" w:rsidRPr="00B51544" w:rsidRDefault="00000000" w:rsidP="00B51544">
            <w:pPr>
              <w:spacing w:line="360" w:lineRule="auto"/>
              <w:jc w:val="both"/>
              <w:rPr>
                <w:rFonts w:asciiTheme="majorBidi" w:eastAsia="Times New Roman" w:hAnsiTheme="majorBidi" w:cstheme="majorBidi"/>
                <w:iCs/>
                <w:kern w:val="0"/>
                <w:sz w:val="24"/>
                <w:szCs w:val="24"/>
                <w:lang w:val="sv-SE" w:eastAsia="en-ID"/>
                <w14:ligatures w14:val="none"/>
              </w:rPr>
            </w:pPr>
            <m:oMathPara>
              <m:oMathParaPr>
                <m:jc m:val="left"/>
              </m:oMathParaPr>
              <m:oMath>
                <m:f>
                  <m:fPr>
                    <m:ctrlPr>
                      <w:rPr>
                        <w:rFonts w:ascii="Cambria Math" w:hAnsi="Cambria Math" w:cstheme="majorBidi"/>
                        <w:iCs/>
                        <w:sz w:val="24"/>
                        <w:szCs w:val="24"/>
                      </w:rPr>
                    </m:ctrlPr>
                  </m:fPr>
                  <m:num>
                    <m:r>
                      <m:rPr>
                        <m:sty m:val="p"/>
                      </m:rPr>
                      <w:rPr>
                        <w:rFonts w:ascii="Cambria Math" w:hAnsi="Cambria Math" w:cstheme="majorBidi"/>
                        <w:sz w:val="24"/>
                        <w:szCs w:val="24"/>
                      </w:rPr>
                      <m:t>Total Pembiayaan</m:t>
                    </m:r>
                  </m:num>
                  <m:den>
                    <m:r>
                      <m:rPr>
                        <m:sty m:val="p"/>
                      </m:rPr>
                      <w:rPr>
                        <w:rFonts w:ascii="Cambria Math" w:hAnsi="Cambria Math" w:cstheme="majorBidi"/>
                        <w:sz w:val="24"/>
                        <w:szCs w:val="24"/>
                      </w:rPr>
                      <m:t>Dana Pihak Ketiga</m:t>
                    </m:r>
                  </m:den>
                </m:f>
                <m:r>
                  <m:rPr>
                    <m:sty m:val="p"/>
                  </m:rPr>
                  <w:rPr>
                    <w:rFonts w:ascii="Cambria Math" w:hAnsi="Cambria Math" w:cstheme="majorBidi"/>
                    <w:sz w:val="24"/>
                    <w:szCs w:val="24"/>
                  </w:rPr>
                  <m:t>X 100%</m:t>
                </m:r>
                <m:r>
                  <m:rPr>
                    <m:sty m:val="p"/>
                  </m:rPr>
                  <w:rPr>
                    <w:rStyle w:val="FootnoteReference"/>
                    <w:rFonts w:ascii="Cambria Math" w:hAnsi="Cambria Math" w:cstheme="majorBidi"/>
                    <w:sz w:val="24"/>
                    <w:szCs w:val="24"/>
                  </w:rPr>
                  <w:footnoteReference w:id="100"/>
                </m:r>
              </m:oMath>
            </m:oMathPara>
          </w:p>
        </w:tc>
        <w:tc>
          <w:tcPr>
            <w:tcW w:w="992" w:type="dxa"/>
          </w:tcPr>
          <w:p w14:paraId="596848C2" w14:textId="77777777" w:rsidR="00CB67EB" w:rsidRPr="00B51544" w:rsidRDefault="00CB67EB"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Rasio</w:t>
            </w:r>
          </w:p>
        </w:tc>
      </w:tr>
      <w:tr w:rsidR="00CB67EB" w:rsidRPr="00B51544" w14:paraId="207A7D35" w14:textId="77777777" w:rsidTr="002C4F4B">
        <w:tc>
          <w:tcPr>
            <w:tcW w:w="1838" w:type="dxa"/>
          </w:tcPr>
          <w:p w14:paraId="19E2DEEC" w14:textId="77777777" w:rsidR="00CB67EB" w:rsidRPr="00B51544" w:rsidRDefault="00CB67EB" w:rsidP="002C4F4B">
            <w:pPr>
              <w:pStyle w:val="ListParagraph"/>
              <w:spacing w:line="360" w:lineRule="auto"/>
              <w:ind w:left="0" w:right="-108"/>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Nisbah Bagi Hasil</w:t>
            </w:r>
          </w:p>
        </w:tc>
        <w:tc>
          <w:tcPr>
            <w:tcW w:w="2552" w:type="dxa"/>
          </w:tcPr>
          <w:p w14:paraId="2F8EB065" w14:textId="77777777" w:rsidR="00CB67EB" w:rsidRPr="00B51544" w:rsidRDefault="00CB67EB" w:rsidP="00B51544">
            <w:pPr>
              <w:spacing w:line="360" w:lineRule="auto"/>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 xml:space="preserve">Nisbah bagi hasil adalah persen keuntungan yang akan diperoleh sahibul mal dan mudharib, yang ditetapkan berdasarkan </w:t>
            </w:r>
            <w:r w:rsidRPr="00B51544">
              <w:rPr>
                <w:rFonts w:asciiTheme="majorBidi" w:eastAsia="Times New Roman" w:hAnsiTheme="majorBidi" w:cstheme="majorBidi"/>
                <w:kern w:val="0"/>
                <w:sz w:val="24"/>
                <w:szCs w:val="24"/>
                <w:lang w:val="sv-SE" w:eastAsia="en-ID"/>
                <w14:ligatures w14:val="none"/>
              </w:rPr>
              <w:lastRenderedPageBreak/>
              <w:t>kesepakatan antara keduanya.</w:t>
            </w:r>
            <w:r w:rsidRPr="00B51544">
              <w:rPr>
                <w:rStyle w:val="FootnoteReference"/>
                <w:rFonts w:asciiTheme="majorBidi" w:hAnsiTheme="majorBidi" w:cstheme="majorBidi"/>
                <w:sz w:val="24"/>
                <w:szCs w:val="24"/>
              </w:rPr>
              <w:footnoteReference w:id="101"/>
            </w:r>
          </w:p>
        </w:tc>
        <w:tc>
          <w:tcPr>
            <w:tcW w:w="3685" w:type="dxa"/>
          </w:tcPr>
          <w:p w14:paraId="1011D010" w14:textId="7986C444" w:rsidR="00CB67EB" w:rsidRPr="00B51544" w:rsidRDefault="00395FE0" w:rsidP="00B51544">
            <w:pPr>
              <w:pStyle w:val="ListParagraph"/>
              <w:spacing w:line="360" w:lineRule="auto"/>
              <w:ind w:left="0"/>
              <w:jc w:val="both"/>
              <w:rPr>
                <w:rFonts w:asciiTheme="majorBidi" w:eastAsia="Times New Roman" w:hAnsiTheme="majorBidi" w:cstheme="majorBidi"/>
                <w:kern w:val="0"/>
                <w:sz w:val="24"/>
                <w:szCs w:val="24"/>
                <w:lang w:val="pt-BR" w:eastAsia="en-ID"/>
                <w14:ligatures w14:val="none"/>
              </w:rPr>
            </w:pPr>
            <w:r w:rsidRPr="00B51544">
              <w:rPr>
                <w:rFonts w:asciiTheme="majorBidi" w:eastAsia="Times New Roman" w:hAnsiTheme="majorBidi" w:cstheme="majorBidi"/>
                <w:kern w:val="0"/>
                <w:sz w:val="24"/>
                <w:szCs w:val="24"/>
                <w:lang w:val="pt-BR" w:eastAsia="en-ID"/>
                <w14:ligatures w14:val="none"/>
              </w:rPr>
              <w:lastRenderedPageBreak/>
              <w:t>Total Nisbah</w:t>
            </w:r>
            <w:r w:rsidR="00CB67EB" w:rsidRPr="00B51544">
              <w:rPr>
                <w:rFonts w:asciiTheme="majorBidi" w:eastAsia="Times New Roman" w:hAnsiTheme="majorBidi" w:cstheme="majorBidi"/>
                <w:kern w:val="0"/>
                <w:sz w:val="24"/>
                <w:szCs w:val="24"/>
                <w:lang w:val="pt-BR" w:eastAsia="en-ID"/>
                <w14:ligatures w14:val="none"/>
              </w:rPr>
              <w:t xml:space="preserve"> = </w:t>
            </w:r>
            <w:r w:rsidRPr="00B51544">
              <w:rPr>
                <w:rFonts w:asciiTheme="majorBidi" w:eastAsia="Times New Roman" w:hAnsiTheme="majorBidi" w:cstheme="majorBidi"/>
                <w:kern w:val="0"/>
                <w:sz w:val="24"/>
                <w:szCs w:val="24"/>
                <w:lang w:val="pt-BR" w:eastAsia="en-ID"/>
                <w14:ligatures w14:val="none"/>
              </w:rPr>
              <w:t>Total pendapatan usaha – Biaya operasional</w:t>
            </w:r>
            <w:r w:rsidR="00E47DAC">
              <w:rPr>
                <w:rStyle w:val="FootnoteReference"/>
                <w:rFonts w:asciiTheme="majorBidi" w:eastAsia="Times New Roman" w:hAnsiTheme="majorBidi" w:cstheme="majorBidi"/>
                <w:kern w:val="0"/>
                <w:sz w:val="24"/>
                <w:szCs w:val="24"/>
                <w:lang w:val="pt-BR" w:eastAsia="en-ID"/>
                <w14:ligatures w14:val="none"/>
              </w:rPr>
              <w:footnoteReference w:id="102"/>
            </w:r>
            <w:r w:rsidRPr="00B51544">
              <w:rPr>
                <w:rFonts w:asciiTheme="majorBidi" w:eastAsia="Times New Roman" w:hAnsiTheme="majorBidi" w:cstheme="majorBidi"/>
                <w:kern w:val="0"/>
                <w:sz w:val="24"/>
                <w:szCs w:val="24"/>
                <w:lang w:val="pt-BR" w:eastAsia="en-ID"/>
                <w14:ligatures w14:val="none"/>
              </w:rPr>
              <w:t xml:space="preserve"> </w:t>
            </w:r>
          </w:p>
        </w:tc>
        <w:tc>
          <w:tcPr>
            <w:tcW w:w="992" w:type="dxa"/>
          </w:tcPr>
          <w:p w14:paraId="1667A03A" w14:textId="77777777" w:rsidR="00CB67EB" w:rsidRPr="00B51544" w:rsidRDefault="00CB67EB"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Rasio</w:t>
            </w:r>
          </w:p>
        </w:tc>
      </w:tr>
      <w:tr w:rsidR="00CB67EB" w:rsidRPr="00B51544" w14:paraId="5421DDC8" w14:textId="77777777" w:rsidTr="002C4F4B">
        <w:tc>
          <w:tcPr>
            <w:tcW w:w="1838" w:type="dxa"/>
          </w:tcPr>
          <w:p w14:paraId="16220D35" w14:textId="77777777" w:rsidR="00CB67EB" w:rsidRPr="00B51544" w:rsidRDefault="00CB67EB" w:rsidP="002C4F4B">
            <w:pPr>
              <w:pStyle w:val="ListParagraph"/>
              <w:spacing w:line="360" w:lineRule="auto"/>
              <w:ind w:left="0" w:right="-108"/>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Deposito Mudharabah</w:t>
            </w:r>
          </w:p>
        </w:tc>
        <w:tc>
          <w:tcPr>
            <w:tcW w:w="2552" w:type="dxa"/>
          </w:tcPr>
          <w:p w14:paraId="33617183" w14:textId="77777777" w:rsidR="00CB67EB" w:rsidRPr="00B51544" w:rsidRDefault="00CB67EB" w:rsidP="00B51544">
            <w:pPr>
              <w:spacing w:line="360" w:lineRule="auto"/>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Deposito mudharabah adalah investasi pada bank syariah dalam rupiah dan valuta asing yang hanya dapat ditarik saat jatuh tempo sesuai dengan waktu dan kesepakatan shahibul maal dan mudharib.</w:t>
            </w:r>
            <w:r w:rsidRPr="00B51544">
              <w:rPr>
                <w:rStyle w:val="FootnoteReference"/>
                <w:rFonts w:asciiTheme="majorBidi" w:hAnsiTheme="majorBidi" w:cstheme="majorBidi"/>
                <w:sz w:val="24"/>
                <w:szCs w:val="24"/>
              </w:rPr>
              <w:footnoteReference w:id="103"/>
            </w:r>
          </w:p>
        </w:tc>
        <w:tc>
          <w:tcPr>
            <w:tcW w:w="3685" w:type="dxa"/>
          </w:tcPr>
          <w:p w14:paraId="3C4C7E77" w14:textId="77777777" w:rsidR="00CB67EB" w:rsidRPr="00B51544" w:rsidRDefault="00CB67EB"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Volume transaksi deposito mudharabah 1 bulan, 3 bulan, 6 bulan dan 12 bulan selama periode januari 2019 hingga Desember 2024</w:t>
            </w:r>
          </w:p>
        </w:tc>
        <w:tc>
          <w:tcPr>
            <w:tcW w:w="992" w:type="dxa"/>
          </w:tcPr>
          <w:p w14:paraId="5D9C66D5" w14:textId="77777777" w:rsidR="00CB67EB" w:rsidRPr="00B51544" w:rsidRDefault="00CB67EB" w:rsidP="00B51544">
            <w:pPr>
              <w:pStyle w:val="ListParagraph"/>
              <w:spacing w:line="360" w:lineRule="auto"/>
              <w:ind w:left="0"/>
              <w:jc w:val="both"/>
              <w:rPr>
                <w:rFonts w:asciiTheme="majorBidi" w:eastAsia="Times New Roman" w:hAnsiTheme="majorBidi" w:cstheme="majorBidi"/>
                <w:kern w:val="0"/>
                <w:sz w:val="24"/>
                <w:szCs w:val="24"/>
                <w:lang w:val="sv-SE" w:eastAsia="en-ID"/>
                <w14:ligatures w14:val="none"/>
              </w:rPr>
            </w:pPr>
            <w:r w:rsidRPr="00B51544">
              <w:rPr>
                <w:rFonts w:asciiTheme="majorBidi" w:eastAsia="Times New Roman" w:hAnsiTheme="majorBidi" w:cstheme="majorBidi"/>
                <w:kern w:val="0"/>
                <w:sz w:val="24"/>
                <w:szCs w:val="24"/>
                <w:lang w:val="sv-SE" w:eastAsia="en-ID"/>
                <w14:ligatures w14:val="none"/>
              </w:rPr>
              <w:t>Nominal (Rp)</w:t>
            </w:r>
          </w:p>
        </w:tc>
      </w:tr>
    </w:tbl>
    <w:p w14:paraId="48E40E6D" w14:textId="77777777" w:rsidR="00CB67EB" w:rsidRPr="002C4F4B" w:rsidRDefault="00CB67EB" w:rsidP="002C4F4B">
      <w:pPr>
        <w:spacing w:line="360" w:lineRule="auto"/>
        <w:jc w:val="both"/>
        <w:rPr>
          <w:rFonts w:asciiTheme="majorBidi" w:hAnsiTheme="majorBidi" w:cstheme="majorBidi"/>
          <w:sz w:val="24"/>
          <w:szCs w:val="24"/>
          <w:lang w:val="sv-SE"/>
        </w:rPr>
      </w:pPr>
    </w:p>
    <w:p w14:paraId="700A4848" w14:textId="3FDEE94B" w:rsidR="00CB67EB" w:rsidRPr="00B51544" w:rsidRDefault="00CB67EB">
      <w:pPr>
        <w:pStyle w:val="Heading2"/>
        <w:numPr>
          <w:ilvl w:val="1"/>
          <w:numId w:val="26"/>
        </w:numPr>
        <w:spacing w:line="360" w:lineRule="auto"/>
        <w:jc w:val="both"/>
        <w:rPr>
          <w:rFonts w:asciiTheme="majorBidi" w:hAnsiTheme="majorBidi"/>
          <w:b/>
          <w:bCs/>
          <w:color w:val="auto"/>
          <w:sz w:val="24"/>
          <w:szCs w:val="24"/>
          <w:lang w:val="sv-SE"/>
        </w:rPr>
      </w:pPr>
      <w:bookmarkStart w:id="66" w:name="_Toc201063329"/>
      <w:r w:rsidRPr="00B51544">
        <w:rPr>
          <w:rFonts w:asciiTheme="majorBidi" w:hAnsiTheme="majorBidi"/>
          <w:b/>
          <w:bCs/>
          <w:color w:val="auto"/>
          <w:sz w:val="24"/>
          <w:szCs w:val="24"/>
          <w:lang w:val="sv-SE"/>
        </w:rPr>
        <w:t>Populasi dan Sampel</w:t>
      </w:r>
      <w:bookmarkEnd w:id="66"/>
    </w:p>
    <w:p w14:paraId="615A4081" w14:textId="6B7F2A35" w:rsidR="00054979" w:rsidRPr="00B51544" w:rsidRDefault="00CB67EB"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Populasi </w:t>
      </w:r>
      <w:r w:rsidR="00CF47EC" w:rsidRPr="00B51544">
        <w:rPr>
          <w:rFonts w:asciiTheme="majorBidi" w:hAnsiTheme="majorBidi" w:cstheme="majorBidi"/>
          <w:sz w:val="24"/>
          <w:szCs w:val="24"/>
          <w:lang w:val="sv-SE"/>
        </w:rPr>
        <w:t>menurut Fraenkel dan Wallen (1990) adalah kelompok yang menarik peneliti, dimana kelompok tersebut oleh peneliti dijadikan sebagai objek untuk menggeneralisasikan hasil penelitian. Populasi juga didefinisikan sebagai suatu himpunan yang terdiri dari orang, hewan, tumbuh-tumbuhan, dan benda-benda yang memiliki kesamaan sifat atau</w:t>
      </w:r>
      <w:r w:rsidRPr="00B51544">
        <w:rPr>
          <w:rFonts w:asciiTheme="majorBidi" w:hAnsiTheme="majorBidi" w:cstheme="majorBidi"/>
          <w:sz w:val="24"/>
          <w:szCs w:val="24"/>
          <w:lang w:val="sv-SE"/>
        </w:rPr>
        <w:t xml:space="preserve"> yang menjadi objek perhatian dalam sebuah penelitian.</w:t>
      </w:r>
      <w:r w:rsidR="00CF47EC" w:rsidRPr="00B51544">
        <w:rPr>
          <w:rStyle w:val="FootnoteReference"/>
          <w:rFonts w:asciiTheme="majorBidi" w:hAnsiTheme="majorBidi" w:cstheme="majorBidi"/>
          <w:sz w:val="24"/>
          <w:szCs w:val="24"/>
          <w:lang w:val="sv-SE"/>
        </w:rPr>
        <w:footnoteReference w:id="104"/>
      </w:r>
      <w:r w:rsidR="000B579B" w:rsidRPr="00B51544">
        <w:rPr>
          <w:rFonts w:asciiTheme="majorBidi" w:hAnsiTheme="majorBidi" w:cstheme="majorBidi"/>
          <w:sz w:val="24"/>
          <w:szCs w:val="24"/>
          <w:lang w:val="sv-SE"/>
        </w:rPr>
        <w:t xml:space="preserve"> </w:t>
      </w:r>
      <w:r w:rsidR="00534BC5" w:rsidRPr="00B51544">
        <w:rPr>
          <w:rFonts w:asciiTheme="majorBidi" w:hAnsiTheme="majorBidi" w:cstheme="majorBidi"/>
          <w:sz w:val="24"/>
          <w:szCs w:val="24"/>
          <w:lang w:val="sv-SE"/>
        </w:rPr>
        <w:t xml:space="preserve">Populasi dalam penelitian ini adalah Laporan Keuangan triwulan </w:t>
      </w:r>
      <w:r w:rsidR="000B579B" w:rsidRPr="00B51544">
        <w:rPr>
          <w:rFonts w:asciiTheme="majorBidi" w:hAnsiTheme="majorBidi" w:cstheme="majorBidi"/>
          <w:sz w:val="24"/>
          <w:szCs w:val="24"/>
          <w:lang w:val="sv-SE"/>
        </w:rPr>
        <w:t xml:space="preserve">Bank Muamalat Indonesia </w:t>
      </w:r>
      <w:r w:rsidR="00534BC5" w:rsidRPr="00B51544">
        <w:rPr>
          <w:rFonts w:asciiTheme="majorBidi" w:hAnsiTheme="majorBidi" w:cstheme="majorBidi"/>
          <w:sz w:val="24"/>
          <w:szCs w:val="24"/>
          <w:lang w:val="sv-SE"/>
        </w:rPr>
        <w:t>yang sudah publish di website resmi Bank Muamalat Indonesia.</w:t>
      </w:r>
      <w:r w:rsidR="00A53E32" w:rsidRPr="00B51544">
        <w:rPr>
          <w:rFonts w:asciiTheme="majorBidi" w:hAnsiTheme="majorBidi" w:cstheme="majorBidi"/>
          <w:sz w:val="24"/>
          <w:szCs w:val="24"/>
          <w:lang w:val="sv-SE"/>
        </w:rPr>
        <w:t xml:space="preserve"> </w:t>
      </w:r>
    </w:p>
    <w:p w14:paraId="6B535F71" w14:textId="327C862A" w:rsidR="00CB67EB" w:rsidRPr="00E17038" w:rsidRDefault="00534BC5" w:rsidP="00E17038">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Sedangkan </w:t>
      </w:r>
      <w:r w:rsidR="00CB67EB" w:rsidRPr="00B51544">
        <w:rPr>
          <w:rFonts w:asciiTheme="majorBidi" w:hAnsiTheme="majorBidi" w:cstheme="majorBidi"/>
          <w:sz w:val="24"/>
          <w:szCs w:val="24"/>
          <w:lang w:val="sv-SE"/>
        </w:rPr>
        <w:t xml:space="preserve">Sampel </w:t>
      </w:r>
      <w:r w:rsidR="00DC25C8" w:rsidRPr="00B51544">
        <w:rPr>
          <w:rFonts w:asciiTheme="majorBidi" w:hAnsiTheme="majorBidi" w:cstheme="majorBidi"/>
          <w:sz w:val="24"/>
          <w:szCs w:val="24"/>
          <w:lang w:val="sv-SE"/>
        </w:rPr>
        <w:t>adalah bagian dari populasi. Jenis sampel yang harus mencerminkan populasi. Sampel dapat didefiniskan sebagai sembarang himpunan sebagai bagian dari suatu populasi.</w:t>
      </w:r>
      <w:r w:rsidR="00DC25C8" w:rsidRPr="00B51544">
        <w:rPr>
          <w:rStyle w:val="FootnoteReference"/>
          <w:rFonts w:asciiTheme="majorBidi" w:hAnsiTheme="majorBidi" w:cstheme="majorBidi"/>
          <w:sz w:val="24"/>
          <w:szCs w:val="24"/>
          <w:lang w:val="sv-SE"/>
        </w:rPr>
        <w:footnoteReference w:id="105"/>
      </w:r>
      <w:r w:rsidR="00CB67EB" w:rsidRPr="00B51544">
        <w:rPr>
          <w:rFonts w:asciiTheme="majorBidi" w:hAnsiTheme="majorBidi" w:cstheme="majorBidi"/>
          <w:sz w:val="24"/>
          <w:szCs w:val="24"/>
          <w:lang w:val="sv-SE"/>
        </w:rPr>
        <w:t xml:space="preserve"> </w:t>
      </w:r>
      <w:r w:rsidR="006A4691" w:rsidRPr="00B51544">
        <w:rPr>
          <w:rFonts w:asciiTheme="majorBidi" w:hAnsiTheme="majorBidi" w:cstheme="majorBidi"/>
          <w:sz w:val="24"/>
          <w:szCs w:val="24"/>
          <w:lang w:val="sv-SE"/>
        </w:rPr>
        <w:t xml:space="preserve">Teknik pengambilan sampel dilakukan untuk proses seorang peneliti dalam mengambil sebuah sampel di lapangan berdasarkan besar sampel yang diperoleh. </w:t>
      </w:r>
      <w:r w:rsidR="00CB67EB" w:rsidRPr="00E17038">
        <w:rPr>
          <w:rFonts w:asciiTheme="majorBidi" w:hAnsiTheme="majorBidi" w:cstheme="majorBidi"/>
          <w:sz w:val="24"/>
          <w:szCs w:val="24"/>
          <w:lang w:val="sv-SE"/>
        </w:rPr>
        <w:t xml:space="preserve">Proses pemilihan sampel dalam penelitian kuantitatif dilakukan dengan hati-hati, sehingga data yang diperoleh dapat diandalkan untuk mendeskripsikan kondisi atau fenomena yang ada dalam populasi secara umum. </w:t>
      </w:r>
      <w:r w:rsidR="00BB1B83" w:rsidRPr="00E17038">
        <w:rPr>
          <w:rFonts w:asciiTheme="majorBidi" w:hAnsiTheme="majorBidi" w:cstheme="majorBidi"/>
          <w:sz w:val="24"/>
          <w:szCs w:val="24"/>
          <w:lang w:val="sv-SE"/>
        </w:rPr>
        <w:t>Berdasarkan penjelasan diatas Teknik sampel yang digunakan adalah purposive sampling</w:t>
      </w:r>
      <w:r w:rsidR="006C0614" w:rsidRPr="00E17038">
        <w:rPr>
          <w:rFonts w:asciiTheme="majorBidi" w:hAnsiTheme="majorBidi" w:cstheme="majorBidi"/>
          <w:sz w:val="24"/>
          <w:szCs w:val="24"/>
          <w:lang w:val="sv-SE"/>
        </w:rPr>
        <w:t>. Jadi s</w:t>
      </w:r>
      <w:r w:rsidR="0023592F" w:rsidRPr="00E17038">
        <w:rPr>
          <w:rFonts w:asciiTheme="majorBidi" w:hAnsiTheme="majorBidi" w:cstheme="majorBidi"/>
          <w:sz w:val="24"/>
          <w:szCs w:val="24"/>
          <w:lang w:val="sv-SE"/>
        </w:rPr>
        <w:t xml:space="preserve">ampel </w:t>
      </w:r>
      <w:r w:rsidR="00CB67EB" w:rsidRPr="00E17038">
        <w:rPr>
          <w:rFonts w:asciiTheme="majorBidi" w:hAnsiTheme="majorBidi" w:cstheme="majorBidi"/>
          <w:sz w:val="24"/>
          <w:szCs w:val="24"/>
          <w:lang w:val="sv-SE"/>
        </w:rPr>
        <w:t xml:space="preserve">dalam penelitian ini adalah </w:t>
      </w:r>
      <w:r w:rsidR="006C0614" w:rsidRPr="00E17038">
        <w:rPr>
          <w:rFonts w:asciiTheme="majorBidi" w:hAnsiTheme="majorBidi" w:cstheme="majorBidi"/>
          <w:sz w:val="24"/>
          <w:szCs w:val="24"/>
          <w:lang w:val="sv-SE"/>
        </w:rPr>
        <w:t>l</w:t>
      </w:r>
      <w:r w:rsidR="00A53E32" w:rsidRPr="00E17038">
        <w:rPr>
          <w:rFonts w:asciiTheme="majorBidi" w:hAnsiTheme="majorBidi" w:cstheme="majorBidi"/>
          <w:sz w:val="24"/>
          <w:szCs w:val="24"/>
          <w:lang w:val="sv-SE"/>
        </w:rPr>
        <w:t xml:space="preserve">aporan </w:t>
      </w:r>
      <w:r w:rsidR="00A53E32" w:rsidRPr="00E17038">
        <w:rPr>
          <w:rFonts w:asciiTheme="majorBidi" w:hAnsiTheme="majorBidi" w:cstheme="majorBidi"/>
          <w:sz w:val="24"/>
          <w:szCs w:val="24"/>
          <w:lang w:val="sv-SE"/>
        </w:rPr>
        <w:lastRenderedPageBreak/>
        <w:t>keuangan</w:t>
      </w:r>
      <w:r w:rsidR="0023592F" w:rsidRPr="00E17038">
        <w:rPr>
          <w:rFonts w:asciiTheme="majorBidi" w:hAnsiTheme="majorBidi" w:cstheme="majorBidi"/>
          <w:sz w:val="24"/>
          <w:szCs w:val="24"/>
          <w:lang w:val="sv-SE"/>
        </w:rPr>
        <w:t xml:space="preserve"> triwulan </w:t>
      </w:r>
      <w:r w:rsidR="00A53E32" w:rsidRPr="00E17038">
        <w:rPr>
          <w:rFonts w:asciiTheme="majorBidi" w:hAnsiTheme="majorBidi" w:cstheme="majorBidi"/>
          <w:sz w:val="24"/>
          <w:szCs w:val="24"/>
          <w:lang w:val="sv-SE"/>
        </w:rPr>
        <w:t>Bank Muamalat Indonesia</w:t>
      </w:r>
      <w:r w:rsidR="0023592F" w:rsidRPr="00E17038">
        <w:rPr>
          <w:rFonts w:asciiTheme="majorBidi" w:hAnsiTheme="majorBidi" w:cstheme="majorBidi"/>
          <w:sz w:val="24"/>
          <w:szCs w:val="24"/>
          <w:lang w:val="sv-SE"/>
        </w:rPr>
        <w:t xml:space="preserve"> periode 2017-202</w:t>
      </w:r>
      <w:r w:rsidR="006C0614" w:rsidRPr="00E17038">
        <w:rPr>
          <w:rFonts w:asciiTheme="majorBidi" w:hAnsiTheme="majorBidi" w:cstheme="majorBidi"/>
          <w:sz w:val="24"/>
          <w:szCs w:val="24"/>
          <w:lang w:val="sv-SE"/>
        </w:rPr>
        <w:t>4</w:t>
      </w:r>
      <w:r w:rsidR="00CB67EB" w:rsidRPr="00E17038">
        <w:rPr>
          <w:rFonts w:asciiTheme="majorBidi" w:hAnsiTheme="majorBidi" w:cstheme="majorBidi"/>
          <w:sz w:val="24"/>
          <w:szCs w:val="24"/>
          <w:lang w:val="sv-SE"/>
        </w:rPr>
        <w:t xml:space="preserve">. </w:t>
      </w:r>
      <w:r w:rsidR="006C0614" w:rsidRPr="00E17038">
        <w:rPr>
          <w:rFonts w:asciiTheme="majorBidi" w:hAnsiTheme="majorBidi" w:cstheme="majorBidi"/>
          <w:sz w:val="24"/>
          <w:szCs w:val="24"/>
          <w:lang w:val="sv-SE"/>
        </w:rPr>
        <w:t>Dalam peneli</w:t>
      </w:r>
      <w:bookmarkEnd w:id="12"/>
      <w:r w:rsidR="006C0614" w:rsidRPr="00E17038">
        <w:rPr>
          <w:rFonts w:asciiTheme="majorBidi" w:hAnsiTheme="majorBidi" w:cstheme="majorBidi"/>
          <w:sz w:val="24"/>
          <w:szCs w:val="24"/>
          <w:lang w:val="sv-SE"/>
        </w:rPr>
        <w:t>tian ini sampel yang digunakan berjumlah 32 sampel.</w:t>
      </w:r>
    </w:p>
    <w:p w14:paraId="28316FFF" w14:textId="6B0BC588" w:rsidR="00AD00F8" w:rsidRPr="00B51544" w:rsidRDefault="00AD00F8">
      <w:pPr>
        <w:pStyle w:val="Heading2"/>
        <w:numPr>
          <w:ilvl w:val="1"/>
          <w:numId w:val="26"/>
        </w:numPr>
        <w:spacing w:line="360" w:lineRule="auto"/>
        <w:jc w:val="both"/>
        <w:rPr>
          <w:rFonts w:asciiTheme="majorBidi" w:hAnsiTheme="majorBidi"/>
          <w:b/>
          <w:bCs/>
          <w:color w:val="auto"/>
          <w:sz w:val="24"/>
          <w:szCs w:val="24"/>
          <w:lang w:val="sv-SE"/>
        </w:rPr>
      </w:pPr>
      <w:bookmarkStart w:id="67" w:name="_Toc201063330"/>
      <w:r w:rsidRPr="00B51544">
        <w:rPr>
          <w:rFonts w:asciiTheme="majorBidi" w:hAnsiTheme="majorBidi"/>
          <w:b/>
          <w:bCs/>
          <w:color w:val="auto"/>
          <w:sz w:val="24"/>
          <w:szCs w:val="24"/>
          <w:lang w:val="sv-SE"/>
        </w:rPr>
        <w:t>Metode Pengumpulan Data</w:t>
      </w:r>
      <w:bookmarkEnd w:id="67"/>
    </w:p>
    <w:p w14:paraId="2B4F83B4" w14:textId="77777777" w:rsidR="00054979" w:rsidRPr="00B51544" w:rsidRDefault="00AD00F8"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Menurut arikunto, metode penelitian kuantitatif merupakan metode mengumpulkan, menafsirkan dan menampilkan data dengan menggunakan</w:t>
      </w:r>
      <w:r w:rsidR="002E6478" w:rsidRPr="00B51544">
        <w:rPr>
          <w:rFonts w:asciiTheme="majorBidi" w:hAnsiTheme="majorBidi" w:cstheme="majorBidi"/>
          <w:sz w:val="24"/>
          <w:szCs w:val="24"/>
          <w:lang w:val="sv-SE"/>
        </w:rPr>
        <w:t xml:space="preserve"> angka, tabel, grafik, bagan, gambar atau tampilan lainnya untuk memperkuat kedudukan data yang dianalisis.</w:t>
      </w:r>
      <w:r w:rsidR="00BF77EF" w:rsidRPr="00B51544">
        <w:rPr>
          <w:rStyle w:val="FootnoteReference"/>
          <w:rFonts w:asciiTheme="majorBidi" w:hAnsiTheme="majorBidi" w:cstheme="majorBidi"/>
          <w:sz w:val="24"/>
          <w:szCs w:val="24"/>
          <w:lang w:val="sv-SE"/>
        </w:rPr>
        <w:footnoteReference w:id="106"/>
      </w:r>
      <w:r w:rsidR="002E6478" w:rsidRPr="00B51544">
        <w:rPr>
          <w:rFonts w:asciiTheme="majorBidi" w:hAnsiTheme="majorBidi" w:cstheme="majorBidi"/>
          <w:sz w:val="24"/>
          <w:szCs w:val="24"/>
          <w:lang w:val="sv-SE"/>
        </w:rPr>
        <w:t xml:space="preserve"> </w:t>
      </w:r>
    </w:p>
    <w:p w14:paraId="19657993" w14:textId="6D3521BD" w:rsidR="00C80F31" w:rsidRPr="00B51544" w:rsidRDefault="00CB67EB"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Penelitian </w:t>
      </w:r>
      <w:r w:rsidR="0040279D" w:rsidRPr="00B51544">
        <w:rPr>
          <w:rFonts w:asciiTheme="majorBidi" w:hAnsiTheme="majorBidi" w:cstheme="majorBidi"/>
          <w:sz w:val="24"/>
          <w:szCs w:val="24"/>
          <w:lang w:val="sv-SE"/>
        </w:rPr>
        <w:t>kuantitatif lebih memfokuskan adanya berbagai variabel sebagai objek penelitian yang dapat dideskripsikan dalam bentuk pengoperasian variabel masing-masing. Reliabilitas dan validitas adalah syarat utama yang wajib dilengkapi dalam penggunaan pendekatan ini sebab kedua komponen itu akan mendefinisikan kapasitas hasil analisis serta kompetensi replikasi dan generalisasi pemanfaatan model penelitian serupa.</w:t>
      </w:r>
      <w:r w:rsidR="00CE6303" w:rsidRPr="00B51544">
        <w:rPr>
          <w:rFonts w:asciiTheme="majorBidi" w:hAnsiTheme="majorBidi" w:cstheme="majorBidi"/>
          <w:sz w:val="24"/>
          <w:szCs w:val="24"/>
          <w:lang w:val="sv-SE"/>
        </w:rPr>
        <w:t xml:space="preserve"> Selain itu, studi kuantitatif mengedepankan adanya hipotesis serta pemeriksaan yang kemudian dapat ditentukan langkah-langkah selanjutnya, misalnya penetapan teknik analisis serta rumus statistika yang dapat dipergunakan.</w:t>
      </w:r>
      <w:r w:rsidR="00CE6303" w:rsidRPr="00B51544">
        <w:rPr>
          <w:rStyle w:val="FootnoteReference"/>
          <w:rFonts w:asciiTheme="majorBidi" w:hAnsiTheme="majorBidi" w:cstheme="majorBidi"/>
          <w:sz w:val="24"/>
          <w:szCs w:val="24"/>
          <w:lang w:val="sv-SE"/>
        </w:rPr>
        <w:footnoteReference w:id="107"/>
      </w:r>
    </w:p>
    <w:p w14:paraId="7DC34747" w14:textId="61F096B7" w:rsidR="00CB67EB" w:rsidRPr="00B51544" w:rsidRDefault="0081655C" w:rsidP="00B51544">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Data kuantitatif dalam penelitian ini menggunakan data sekunder. Data sekunder adalah sumber data penelitian yang diperoleh </w:t>
      </w:r>
      <w:r w:rsidR="00A73343" w:rsidRPr="00B51544">
        <w:rPr>
          <w:rFonts w:asciiTheme="majorBidi" w:hAnsiTheme="majorBidi" w:cstheme="majorBidi"/>
          <w:sz w:val="24"/>
          <w:szCs w:val="24"/>
          <w:lang w:val="sv-SE"/>
        </w:rPr>
        <w:t>s</w:t>
      </w:r>
      <w:r w:rsidRPr="00B51544">
        <w:rPr>
          <w:rFonts w:asciiTheme="majorBidi" w:hAnsiTheme="majorBidi" w:cstheme="majorBidi"/>
          <w:sz w:val="24"/>
          <w:szCs w:val="24"/>
          <w:lang w:val="sv-SE"/>
        </w:rPr>
        <w:t xml:space="preserve">ecara tidak langsung melalui media perantara. </w:t>
      </w:r>
      <w:r w:rsidR="00A73343" w:rsidRPr="00B51544">
        <w:rPr>
          <w:rFonts w:asciiTheme="majorBidi" w:hAnsiTheme="majorBidi" w:cstheme="majorBidi"/>
          <w:sz w:val="24"/>
          <w:szCs w:val="24"/>
          <w:lang w:val="sv-SE"/>
        </w:rPr>
        <w:t>Data sekunder merupakan data yang dapat mendukung keperluan data primer seperti buku-buku, literatur dan bacaan, dan data-data pubikasi oleh lembaga pemerintah. Data sekunder ini merupakan data yang telah diolah pihak tertentu dan dipublikasi oleh pihak pertama tersebut, kemudian hasil publikasi tersebut dijadikan data penelitian oleh peneliti.</w:t>
      </w:r>
      <w:r w:rsidR="007252B6" w:rsidRPr="00B51544">
        <w:rPr>
          <w:rStyle w:val="FootnoteReference"/>
          <w:rFonts w:asciiTheme="majorBidi" w:hAnsiTheme="majorBidi" w:cstheme="majorBidi"/>
          <w:sz w:val="24"/>
          <w:szCs w:val="24"/>
          <w:lang w:val="sv-SE"/>
        </w:rPr>
        <w:footnoteReference w:id="108"/>
      </w:r>
      <w:r w:rsidR="00A73343"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sv-SE"/>
        </w:rPr>
        <w:t>Artinya, data ini tidak dikumpulkan langsung oleh peneliti melainkan dari sumber yang telah ada sebelumnya, seperti dokumen, literatur, atau data yang dikumpulkan oleh pihak lain. Contoh sumber data sekunder meliputi buku, jurnal akademis, artikel, laporan keuangan, dan data sensus yang dikumpulkan oleh pemerintah.</w:t>
      </w:r>
    </w:p>
    <w:p w14:paraId="5B0720D6" w14:textId="775FC397" w:rsidR="00CB67EB" w:rsidRPr="00B51544" w:rsidRDefault="00CB67EB">
      <w:pPr>
        <w:pStyle w:val="Heading2"/>
        <w:numPr>
          <w:ilvl w:val="1"/>
          <w:numId w:val="26"/>
        </w:numPr>
        <w:spacing w:line="360" w:lineRule="auto"/>
        <w:jc w:val="both"/>
        <w:rPr>
          <w:rFonts w:asciiTheme="majorBidi" w:hAnsiTheme="majorBidi"/>
          <w:b/>
          <w:bCs/>
          <w:color w:val="auto"/>
          <w:sz w:val="24"/>
          <w:szCs w:val="24"/>
          <w:lang w:val="sv-SE"/>
        </w:rPr>
      </w:pPr>
      <w:bookmarkStart w:id="68" w:name="_Toc201063331"/>
      <w:r w:rsidRPr="00B51544">
        <w:rPr>
          <w:rFonts w:asciiTheme="majorBidi" w:hAnsiTheme="majorBidi"/>
          <w:b/>
          <w:bCs/>
          <w:color w:val="auto"/>
          <w:sz w:val="24"/>
          <w:szCs w:val="24"/>
          <w:lang w:val="sv-SE"/>
        </w:rPr>
        <w:t>Teknik Pengumpulan Data</w:t>
      </w:r>
      <w:bookmarkEnd w:id="68"/>
    </w:p>
    <w:p w14:paraId="2A4EBC66" w14:textId="77777777" w:rsidR="00C80F31" w:rsidRPr="00B51544" w:rsidRDefault="0081655C" w:rsidP="00B51544">
      <w:pPr>
        <w:pStyle w:val="ListParagraph"/>
        <w:spacing w:line="360" w:lineRule="auto"/>
        <w:ind w:left="426" w:firstLine="698"/>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Teknik pengumpulan data adalah metode yang digunakan peneliti </w:t>
      </w:r>
      <w:r w:rsidR="00F12AB5" w:rsidRPr="00B51544">
        <w:rPr>
          <w:rFonts w:asciiTheme="majorBidi" w:hAnsiTheme="majorBidi" w:cstheme="majorBidi"/>
          <w:sz w:val="24"/>
          <w:szCs w:val="24"/>
          <w:lang w:val="sv-SE"/>
        </w:rPr>
        <w:t xml:space="preserve">mendeskripsikan proses pengumpulan data dan mengidentifikasi variabel yang diukur. Perlu ditegaskan apakah </w:t>
      </w:r>
      <w:r w:rsidR="00F12AB5" w:rsidRPr="00B51544">
        <w:rPr>
          <w:rFonts w:asciiTheme="majorBidi" w:hAnsiTheme="majorBidi" w:cstheme="majorBidi"/>
          <w:sz w:val="24"/>
          <w:szCs w:val="24"/>
          <w:lang w:val="sv-SE"/>
        </w:rPr>
        <w:lastRenderedPageBreak/>
        <w:t>data yang diperoleh data yang sudah tersedia atau peneliti mencari sendiri, misalnya dengan survei.</w:t>
      </w:r>
      <w:r w:rsidR="00BF77EF" w:rsidRPr="00B51544">
        <w:rPr>
          <w:rStyle w:val="FootnoteReference"/>
          <w:rFonts w:asciiTheme="majorBidi" w:hAnsiTheme="majorBidi" w:cstheme="majorBidi"/>
          <w:sz w:val="24"/>
          <w:szCs w:val="24"/>
          <w:lang w:val="sv-SE"/>
        </w:rPr>
        <w:footnoteReference w:id="109"/>
      </w:r>
      <w:r w:rsidR="00BF77EF" w:rsidRPr="00B51544">
        <w:rPr>
          <w:rFonts w:asciiTheme="majorBidi" w:hAnsiTheme="majorBidi" w:cstheme="majorBidi"/>
          <w:sz w:val="24"/>
          <w:szCs w:val="24"/>
          <w:lang w:val="sv-SE"/>
        </w:rPr>
        <w:t xml:space="preserve"> </w:t>
      </w:r>
    </w:p>
    <w:p w14:paraId="199CAB8E" w14:textId="5FE64B6A" w:rsidR="00AB3D95" w:rsidRPr="00B51544" w:rsidRDefault="00CB67EB" w:rsidP="00AB3D95">
      <w:pPr>
        <w:pStyle w:val="ListParagraph"/>
        <w:spacing w:line="360" w:lineRule="auto"/>
        <w:ind w:left="426" w:firstLine="698"/>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Dalam penelitian ini, </w:t>
      </w:r>
      <w:r w:rsidR="00AB3D95" w:rsidRPr="00AB3D95">
        <w:rPr>
          <w:rFonts w:asciiTheme="majorBidi" w:hAnsiTheme="majorBidi" w:cstheme="majorBidi"/>
          <w:sz w:val="24"/>
          <w:szCs w:val="24"/>
          <w:lang w:val="sv-SE"/>
        </w:rPr>
        <w:t>peneliti melakukan pengumpulan data dengan mencampurkan, mendokumentasikan, dan menganalisis data sekunder berupa laporan keuangan triwulan yang telah dipublikasikan di situs web resmi bank terkait, website resmi OJK, dan Badan Pusat Statistik. Data yang dikumpulkan mencakup laporan keuangan triwulan dari Bank Muamalat Indonesia yang terdaftar di Otoritas Jasa Keuangan selama periode delapan tahun berturut-turut.</w:t>
      </w:r>
    </w:p>
    <w:p w14:paraId="7392684B" w14:textId="03346520" w:rsidR="00584AD7" w:rsidRPr="00B51544" w:rsidRDefault="00CB67EB">
      <w:pPr>
        <w:pStyle w:val="Heading2"/>
        <w:numPr>
          <w:ilvl w:val="1"/>
          <w:numId w:val="26"/>
        </w:numPr>
        <w:spacing w:line="360" w:lineRule="auto"/>
        <w:jc w:val="both"/>
        <w:rPr>
          <w:rFonts w:asciiTheme="majorBidi" w:hAnsiTheme="majorBidi"/>
          <w:b/>
          <w:bCs/>
          <w:color w:val="auto"/>
          <w:sz w:val="24"/>
          <w:szCs w:val="24"/>
          <w:lang w:val="sv-SE"/>
        </w:rPr>
      </w:pPr>
      <w:bookmarkStart w:id="69" w:name="_Toc201063332"/>
      <w:r w:rsidRPr="00B51544">
        <w:rPr>
          <w:rFonts w:asciiTheme="majorBidi" w:hAnsiTheme="majorBidi"/>
          <w:b/>
          <w:bCs/>
          <w:color w:val="auto"/>
          <w:sz w:val="24"/>
          <w:szCs w:val="24"/>
          <w:lang w:val="sv-SE"/>
        </w:rPr>
        <w:t>Teknik Analis</w:t>
      </w:r>
      <w:r w:rsidR="002E7308" w:rsidRPr="00B51544">
        <w:rPr>
          <w:rFonts w:asciiTheme="majorBidi" w:hAnsiTheme="majorBidi"/>
          <w:b/>
          <w:bCs/>
          <w:color w:val="auto"/>
          <w:sz w:val="24"/>
          <w:szCs w:val="24"/>
          <w:lang w:val="sv-SE"/>
        </w:rPr>
        <w:t>a Data</w:t>
      </w:r>
      <w:bookmarkEnd w:id="69"/>
    </w:p>
    <w:p w14:paraId="472F33E6" w14:textId="7AF03ACA" w:rsidR="009E3DCE" w:rsidRPr="00377CB4" w:rsidRDefault="00584AD7" w:rsidP="00377CB4">
      <w:pPr>
        <w:pStyle w:val="ListParagraph"/>
        <w:spacing w:line="360" w:lineRule="auto"/>
        <w:ind w:left="426" w:firstLine="698"/>
        <w:jc w:val="both"/>
        <w:rPr>
          <w:rFonts w:asciiTheme="majorBidi" w:hAnsiTheme="majorBidi" w:cstheme="majorBidi"/>
          <w:sz w:val="24"/>
          <w:szCs w:val="24"/>
          <w:lang w:val="sv-SE"/>
        </w:rPr>
      </w:pPr>
      <w:r w:rsidRPr="00B51544">
        <w:rPr>
          <w:rFonts w:asciiTheme="majorBidi" w:hAnsiTheme="majorBidi" w:cstheme="majorBidi"/>
          <w:sz w:val="24"/>
          <w:szCs w:val="24"/>
          <w:lang w:val="sv-SE"/>
        </w:rPr>
        <w:t>Analisis data adalah teknik yang biasanya melibatkan banyak aktivitas seperti mengumpulkan, membersihkan, dan mengatur data. Proses ini, biasanya mencakup perangkat lunak analisis data, diperlukan untuk meyiapkan data-data penelitian. Analisis data merupakan upaya kita dalam menganalisis data mentah untuk menarik kesimpulan berdasarkan data. Analisis data hanyalah proses mengubah data yang dikumpulkan menjadi informasi yang bermakna. Setelah dikumpulkan data harus diolah dan dianalisis sesuai dengan garis besar tujuan penelitian. Hal ini penting untuk memastikan bahwa semua data relevan untuk digunakan untuk melakukan uji statistik melalui proses pengeditan, pengkodean, klasifikasi, dan tabulasi data dengan menggunakan program analisis data seperti Eviews atau SPSS.</w:t>
      </w:r>
      <w:r w:rsidR="00BF77EF" w:rsidRPr="00B51544">
        <w:rPr>
          <w:rStyle w:val="FootnoteReference"/>
          <w:rFonts w:asciiTheme="majorBidi" w:hAnsiTheme="majorBidi" w:cstheme="majorBidi"/>
          <w:sz w:val="24"/>
          <w:szCs w:val="24"/>
          <w:lang w:val="sv-SE"/>
        </w:rPr>
        <w:footnoteReference w:id="110"/>
      </w:r>
    </w:p>
    <w:p w14:paraId="5B025603" w14:textId="5E2A57A1" w:rsidR="002E7308" w:rsidRPr="00B51544" w:rsidRDefault="002E7308">
      <w:pPr>
        <w:pStyle w:val="ListParagraph"/>
        <w:numPr>
          <w:ilvl w:val="0"/>
          <w:numId w:val="6"/>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Statistik Deskriptif</w:t>
      </w:r>
    </w:p>
    <w:p w14:paraId="70FC097F" w14:textId="692D2FFE" w:rsidR="00105A92" w:rsidRDefault="00AB3D95" w:rsidP="00B51544">
      <w:pPr>
        <w:pStyle w:val="ListParagraph"/>
        <w:spacing w:line="360" w:lineRule="auto"/>
        <w:ind w:left="1080" w:firstLine="621"/>
        <w:jc w:val="both"/>
        <w:rPr>
          <w:rFonts w:asciiTheme="majorBidi" w:hAnsiTheme="majorBidi" w:cstheme="majorBidi"/>
          <w:sz w:val="24"/>
          <w:szCs w:val="24"/>
          <w:lang w:val="sv-SE"/>
        </w:rPr>
      </w:pPr>
      <w:r w:rsidRPr="00AB3D95">
        <w:rPr>
          <w:rFonts w:asciiTheme="majorBidi" w:hAnsiTheme="majorBidi" w:cstheme="majorBidi"/>
          <w:sz w:val="24"/>
          <w:szCs w:val="24"/>
          <w:lang w:val="sv-SE"/>
        </w:rPr>
        <w:t>Analisis statistik deskriptif adalah alat statistik yang berfungsi untuk menganalisis data dengan cara mencatat atau menggambarkan data yang telah dikumpulkan dalam bentuk aslinya tanpa bertujuan untuk membentuk kesimpulan yang bersifat umum atau generalisasi. Proses analisis ini hanya berupa pengumpulan data dalam jumlah besar yang disajikan dalam bentuk deskripsi saja, artinya tidak mencoba untuk menemukan atau menjelaskan adanya hubungan atau pengaruh antara data tersebut. Metode analisis kuantitatif meliputi hubungan dua variabel, pengujian hipotesis, peramalan, atau penarikan kesimpulan</w:t>
      </w:r>
      <w:r w:rsidR="00CF5285" w:rsidRPr="00B51544">
        <w:rPr>
          <w:rFonts w:asciiTheme="majorBidi" w:hAnsiTheme="majorBidi" w:cstheme="majorBidi"/>
          <w:sz w:val="24"/>
          <w:szCs w:val="24"/>
          <w:lang w:val="sv-SE"/>
        </w:rPr>
        <w:t>.</w:t>
      </w:r>
      <w:r w:rsidR="00CF5285" w:rsidRPr="00B51544">
        <w:rPr>
          <w:rStyle w:val="FootnoteReference"/>
          <w:rFonts w:asciiTheme="majorBidi" w:hAnsiTheme="majorBidi" w:cstheme="majorBidi"/>
          <w:sz w:val="24"/>
          <w:szCs w:val="24"/>
          <w:lang w:val="sv-SE"/>
        </w:rPr>
        <w:footnoteReference w:id="111"/>
      </w:r>
      <w:r w:rsidR="008C47DC" w:rsidRPr="00B51544">
        <w:rPr>
          <w:rFonts w:asciiTheme="majorBidi" w:hAnsiTheme="majorBidi" w:cstheme="majorBidi"/>
          <w:sz w:val="24"/>
          <w:szCs w:val="24"/>
          <w:lang w:val="sv-SE"/>
        </w:rPr>
        <w:t xml:space="preserve"> </w:t>
      </w:r>
      <w:r w:rsidR="00105A92" w:rsidRPr="00B51544">
        <w:rPr>
          <w:rFonts w:asciiTheme="majorBidi" w:hAnsiTheme="majorBidi" w:cstheme="majorBidi"/>
          <w:sz w:val="24"/>
          <w:szCs w:val="24"/>
          <w:lang w:val="sv-SE"/>
        </w:rPr>
        <w:t>Penggunaan statistika deskriptif variabel penelitian dimaksudkan untuk memberikan penjelasan yang memudahkan peneliti dalam menginterpretasikan hasil analisis data dan pembahasannya.</w:t>
      </w:r>
    </w:p>
    <w:p w14:paraId="20E56A76" w14:textId="77777777" w:rsidR="004F6C85" w:rsidRPr="00B51544" w:rsidRDefault="004F6C85" w:rsidP="00B51544">
      <w:pPr>
        <w:pStyle w:val="ListParagraph"/>
        <w:spacing w:line="360" w:lineRule="auto"/>
        <w:ind w:left="1080" w:firstLine="621"/>
        <w:jc w:val="both"/>
        <w:rPr>
          <w:rFonts w:asciiTheme="majorBidi" w:hAnsiTheme="majorBidi" w:cstheme="majorBidi"/>
          <w:sz w:val="24"/>
          <w:szCs w:val="24"/>
          <w:lang w:val="sv-SE"/>
        </w:rPr>
      </w:pPr>
    </w:p>
    <w:p w14:paraId="6ADE5DF6" w14:textId="30FDC3D2" w:rsidR="002E7308" w:rsidRPr="00B51544" w:rsidRDefault="002E7308">
      <w:pPr>
        <w:pStyle w:val="ListParagraph"/>
        <w:numPr>
          <w:ilvl w:val="0"/>
          <w:numId w:val="6"/>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Pengujian Asumsi Klasik :</w:t>
      </w:r>
    </w:p>
    <w:p w14:paraId="381F9C4A" w14:textId="0F8341ED" w:rsidR="00911B25" w:rsidRDefault="00AB3D95" w:rsidP="00377CB4">
      <w:pPr>
        <w:pStyle w:val="ListParagraph"/>
        <w:spacing w:line="360" w:lineRule="auto"/>
        <w:ind w:left="1080" w:firstLine="621"/>
        <w:jc w:val="both"/>
        <w:rPr>
          <w:rFonts w:asciiTheme="majorBidi" w:hAnsiTheme="majorBidi" w:cstheme="majorBidi"/>
          <w:sz w:val="24"/>
          <w:szCs w:val="24"/>
          <w:lang w:val="sv-SE"/>
        </w:rPr>
      </w:pPr>
      <w:r w:rsidRPr="00AB3D95">
        <w:rPr>
          <w:rFonts w:asciiTheme="majorBidi" w:hAnsiTheme="majorBidi" w:cstheme="majorBidi"/>
          <w:sz w:val="24"/>
          <w:szCs w:val="24"/>
          <w:lang w:val="sv-SE"/>
        </w:rPr>
        <w:t xml:space="preserve">Uji asumsi klasik adalah syarat statistik yang harus dipenuhi dalam analisis regresi linear berganda yang menggunakan metode </w:t>
      </w:r>
      <w:r w:rsidRPr="00AB3D95">
        <w:rPr>
          <w:rFonts w:asciiTheme="majorBidi" w:hAnsiTheme="majorBidi" w:cstheme="majorBidi"/>
          <w:i/>
          <w:iCs/>
          <w:sz w:val="24"/>
          <w:szCs w:val="24"/>
          <w:lang w:val="sv-SE"/>
        </w:rPr>
        <w:t>ordinary least squares</w:t>
      </w:r>
      <w:r w:rsidRPr="00AB3D95">
        <w:rPr>
          <w:rFonts w:asciiTheme="majorBidi" w:hAnsiTheme="majorBidi" w:cstheme="majorBidi"/>
          <w:sz w:val="24"/>
          <w:szCs w:val="24"/>
          <w:lang w:val="sv-SE"/>
        </w:rPr>
        <w:t xml:space="preserve"> (OLS). Untuk memastikan bahwa model regresi yang dihasilkan adalah yang paling optimal, baik dari segi akurasi estimasi, tidak ada bias, serta konsisten, maka pengujian asumsi klasik sangat diperlukan. Pengujian ini dilakukan untuk memastikan bahwa persamaan regresi yang digunakan adalah tepat dan valid. Sebelum melakukan analisis regresi berganda dan pengujian hipotesis, beberapa uji asumsi klasik harus dilakukan untuk mengetahui apakah model regresi yang diterapkan sudah bebas dari penyimpangan asumsi dan memenuhi kriteria yang diperlukan untuk menghasilkan hubungan linear yang baik. Uji asumsi klasik yang umum digunakan mencakup uji normalitas, uji multikolinearitas, uji heteroskedastisitas, dan uji autokorelasi</w:t>
      </w:r>
      <w:r w:rsidR="00911B25" w:rsidRPr="00B51544">
        <w:rPr>
          <w:rFonts w:asciiTheme="majorBidi" w:hAnsiTheme="majorBidi" w:cstheme="majorBidi"/>
          <w:sz w:val="24"/>
          <w:szCs w:val="24"/>
          <w:lang w:val="sv-SE"/>
        </w:rPr>
        <w:t>.</w:t>
      </w:r>
      <w:r w:rsidR="00911B25" w:rsidRPr="00B51544">
        <w:rPr>
          <w:rStyle w:val="FootnoteReference"/>
          <w:rFonts w:asciiTheme="majorBidi" w:hAnsiTheme="majorBidi" w:cstheme="majorBidi"/>
          <w:sz w:val="24"/>
          <w:szCs w:val="24"/>
          <w:lang w:val="sv-SE"/>
        </w:rPr>
        <w:footnoteReference w:id="112"/>
      </w:r>
    </w:p>
    <w:p w14:paraId="0A527DA9" w14:textId="77777777" w:rsidR="00377CB4" w:rsidRPr="00377CB4" w:rsidRDefault="00377CB4" w:rsidP="00377CB4">
      <w:pPr>
        <w:pStyle w:val="ListParagraph"/>
        <w:spacing w:line="360" w:lineRule="auto"/>
        <w:ind w:left="1080" w:firstLine="621"/>
        <w:jc w:val="both"/>
        <w:rPr>
          <w:rFonts w:asciiTheme="majorBidi" w:hAnsiTheme="majorBidi" w:cstheme="majorBidi"/>
          <w:sz w:val="24"/>
          <w:szCs w:val="24"/>
          <w:lang w:val="sv-SE"/>
        </w:rPr>
      </w:pPr>
    </w:p>
    <w:p w14:paraId="57D81356" w14:textId="6ACB0794" w:rsidR="002E7308" w:rsidRPr="00B51544" w:rsidRDefault="002E7308">
      <w:pPr>
        <w:pStyle w:val="ListParagraph"/>
        <w:numPr>
          <w:ilvl w:val="0"/>
          <w:numId w:val="7"/>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Uji Normalitas</w:t>
      </w:r>
    </w:p>
    <w:p w14:paraId="61C715C7" w14:textId="06E933E4" w:rsidR="00685810" w:rsidRDefault="006639EB" w:rsidP="00B51544">
      <w:pPr>
        <w:pStyle w:val="ListParagraph"/>
        <w:spacing w:line="360" w:lineRule="auto"/>
        <w:ind w:left="1440" w:firstLine="545"/>
        <w:jc w:val="both"/>
        <w:rPr>
          <w:rFonts w:asciiTheme="majorBidi" w:hAnsiTheme="majorBidi" w:cstheme="majorBidi"/>
          <w:sz w:val="24"/>
          <w:szCs w:val="24"/>
          <w:lang w:val="sv-SE"/>
        </w:rPr>
      </w:pPr>
      <w:r w:rsidRPr="006639EB">
        <w:rPr>
          <w:rFonts w:asciiTheme="majorBidi" w:hAnsiTheme="majorBidi" w:cstheme="majorBidi"/>
          <w:sz w:val="24"/>
          <w:szCs w:val="24"/>
          <w:lang w:val="sv-SE"/>
        </w:rPr>
        <w:t>Uji Normalitas adalah salah satu metode statistik yang digunakan untuk menentukan apakah suatu kumpulan data berasal dari populasi dengan distribusi normal atau tidak. Uji ini bertujuan untuk mengevaluasi penyebaran data dalam sebuah kelompok atau variabel, untuk mengetahui apakah penyebaran tersebut mengikuti distribusi normal. Berdasarkan pengalaman dari berbagai ahli statistik, jika jumlah data melebihi 30 (n &gt; 30), maka dapat diasumsikan bahwa data tersebut berdistribusi normal. Hal ini umumnya disebut sebagai sampel besar</w:t>
      </w:r>
      <w:r w:rsidR="00267018" w:rsidRPr="00B51544">
        <w:rPr>
          <w:rFonts w:asciiTheme="majorBidi" w:hAnsiTheme="majorBidi" w:cstheme="majorBidi"/>
          <w:sz w:val="24"/>
          <w:szCs w:val="24"/>
          <w:lang w:val="sv-SE"/>
        </w:rPr>
        <w:t xml:space="preserve">. </w:t>
      </w:r>
      <w:r w:rsidR="00267018" w:rsidRPr="00B51544">
        <w:rPr>
          <w:rStyle w:val="FootnoteReference"/>
          <w:rFonts w:asciiTheme="majorBidi" w:hAnsiTheme="majorBidi" w:cstheme="majorBidi"/>
          <w:sz w:val="24"/>
          <w:szCs w:val="24"/>
          <w:lang w:val="sv-SE"/>
        </w:rPr>
        <w:footnoteReference w:id="113"/>
      </w:r>
    </w:p>
    <w:p w14:paraId="0B6FFDB9" w14:textId="5DC836F8" w:rsidR="00AD51F5" w:rsidRDefault="00AD51F5">
      <w:pPr>
        <w:pStyle w:val="ListParagraph"/>
        <w:numPr>
          <w:ilvl w:val="0"/>
          <w:numId w:val="7"/>
        </w:num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t>Uji Multikolinearitas</w:t>
      </w:r>
    </w:p>
    <w:p w14:paraId="3BC70794" w14:textId="0160982E" w:rsidR="004970CB" w:rsidRDefault="00790320" w:rsidP="00790320">
      <w:pPr>
        <w:pStyle w:val="ListParagraph"/>
        <w:spacing w:line="360" w:lineRule="auto"/>
        <w:ind w:left="1440" w:firstLine="545"/>
        <w:jc w:val="both"/>
        <w:rPr>
          <w:rFonts w:asciiTheme="majorBidi" w:hAnsiTheme="majorBidi" w:cstheme="majorBidi"/>
          <w:sz w:val="24"/>
          <w:szCs w:val="24"/>
          <w:lang w:val="sv-SE"/>
        </w:rPr>
      </w:pPr>
      <w:r w:rsidRPr="00790320">
        <w:rPr>
          <w:rFonts w:asciiTheme="majorBidi" w:hAnsiTheme="majorBidi" w:cstheme="majorBidi"/>
          <w:sz w:val="24"/>
          <w:szCs w:val="24"/>
          <w:lang w:val="sv-SE"/>
        </w:rPr>
        <w:t>terdapat keterkaitan linier yang jelas antara variabel-variabel bebasnya. Untuk mengecek ada tidaknya isu multikolinearitas, dapat menggunakan angka VIF (</w:t>
      </w:r>
      <w:r w:rsidRPr="00790320">
        <w:rPr>
          <w:rFonts w:asciiTheme="majorBidi" w:hAnsiTheme="majorBidi" w:cstheme="majorBidi"/>
          <w:i/>
          <w:iCs/>
          <w:sz w:val="24"/>
          <w:szCs w:val="24"/>
          <w:lang w:val="sv-SE"/>
        </w:rPr>
        <w:t>Variance Inflation Factor</w:t>
      </w:r>
      <w:r w:rsidRPr="00790320">
        <w:rPr>
          <w:rFonts w:asciiTheme="majorBidi" w:hAnsiTheme="majorBidi" w:cstheme="majorBidi"/>
          <w:sz w:val="24"/>
          <w:szCs w:val="24"/>
          <w:lang w:val="sv-SE"/>
        </w:rPr>
        <w:t>). Berdasarkan pendapat Hair dan rekan-rekannya, jika angka VIF di bawah 10, maka multikolinearitas tidak terjadi.</w:t>
      </w:r>
    </w:p>
    <w:p w14:paraId="7D47B177" w14:textId="69443A5D" w:rsidR="004970CB" w:rsidRPr="004970CB" w:rsidRDefault="00790320" w:rsidP="004970CB">
      <w:pPr>
        <w:pStyle w:val="ListParagraph"/>
        <w:spacing w:line="360" w:lineRule="auto"/>
        <w:ind w:left="1440" w:firstLine="545"/>
        <w:jc w:val="both"/>
        <w:rPr>
          <w:rFonts w:asciiTheme="majorBidi" w:hAnsiTheme="majorBidi" w:cstheme="majorBidi"/>
          <w:sz w:val="24"/>
          <w:szCs w:val="24"/>
          <w:lang w:val="sv-SE"/>
        </w:rPr>
      </w:pPr>
      <w:r w:rsidRPr="00790320">
        <w:rPr>
          <w:rFonts w:asciiTheme="majorBidi" w:hAnsiTheme="majorBidi" w:cstheme="majorBidi"/>
          <w:sz w:val="24"/>
          <w:szCs w:val="24"/>
          <w:lang w:val="sv-SE"/>
        </w:rPr>
        <w:t xml:space="preserve">Dengan semua asumsi regresi linier yang telah dipenuhi, model yang dihasilkan dianggap memadai untuk mengamati dampak dari variabel-variabel bebas terhadap variabel terikat. Selanjutnya, model dapat dimanfaatkan sebagai alat untuk memprediksi. Kemudian, lakukan pengujian untuk mengevaluasi keandalan </w:t>
      </w:r>
      <w:r w:rsidRPr="00790320">
        <w:rPr>
          <w:rFonts w:asciiTheme="majorBidi" w:hAnsiTheme="majorBidi" w:cstheme="majorBidi"/>
          <w:sz w:val="24"/>
          <w:szCs w:val="24"/>
          <w:lang w:val="sv-SE"/>
        </w:rPr>
        <w:lastRenderedPageBreak/>
        <w:t>model secara keseluruhan (uji simultan) dan pengujian untuk mengevaluasi keandalan masing-masing variabel (uji parsial)</w:t>
      </w:r>
      <w:r w:rsidR="004970CB">
        <w:rPr>
          <w:rFonts w:asciiTheme="majorBidi" w:hAnsiTheme="majorBidi" w:cstheme="majorBidi"/>
          <w:sz w:val="24"/>
          <w:szCs w:val="24"/>
          <w:lang w:val="sv-SE"/>
        </w:rPr>
        <w:t>.</w:t>
      </w:r>
      <w:r w:rsidR="004970CB">
        <w:rPr>
          <w:rStyle w:val="FootnoteReference"/>
          <w:rFonts w:asciiTheme="majorBidi" w:hAnsiTheme="majorBidi" w:cstheme="majorBidi"/>
          <w:sz w:val="24"/>
          <w:szCs w:val="24"/>
          <w:lang w:val="sv-SE"/>
        </w:rPr>
        <w:footnoteReference w:id="114"/>
      </w:r>
    </w:p>
    <w:p w14:paraId="7F610C54" w14:textId="0E7CA5B6" w:rsidR="002E7308" w:rsidRPr="00B51544" w:rsidRDefault="002E7308">
      <w:pPr>
        <w:pStyle w:val="ListParagraph"/>
        <w:numPr>
          <w:ilvl w:val="0"/>
          <w:numId w:val="7"/>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Uji </w:t>
      </w:r>
      <w:r w:rsidR="00D048A4" w:rsidRPr="00B51544">
        <w:rPr>
          <w:rFonts w:asciiTheme="majorBidi" w:hAnsiTheme="majorBidi" w:cstheme="majorBidi"/>
          <w:sz w:val="24"/>
          <w:szCs w:val="24"/>
          <w:lang w:val="sv-SE"/>
        </w:rPr>
        <w:t>H</w:t>
      </w:r>
      <w:r w:rsidRPr="00B51544">
        <w:rPr>
          <w:rFonts w:asciiTheme="majorBidi" w:hAnsiTheme="majorBidi" w:cstheme="majorBidi"/>
          <w:sz w:val="24"/>
          <w:szCs w:val="24"/>
          <w:lang w:val="sv-SE"/>
        </w:rPr>
        <w:t>eterokedastisitas</w:t>
      </w:r>
    </w:p>
    <w:p w14:paraId="487D0B81" w14:textId="6321D348" w:rsidR="00CF2B0C" w:rsidRPr="00B51544" w:rsidRDefault="00790320" w:rsidP="00B51544">
      <w:pPr>
        <w:pStyle w:val="ListParagraph"/>
        <w:spacing w:line="360" w:lineRule="auto"/>
        <w:ind w:left="1440" w:firstLine="545"/>
        <w:jc w:val="both"/>
        <w:rPr>
          <w:rFonts w:asciiTheme="majorBidi" w:hAnsiTheme="majorBidi" w:cstheme="majorBidi"/>
          <w:sz w:val="24"/>
          <w:szCs w:val="24"/>
          <w:lang w:val="sv-SE"/>
        </w:rPr>
      </w:pPr>
      <w:r w:rsidRPr="00790320">
        <w:rPr>
          <w:rFonts w:asciiTheme="majorBidi" w:hAnsiTheme="majorBidi" w:cstheme="majorBidi"/>
          <w:sz w:val="24"/>
          <w:szCs w:val="24"/>
          <w:lang w:val="sv-SE"/>
        </w:rPr>
        <w:t>Uji Heteroskedastisitas bertujuan untuk mengidentifikasi apakah terdapat perbedaan varians dari residual antar pengamatan. Untuk mendeteksi heteroskedastisitas, salah satu cara yang bisa digunakan adalah dengan membuat scatter plot yang memetakan nilai ZPRED (nilai prediksi) terhadap SRESID (nilai residual). Sebuah model dianggap baik apabila grafik tidak menunjukkan pola khusus, seperti berkumpul di tengah, menyempit lalu melebar, atau sebaliknya melebar kemudian menyempit. Uji statistik yang dapat diterapkan adalah uji Glejser. Beberapa alternatif solusi jika model melanggar asumsi heteroskedastisitas adalah dengan melakukan transformasi ke bentuk logaritma, yang hanya bisa dilakukan jika semua variabel terlibat memiliki masalah heteroskedastisitas. Jika varians dari residual antar pengamatan tetap, maka kondisi tersebut disebut homoskedastisitas, sementara jika bervariasi disebut heteroskedastisitas.</w:t>
      </w:r>
      <w:r w:rsidR="00CF2B0C" w:rsidRPr="00B51544">
        <w:rPr>
          <w:rFonts w:asciiTheme="majorBidi" w:hAnsiTheme="majorBidi" w:cstheme="majorBidi"/>
          <w:sz w:val="24"/>
          <w:szCs w:val="24"/>
          <w:lang w:val="sv-SE"/>
        </w:rPr>
        <w:t xml:space="preserve"> Dengan nilai signifikansi &gt; α = 0,05, kesimpulannya adalah tidak terjadi heteroskedastisitas.</w:t>
      </w:r>
      <w:r w:rsidR="00CF2B0C" w:rsidRPr="00B51544">
        <w:rPr>
          <w:rStyle w:val="FootnoteReference"/>
          <w:rFonts w:asciiTheme="majorBidi" w:hAnsiTheme="majorBidi" w:cstheme="majorBidi"/>
          <w:sz w:val="24"/>
          <w:szCs w:val="24"/>
          <w:lang w:val="sv-SE"/>
        </w:rPr>
        <w:footnoteReference w:id="115"/>
      </w:r>
    </w:p>
    <w:p w14:paraId="26305D42" w14:textId="159518BE" w:rsidR="002E7308" w:rsidRPr="00B51544" w:rsidRDefault="002E7308">
      <w:pPr>
        <w:pStyle w:val="ListParagraph"/>
        <w:numPr>
          <w:ilvl w:val="0"/>
          <w:numId w:val="7"/>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Uji Autokorelasi</w:t>
      </w:r>
    </w:p>
    <w:p w14:paraId="209F3E53" w14:textId="21E317FD" w:rsidR="007763B2" w:rsidRPr="00B51544" w:rsidRDefault="00790320" w:rsidP="00B51544">
      <w:pPr>
        <w:pStyle w:val="ListParagraph"/>
        <w:spacing w:line="360" w:lineRule="auto"/>
        <w:ind w:left="1440" w:firstLine="545"/>
        <w:jc w:val="both"/>
        <w:rPr>
          <w:rFonts w:asciiTheme="majorBidi" w:hAnsiTheme="majorBidi" w:cstheme="majorBidi"/>
          <w:sz w:val="24"/>
          <w:szCs w:val="24"/>
          <w:lang w:val="sv-SE"/>
        </w:rPr>
      </w:pPr>
      <w:r w:rsidRPr="00790320">
        <w:rPr>
          <w:rFonts w:asciiTheme="majorBidi" w:hAnsiTheme="majorBidi" w:cstheme="majorBidi"/>
          <w:sz w:val="24"/>
          <w:szCs w:val="24"/>
          <w:lang w:val="sv-SE"/>
        </w:rPr>
        <w:t>Uji autokorelasi dilakukan untuk menganalisis adanya keterkaitan antara satu data dan data lainnya dalam variabel yang sama. Salah satu metode untuk mengidentifikasi autokorelasi adalah dengan memeriksa nilai Durbin - Watson (D-W)</w:t>
      </w:r>
      <w:r w:rsidR="00DF5B72" w:rsidRPr="00B51544">
        <w:rPr>
          <w:rStyle w:val="FootnoteReference"/>
          <w:rFonts w:asciiTheme="majorBidi" w:hAnsiTheme="majorBidi" w:cstheme="majorBidi"/>
          <w:sz w:val="24"/>
          <w:szCs w:val="24"/>
          <w:lang w:val="sv-SE"/>
        </w:rPr>
        <w:footnoteReference w:id="116"/>
      </w:r>
      <w:r w:rsidR="00066E89" w:rsidRPr="00B51544">
        <w:rPr>
          <w:rFonts w:asciiTheme="majorBidi" w:hAnsiTheme="majorBidi" w:cstheme="majorBidi"/>
          <w:sz w:val="24"/>
          <w:szCs w:val="24"/>
          <w:lang w:val="sv-SE"/>
        </w:rPr>
        <w:t xml:space="preserve"> :</w:t>
      </w:r>
    </w:p>
    <w:p w14:paraId="7155BFA0" w14:textId="5F914460" w:rsidR="00066E89" w:rsidRPr="00B51544" w:rsidRDefault="00066E89">
      <w:pPr>
        <w:pStyle w:val="ListParagraph"/>
        <w:numPr>
          <w:ilvl w:val="0"/>
          <w:numId w:val="10"/>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Jika nilai D-W dibawah -2 berarti ada autokorelasi positif.</w:t>
      </w:r>
    </w:p>
    <w:p w14:paraId="051498B0" w14:textId="4E30B85C" w:rsidR="00066E89" w:rsidRPr="00B51544" w:rsidRDefault="00066E89">
      <w:pPr>
        <w:pStyle w:val="ListParagraph"/>
        <w:numPr>
          <w:ilvl w:val="0"/>
          <w:numId w:val="10"/>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Jika nilai D-W diantara -2 sampai 2 berarti tidak ada autokorelasi.</w:t>
      </w:r>
    </w:p>
    <w:p w14:paraId="1F4252C5" w14:textId="4BA49130" w:rsidR="009E3DCE" w:rsidRPr="00B17575" w:rsidRDefault="00066E89">
      <w:pPr>
        <w:pStyle w:val="ListParagraph"/>
        <w:numPr>
          <w:ilvl w:val="0"/>
          <w:numId w:val="10"/>
        </w:num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Jika nilai D-W diatas 2 berarti ada autokorelasi negatif.</w:t>
      </w:r>
    </w:p>
    <w:p w14:paraId="5E9C8A74" w14:textId="77777777" w:rsidR="00377CB4" w:rsidRDefault="00377CB4" w:rsidP="00B51544">
      <w:pPr>
        <w:pStyle w:val="ListParagraph"/>
        <w:spacing w:line="360" w:lineRule="auto"/>
        <w:ind w:left="1800"/>
        <w:jc w:val="both"/>
        <w:rPr>
          <w:rFonts w:asciiTheme="majorBidi" w:hAnsiTheme="majorBidi" w:cstheme="majorBidi"/>
          <w:sz w:val="24"/>
          <w:szCs w:val="24"/>
          <w:lang w:val="pt-BR"/>
        </w:rPr>
      </w:pPr>
    </w:p>
    <w:p w14:paraId="178322B5" w14:textId="77777777" w:rsidR="004F6C85" w:rsidRDefault="004F6C85" w:rsidP="00B51544">
      <w:pPr>
        <w:pStyle w:val="ListParagraph"/>
        <w:spacing w:line="360" w:lineRule="auto"/>
        <w:ind w:left="1800"/>
        <w:jc w:val="both"/>
        <w:rPr>
          <w:rFonts w:asciiTheme="majorBidi" w:hAnsiTheme="majorBidi" w:cstheme="majorBidi"/>
          <w:sz w:val="24"/>
          <w:szCs w:val="24"/>
          <w:lang w:val="pt-BR"/>
        </w:rPr>
      </w:pPr>
    </w:p>
    <w:p w14:paraId="05F1E1FB" w14:textId="77777777" w:rsidR="004F6C85" w:rsidRPr="00B51544" w:rsidRDefault="004F6C85" w:rsidP="00B51544">
      <w:pPr>
        <w:pStyle w:val="ListParagraph"/>
        <w:spacing w:line="360" w:lineRule="auto"/>
        <w:ind w:left="1800"/>
        <w:jc w:val="both"/>
        <w:rPr>
          <w:rFonts w:asciiTheme="majorBidi" w:hAnsiTheme="majorBidi" w:cstheme="majorBidi"/>
          <w:sz w:val="24"/>
          <w:szCs w:val="24"/>
          <w:lang w:val="pt-BR"/>
        </w:rPr>
      </w:pPr>
    </w:p>
    <w:p w14:paraId="013421E2" w14:textId="0D06F0EC" w:rsidR="002E7308" w:rsidRPr="00B51544" w:rsidRDefault="002E7308">
      <w:pPr>
        <w:pStyle w:val="ListParagraph"/>
        <w:numPr>
          <w:ilvl w:val="0"/>
          <w:numId w:val="6"/>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 xml:space="preserve">Analisis </w:t>
      </w:r>
      <w:r w:rsidR="001114A2" w:rsidRPr="00B51544">
        <w:rPr>
          <w:rFonts w:asciiTheme="majorBidi" w:hAnsiTheme="majorBidi" w:cstheme="majorBidi"/>
          <w:sz w:val="24"/>
          <w:szCs w:val="24"/>
          <w:lang w:val="sv-SE"/>
        </w:rPr>
        <w:t>Data</w:t>
      </w:r>
    </w:p>
    <w:p w14:paraId="3237857B" w14:textId="77777777" w:rsidR="00CF2B0C" w:rsidRPr="00B51544" w:rsidRDefault="001114A2" w:rsidP="00B51544">
      <w:pPr>
        <w:pStyle w:val="ListParagraph"/>
        <w:spacing w:line="360" w:lineRule="auto"/>
        <w:ind w:left="1080" w:firstLine="621"/>
        <w:jc w:val="both"/>
        <w:rPr>
          <w:rFonts w:asciiTheme="majorBidi" w:hAnsiTheme="majorBidi" w:cstheme="majorBidi"/>
          <w:sz w:val="24"/>
          <w:szCs w:val="24"/>
          <w:lang w:val="sv-SE"/>
        </w:rPr>
      </w:pPr>
      <w:r w:rsidRPr="00B51544">
        <w:rPr>
          <w:rFonts w:asciiTheme="majorBidi" w:hAnsiTheme="majorBidi" w:cstheme="majorBidi"/>
          <w:sz w:val="24"/>
          <w:szCs w:val="24"/>
          <w:lang w:val="sv-SE"/>
        </w:rPr>
        <w:t>Analisis data menggunakan a</w:t>
      </w:r>
      <w:r w:rsidR="004E7082" w:rsidRPr="00B51544">
        <w:rPr>
          <w:rFonts w:asciiTheme="majorBidi" w:hAnsiTheme="majorBidi" w:cstheme="majorBidi"/>
          <w:sz w:val="24"/>
          <w:szCs w:val="24"/>
          <w:lang w:val="sv-SE"/>
        </w:rPr>
        <w:t>nalisis regresi berganda</w:t>
      </w:r>
      <w:r w:rsidRPr="00B51544">
        <w:rPr>
          <w:rFonts w:asciiTheme="majorBidi" w:hAnsiTheme="majorBidi" w:cstheme="majorBidi"/>
          <w:sz w:val="24"/>
          <w:szCs w:val="24"/>
          <w:lang w:val="sv-SE"/>
        </w:rPr>
        <w:t xml:space="preserve">, </w:t>
      </w:r>
      <w:r w:rsidR="004E7082" w:rsidRPr="00B51544">
        <w:rPr>
          <w:rFonts w:asciiTheme="majorBidi" w:hAnsiTheme="majorBidi" w:cstheme="majorBidi"/>
          <w:sz w:val="24"/>
          <w:szCs w:val="24"/>
          <w:lang w:val="sv-SE"/>
        </w:rPr>
        <w:t>bila peneliti bermaksud meramalkan keadaan (naik turunnya) variabel dependen (kriterium), bila dua atau lebih variabel independen sebagai faktor prediktor dimanipulasi</w:t>
      </w:r>
      <w:r w:rsidR="005A306F" w:rsidRPr="00B51544">
        <w:rPr>
          <w:rFonts w:asciiTheme="majorBidi" w:hAnsiTheme="majorBidi" w:cstheme="majorBidi"/>
          <w:sz w:val="24"/>
          <w:szCs w:val="24"/>
          <w:lang w:val="sv-SE"/>
        </w:rPr>
        <w:t>.</w:t>
      </w:r>
      <w:r w:rsidR="005A306F" w:rsidRPr="00B51544">
        <w:rPr>
          <w:rStyle w:val="FootnoteReference"/>
          <w:rFonts w:asciiTheme="majorBidi" w:hAnsiTheme="majorBidi" w:cstheme="majorBidi"/>
          <w:sz w:val="24"/>
          <w:szCs w:val="24"/>
          <w:lang w:val="sv-SE"/>
        </w:rPr>
        <w:footnoteReference w:id="117"/>
      </w:r>
    </w:p>
    <w:p w14:paraId="6B7D041F" w14:textId="04BC4404" w:rsidR="00B67350" w:rsidRPr="00D17A2E" w:rsidRDefault="00BF5B06" w:rsidP="00D17A2E">
      <w:pPr>
        <w:pStyle w:val="ListParagraph"/>
        <w:spacing w:line="360" w:lineRule="auto"/>
        <w:ind w:left="1080" w:firstLine="621"/>
        <w:jc w:val="both"/>
        <w:rPr>
          <w:rFonts w:asciiTheme="majorBidi" w:hAnsiTheme="majorBidi" w:cstheme="majorBidi"/>
          <w:sz w:val="24"/>
          <w:szCs w:val="24"/>
          <w:lang w:val="sv-SE"/>
        </w:rPr>
      </w:pPr>
      <w:r w:rsidRPr="00B51544">
        <w:rPr>
          <w:rFonts w:asciiTheme="majorBidi" w:hAnsiTheme="majorBidi" w:cstheme="majorBidi"/>
          <w:sz w:val="24"/>
          <w:szCs w:val="24"/>
          <w:lang w:val="sv-SE"/>
        </w:rPr>
        <w:t>Adapun penelitian ini menguji hipotesis dengan menggunakan model regresi linier berganda untuk memperoleh gambaran mengenai pengaruh risiko pembiayaan, risiko likuiditas dan nisbah bagi hasil terhadap deposito mudharabah di Bank Muamalat Indonesia. Berikut persamaan regresi linier berganda dalam penelitian ini :</w:t>
      </w:r>
      <w:r w:rsidR="008C507D" w:rsidRPr="00B51544">
        <w:rPr>
          <w:noProof/>
          <w:lang w:val="sv-SE"/>
        </w:rPr>
        <mc:AlternateContent>
          <mc:Choice Requires="wps">
            <w:drawing>
              <wp:anchor distT="0" distB="0" distL="114300" distR="114300" simplePos="0" relativeHeight="251682816" behindDoc="0" locked="0" layoutInCell="1" allowOverlap="1" wp14:anchorId="7FC951F0" wp14:editId="69AEDD6A">
                <wp:simplePos x="0" y="0"/>
                <wp:positionH relativeFrom="column">
                  <wp:posOffset>2409825</wp:posOffset>
                </wp:positionH>
                <wp:positionV relativeFrom="paragraph">
                  <wp:posOffset>80010</wp:posOffset>
                </wp:positionV>
                <wp:extent cx="2143125" cy="323850"/>
                <wp:effectExtent l="0" t="0" r="0" b="0"/>
                <wp:wrapNone/>
                <wp:docPr id="285487030" name="Text Box 4"/>
                <wp:cNvGraphicFramePr/>
                <a:graphic xmlns:a="http://schemas.openxmlformats.org/drawingml/2006/main">
                  <a:graphicData uri="http://schemas.microsoft.com/office/word/2010/wordprocessingShape">
                    <wps:wsp>
                      <wps:cNvSpPr txBox="1"/>
                      <wps:spPr>
                        <a:xfrm>
                          <a:off x="0" y="0"/>
                          <a:ext cx="2143125" cy="3238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CAB7BE" w14:textId="77777777" w:rsidR="00BF5B06" w:rsidRPr="008C507D" w:rsidRDefault="00BF5B06">
                            <w:pPr>
                              <w:rPr>
                                <w:rFonts w:asciiTheme="majorBidi" w:hAnsiTheme="majorBidi" w:cstheme="majorBidi"/>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951F0" id="_x0000_s1034" type="#_x0000_t202" style="position:absolute;left:0;text-align:left;margin-left:189.75pt;margin-top:6.3pt;width:168.7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" filled="f" stroked="f">
                <v:textbox>
                  <w:txbxContent>
                    <w:p w14:paraId="38CAB7BE" w14:textId="77777777" w:rsidR="00BF5B06" w:rsidRPr="008C507D" w:rsidRDefault="00BF5B06">
                      <w:pPr>
                        <w:rPr>
                          <w:rFonts w:asciiTheme="majorBidi" w:hAnsiTheme="majorBidi" w:cstheme="majorBidi"/>
                          <w:sz w:val="24"/>
                          <w:szCs w:val="24"/>
                          <w:lang w:val="en-US"/>
                        </w:rPr>
                      </w:pPr>
                    </w:p>
                  </w:txbxContent>
                </v:textbox>
              </v:shape>
            </w:pict>
          </mc:Fallback>
        </mc:AlternateContent>
      </w:r>
    </w:p>
    <w:p w14:paraId="613F76E5" w14:textId="2F80CDBD" w:rsidR="00BF5B06" w:rsidRPr="00B51544" w:rsidRDefault="008C507D" w:rsidP="00B51544">
      <w:pPr>
        <w:spacing w:line="360" w:lineRule="auto"/>
        <w:ind w:left="1134"/>
        <w:jc w:val="both"/>
        <w:rPr>
          <w:rFonts w:asciiTheme="majorBidi" w:hAnsiTheme="majorBidi" w:cstheme="majorBidi"/>
          <w:sz w:val="24"/>
          <w:szCs w:val="24"/>
          <w:lang w:val="sv-SE"/>
        </w:rPr>
      </w:pPr>
      <w:r w:rsidRPr="00B51544">
        <w:rPr>
          <w:rFonts w:asciiTheme="majorBidi" w:hAnsiTheme="majorBidi" w:cstheme="majorBidi"/>
          <w:sz w:val="24"/>
          <w:szCs w:val="24"/>
          <w:lang w:val="sv-SE"/>
        </w:rPr>
        <w:t>Keterangan :</w:t>
      </w:r>
    </w:p>
    <w:p w14:paraId="68767AF1" w14:textId="6F723D30" w:rsidR="008C507D" w:rsidRPr="00B51544" w:rsidRDefault="008C507D" w:rsidP="00E17038">
      <w:pPr>
        <w:spacing w:after="0" w:line="360" w:lineRule="auto"/>
        <w:ind w:left="1134"/>
        <w:jc w:val="both"/>
        <w:rPr>
          <w:rFonts w:asciiTheme="majorBidi" w:hAnsiTheme="majorBidi" w:cstheme="majorBidi"/>
          <w:sz w:val="24"/>
          <w:szCs w:val="24"/>
          <w:lang w:val="sv-SE"/>
        </w:rPr>
      </w:pPr>
      <w:r w:rsidRPr="00B51544">
        <w:rPr>
          <w:rFonts w:asciiTheme="majorBidi" w:hAnsiTheme="majorBidi" w:cstheme="majorBidi"/>
          <w:sz w:val="24"/>
          <w:szCs w:val="24"/>
          <w:lang w:val="sv-SE"/>
        </w:rPr>
        <w:t>Y</w:t>
      </w:r>
      <w:r w:rsidR="00CD1033" w:rsidRPr="00B51544">
        <w:rPr>
          <w:rFonts w:asciiTheme="majorBidi" w:hAnsiTheme="majorBidi" w:cstheme="majorBidi"/>
          <w:sz w:val="24"/>
          <w:szCs w:val="24"/>
          <w:lang w:val="sv-SE"/>
        </w:rPr>
        <w:tab/>
      </w:r>
      <w:r w:rsidR="00CD1033" w:rsidRPr="00B51544">
        <w:rPr>
          <w:rFonts w:asciiTheme="majorBidi" w:hAnsiTheme="majorBidi" w:cstheme="majorBidi"/>
          <w:sz w:val="24"/>
          <w:szCs w:val="24"/>
          <w:lang w:val="sv-SE"/>
        </w:rPr>
        <w:tab/>
      </w:r>
      <w:r w:rsidRPr="00B51544">
        <w:rPr>
          <w:rFonts w:asciiTheme="majorBidi" w:hAnsiTheme="majorBidi" w:cstheme="majorBidi"/>
          <w:sz w:val="24"/>
          <w:szCs w:val="24"/>
          <w:lang w:val="sv-SE"/>
        </w:rPr>
        <w:t>:</w:t>
      </w:r>
      <w:r w:rsidR="00991E7C" w:rsidRPr="00B51544">
        <w:rPr>
          <w:rFonts w:asciiTheme="majorBidi" w:hAnsiTheme="majorBidi" w:cstheme="majorBidi"/>
          <w:sz w:val="24"/>
          <w:szCs w:val="24"/>
          <w:lang w:val="sv-SE"/>
        </w:rPr>
        <w:t xml:space="preserve"> Deposito Mudharabah</w:t>
      </w:r>
    </w:p>
    <w:p w14:paraId="45C6973A" w14:textId="317D5827" w:rsidR="008C507D" w:rsidRPr="00B51544" w:rsidRDefault="00CD1033" w:rsidP="00E17038">
      <w:pPr>
        <w:spacing w:after="0" w:line="360" w:lineRule="auto"/>
        <w:ind w:left="1134"/>
        <w:jc w:val="both"/>
        <w:rPr>
          <w:rFonts w:asciiTheme="majorBidi" w:hAnsiTheme="majorBidi" w:cstheme="majorBidi"/>
          <w:sz w:val="24"/>
          <w:szCs w:val="24"/>
          <w:lang w:val="sv-SE"/>
        </w:rPr>
      </w:pPr>
      <w:r w:rsidRPr="00B51544">
        <w:rPr>
          <w:rFonts w:asciiTheme="majorBidi" w:hAnsiTheme="majorBidi" w:cstheme="majorBidi"/>
          <w:sz w:val="24"/>
          <w:szCs w:val="24"/>
          <w:lang w:val="sv-SE"/>
        </w:rPr>
        <w:t>α</w:t>
      </w:r>
      <w:r w:rsidRPr="00B51544">
        <w:rPr>
          <w:rFonts w:asciiTheme="majorBidi" w:hAnsiTheme="majorBidi" w:cstheme="majorBidi"/>
          <w:sz w:val="24"/>
          <w:szCs w:val="24"/>
          <w:lang w:val="sv-SE"/>
        </w:rPr>
        <w:tab/>
      </w:r>
      <w:r w:rsidRPr="00B51544">
        <w:rPr>
          <w:rFonts w:asciiTheme="majorBidi" w:hAnsiTheme="majorBidi" w:cstheme="majorBidi"/>
          <w:sz w:val="24"/>
          <w:szCs w:val="24"/>
          <w:lang w:val="sv-SE"/>
        </w:rPr>
        <w:tab/>
      </w:r>
      <w:r w:rsidR="008C507D" w:rsidRPr="00B51544">
        <w:rPr>
          <w:rFonts w:asciiTheme="majorBidi" w:hAnsiTheme="majorBidi" w:cstheme="majorBidi"/>
          <w:sz w:val="24"/>
          <w:szCs w:val="24"/>
          <w:lang w:val="sv-SE"/>
        </w:rPr>
        <w:t>:</w:t>
      </w:r>
      <w:r w:rsidR="00991E7C" w:rsidRPr="00B51544">
        <w:rPr>
          <w:rFonts w:asciiTheme="majorBidi" w:hAnsiTheme="majorBidi" w:cstheme="majorBidi"/>
          <w:sz w:val="24"/>
          <w:szCs w:val="24"/>
          <w:lang w:val="sv-SE"/>
        </w:rPr>
        <w:t xml:space="preserve"> Konstanta</w:t>
      </w:r>
    </w:p>
    <w:p w14:paraId="46340FF0" w14:textId="4072D0C4" w:rsidR="008C507D" w:rsidRPr="00B51544" w:rsidRDefault="008C507D" w:rsidP="00E17038">
      <w:pPr>
        <w:spacing w:after="0" w:line="360" w:lineRule="auto"/>
        <w:ind w:left="1134"/>
        <w:jc w:val="both"/>
        <w:rPr>
          <w:rFonts w:asciiTheme="majorBidi" w:hAnsiTheme="majorBidi" w:cstheme="majorBidi"/>
          <w:sz w:val="24"/>
          <w:szCs w:val="24"/>
          <w:lang w:val="sv-SE"/>
        </w:rPr>
      </w:pPr>
      <w:r w:rsidRPr="00B51544">
        <w:rPr>
          <w:rFonts w:asciiTheme="majorBidi" w:hAnsiTheme="majorBidi" w:cstheme="majorBidi"/>
          <w:sz w:val="24"/>
          <w:szCs w:val="24"/>
          <w:lang w:val="sv-SE"/>
        </w:rPr>
        <w:t>β</w:t>
      </w:r>
      <w:r w:rsidRPr="00B51544">
        <w:rPr>
          <w:rFonts w:asciiTheme="majorBidi" w:hAnsiTheme="majorBidi" w:cstheme="majorBidi"/>
          <w:sz w:val="24"/>
          <w:szCs w:val="24"/>
          <w:vertAlign w:val="subscript"/>
          <w:lang w:val="sv-SE"/>
        </w:rPr>
        <w:t>1</w:t>
      </w:r>
      <w:r w:rsidR="00CD1033" w:rsidRPr="00B51544">
        <w:rPr>
          <w:rFonts w:asciiTheme="majorBidi" w:hAnsiTheme="majorBidi" w:cstheme="majorBidi"/>
          <w:sz w:val="24"/>
          <w:szCs w:val="24"/>
          <w:lang w:val="sv-SE"/>
        </w:rPr>
        <w:t>,</w:t>
      </w:r>
      <w:r w:rsidR="00CD1033" w:rsidRPr="00B51544">
        <w:rPr>
          <w:rFonts w:asciiTheme="majorBidi" w:hAnsiTheme="majorBidi" w:cstheme="majorBidi"/>
          <w:sz w:val="24"/>
          <w:szCs w:val="24"/>
          <w:vertAlign w:val="subscript"/>
          <w:lang w:val="sv-SE"/>
        </w:rPr>
        <w:t xml:space="preserve"> </w:t>
      </w:r>
      <w:r w:rsidR="00CD1033" w:rsidRPr="00B51544">
        <w:rPr>
          <w:rFonts w:asciiTheme="majorBidi" w:hAnsiTheme="majorBidi" w:cstheme="majorBidi"/>
          <w:sz w:val="24"/>
          <w:szCs w:val="24"/>
          <w:lang w:val="sv-SE"/>
        </w:rPr>
        <w:t>β</w:t>
      </w:r>
      <w:r w:rsidR="00CD1033" w:rsidRPr="00B51544">
        <w:rPr>
          <w:rFonts w:asciiTheme="majorBidi" w:hAnsiTheme="majorBidi" w:cstheme="majorBidi"/>
          <w:sz w:val="24"/>
          <w:szCs w:val="24"/>
          <w:vertAlign w:val="subscript"/>
          <w:lang w:val="sv-SE"/>
        </w:rPr>
        <w:t>2</w:t>
      </w:r>
      <w:r w:rsidR="00CD1033" w:rsidRPr="00B51544">
        <w:rPr>
          <w:rFonts w:asciiTheme="majorBidi" w:hAnsiTheme="majorBidi" w:cstheme="majorBidi"/>
          <w:sz w:val="24"/>
          <w:szCs w:val="24"/>
          <w:lang w:val="sv-SE"/>
        </w:rPr>
        <w:t>,</w:t>
      </w:r>
      <w:r w:rsidR="00CD1033" w:rsidRPr="00B51544">
        <w:rPr>
          <w:rFonts w:asciiTheme="majorBidi" w:hAnsiTheme="majorBidi" w:cstheme="majorBidi"/>
          <w:sz w:val="24"/>
          <w:szCs w:val="24"/>
          <w:vertAlign w:val="subscript"/>
          <w:lang w:val="sv-SE"/>
        </w:rPr>
        <w:t xml:space="preserve"> </w:t>
      </w:r>
      <w:r w:rsidR="00CD1033" w:rsidRPr="00B51544">
        <w:rPr>
          <w:rFonts w:asciiTheme="majorBidi" w:hAnsiTheme="majorBidi" w:cstheme="majorBidi"/>
          <w:sz w:val="24"/>
          <w:szCs w:val="24"/>
          <w:lang w:val="sv-SE"/>
        </w:rPr>
        <w:t>β</w:t>
      </w:r>
      <w:r w:rsidR="00CD1033" w:rsidRPr="00B51544">
        <w:rPr>
          <w:rFonts w:asciiTheme="majorBidi" w:hAnsiTheme="majorBidi" w:cstheme="majorBidi"/>
          <w:sz w:val="24"/>
          <w:szCs w:val="24"/>
          <w:vertAlign w:val="subscript"/>
          <w:lang w:val="sv-SE"/>
        </w:rPr>
        <w:t>3</w:t>
      </w:r>
      <w:r w:rsidR="00CD1033" w:rsidRPr="00B51544">
        <w:rPr>
          <w:rFonts w:asciiTheme="majorBidi" w:hAnsiTheme="majorBidi" w:cstheme="majorBidi"/>
          <w:sz w:val="24"/>
          <w:szCs w:val="24"/>
          <w:lang w:val="sv-SE"/>
        </w:rPr>
        <w:tab/>
      </w:r>
      <w:r w:rsidRPr="00B51544">
        <w:rPr>
          <w:rFonts w:asciiTheme="majorBidi" w:hAnsiTheme="majorBidi" w:cstheme="majorBidi"/>
          <w:sz w:val="24"/>
          <w:szCs w:val="24"/>
          <w:lang w:val="sv-SE"/>
        </w:rPr>
        <w:t>:</w:t>
      </w:r>
      <w:r w:rsidR="00991E7C" w:rsidRPr="00B51544">
        <w:rPr>
          <w:rFonts w:asciiTheme="majorBidi" w:hAnsiTheme="majorBidi" w:cstheme="majorBidi"/>
          <w:sz w:val="24"/>
          <w:szCs w:val="24"/>
          <w:lang w:val="sv-SE"/>
        </w:rPr>
        <w:t xml:space="preserve"> Koefisien </w:t>
      </w:r>
      <w:r w:rsidR="00CD1033" w:rsidRPr="00B51544">
        <w:rPr>
          <w:rFonts w:asciiTheme="majorBidi" w:hAnsiTheme="majorBidi" w:cstheme="majorBidi"/>
          <w:sz w:val="24"/>
          <w:szCs w:val="24"/>
          <w:lang w:val="sv-SE"/>
        </w:rPr>
        <w:t>dari masing – masing variabel X</w:t>
      </w:r>
      <w:r w:rsidR="00CD1033" w:rsidRPr="00B51544">
        <w:rPr>
          <w:rFonts w:asciiTheme="majorBidi" w:hAnsiTheme="majorBidi" w:cstheme="majorBidi"/>
          <w:sz w:val="24"/>
          <w:szCs w:val="24"/>
          <w:vertAlign w:val="subscript"/>
          <w:lang w:val="sv-SE"/>
        </w:rPr>
        <w:t>1</w:t>
      </w:r>
      <w:r w:rsidR="00CD1033" w:rsidRPr="00B51544">
        <w:rPr>
          <w:rFonts w:asciiTheme="majorBidi" w:hAnsiTheme="majorBidi" w:cstheme="majorBidi"/>
          <w:sz w:val="24"/>
          <w:szCs w:val="24"/>
          <w:lang w:val="sv-SE"/>
        </w:rPr>
        <w:t>, X</w:t>
      </w:r>
      <w:r w:rsidR="00CD1033" w:rsidRPr="00B51544">
        <w:rPr>
          <w:rFonts w:asciiTheme="majorBidi" w:hAnsiTheme="majorBidi" w:cstheme="majorBidi"/>
          <w:sz w:val="24"/>
          <w:szCs w:val="24"/>
          <w:vertAlign w:val="subscript"/>
          <w:lang w:val="sv-SE"/>
        </w:rPr>
        <w:t>2</w:t>
      </w:r>
      <w:r w:rsidR="00CD1033" w:rsidRPr="00B51544">
        <w:rPr>
          <w:rFonts w:asciiTheme="majorBidi" w:hAnsiTheme="majorBidi" w:cstheme="majorBidi"/>
          <w:sz w:val="24"/>
          <w:szCs w:val="24"/>
          <w:lang w:val="sv-SE"/>
        </w:rPr>
        <w:t>, X</w:t>
      </w:r>
      <w:r w:rsidR="00CD1033" w:rsidRPr="00B51544">
        <w:rPr>
          <w:rFonts w:asciiTheme="majorBidi" w:hAnsiTheme="majorBidi" w:cstheme="majorBidi"/>
          <w:sz w:val="24"/>
          <w:szCs w:val="24"/>
          <w:vertAlign w:val="subscript"/>
          <w:lang w:val="sv-SE"/>
        </w:rPr>
        <w:t>3</w:t>
      </w:r>
      <w:r w:rsidR="00CD1033" w:rsidRPr="00B51544">
        <w:rPr>
          <w:rFonts w:asciiTheme="majorBidi" w:hAnsiTheme="majorBidi" w:cstheme="majorBidi"/>
          <w:sz w:val="24"/>
          <w:szCs w:val="24"/>
          <w:lang w:val="sv-SE"/>
        </w:rPr>
        <w:t xml:space="preserve"> </w:t>
      </w:r>
    </w:p>
    <w:p w14:paraId="10E23C7B" w14:textId="0FBFCF57" w:rsidR="008C507D" w:rsidRPr="00B51544" w:rsidRDefault="008C507D" w:rsidP="00E17038">
      <w:pPr>
        <w:spacing w:after="0" w:line="360" w:lineRule="auto"/>
        <w:ind w:left="1134"/>
        <w:jc w:val="both"/>
        <w:rPr>
          <w:rFonts w:asciiTheme="majorBidi" w:hAnsiTheme="majorBidi" w:cstheme="majorBidi"/>
          <w:sz w:val="24"/>
          <w:szCs w:val="24"/>
          <w:lang w:val="sv-SE"/>
        </w:rPr>
      </w:pPr>
      <w:r w:rsidRPr="00B51544">
        <w:rPr>
          <w:rFonts w:asciiTheme="majorBidi" w:hAnsiTheme="majorBidi" w:cstheme="majorBidi"/>
          <w:sz w:val="24"/>
          <w:szCs w:val="24"/>
          <w:lang w:val="sv-SE"/>
        </w:rPr>
        <w:t>X</w:t>
      </w:r>
      <w:r w:rsidRPr="00B51544">
        <w:rPr>
          <w:rFonts w:asciiTheme="majorBidi" w:hAnsiTheme="majorBidi" w:cstheme="majorBidi"/>
          <w:sz w:val="24"/>
          <w:szCs w:val="24"/>
          <w:vertAlign w:val="subscript"/>
          <w:lang w:val="sv-SE"/>
        </w:rPr>
        <w:t>1</w:t>
      </w:r>
      <w:r w:rsidRPr="00B51544">
        <w:rPr>
          <w:rFonts w:asciiTheme="majorBidi" w:hAnsiTheme="majorBidi" w:cstheme="majorBidi"/>
          <w:sz w:val="24"/>
          <w:szCs w:val="24"/>
          <w:lang w:val="sv-SE"/>
        </w:rPr>
        <w:tab/>
      </w:r>
      <w:r w:rsidR="00CD1033" w:rsidRPr="00B51544">
        <w:rPr>
          <w:rFonts w:asciiTheme="majorBidi" w:hAnsiTheme="majorBidi" w:cstheme="majorBidi"/>
          <w:sz w:val="24"/>
          <w:szCs w:val="24"/>
          <w:lang w:val="sv-SE"/>
        </w:rPr>
        <w:tab/>
      </w:r>
      <w:r w:rsidRPr="00B51544">
        <w:rPr>
          <w:rFonts w:asciiTheme="majorBidi" w:hAnsiTheme="majorBidi" w:cstheme="majorBidi"/>
          <w:sz w:val="24"/>
          <w:szCs w:val="24"/>
          <w:lang w:val="sv-SE"/>
        </w:rPr>
        <w:t>:</w:t>
      </w:r>
      <w:r w:rsidR="00991E7C" w:rsidRPr="00B51544">
        <w:rPr>
          <w:rFonts w:asciiTheme="majorBidi" w:hAnsiTheme="majorBidi" w:cstheme="majorBidi"/>
          <w:sz w:val="24"/>
          <w:szCs w:val="24"/>
          <w:lang w:val="sv-SE"/>
        </w:rPr>
        <w:t xml:space="preserve"> Risiko Pembiayaan</w:t>
      </w:r>
    </w:p>
    <w:p w14:paraId="176FDC87" w14:textId="4C81F1CE" w:rsidR="008C507D" w:rsidRPr="00B51544" w:rsidRDefault="008C507D" w:rsidP="00E17038">
      <w:pPr>
        <w:spacing w:after="0" w:line="360" w:lineRule="auto"/>
        <w:ind w:left="1134"/>
        <w:jc w:val="both"/>
        <w:rPr>
          <w:rFonts w:asciiTheme="majorBidi" w:hAnsiTheme="majorBidi" w:cstheme="majorBidi"/>
          <w:sz w:val="24"/>
          <w:szCs w:val="24"/>
          <w:lang w:val="sv-SE"/>
        </w:rPr>
      </w:pPr>
      <w:r w:rsidRPr="00B51544">
        <w:rPr>
          <w:rFonts w:asciiTheme="majorBidi" w:hAnsiTheme="majorBidi" w:cstheme="majorBidi"/>
          <w:sz w:val="24"/>
          <w:szCs w:val="24"/>
          <w:lang w:val="sv-SE"/>
        </w:rPr>
        <w:t>X</w:t>
      </w:r>
      <w:r w:rsidR="00991E7C" w:rsidRPr="00B51544">
        <w:rPr>
          <w:rFonts w:asciiTheme="majorBidi" w:hAnsiTheme="majorBidi" w:cstheme="majorBidi"/>
          <w:sz w:val="24"/>
          <w:szCs w:val="24"/>
          <w:vertAlign w:val="subscript"/>
          <w:lang w:val="sv-SE"/>
        </w:rPr>
        <w:t>2</w:t>
      </w:r>
      <w:r w:rsidRPr="00B51544">
        <w:rPr>
          <w:rFonts w:asciiTheme="majorBidi" w:hAnsiTheme="majorBidi" w:cstheme="majorBidi"/>
          <w:sz w:val="24"/>
          <w:szCs w:val="24"/>
          <w:vertAlign w:val="subscript"/>
          <w:lang w:val="sv-SE"/>
        </w:rPr>
        <w:tab/>
      </w:r>
      <w:r w:rsidR="00CD1033" w:rsidRPr="00B51544">
        <w:rPr>
          <w:rFonts w:asciiTheme="majorBidi" w:hAnsiTheme="majorBidi" w:cstheme="majorBidi"/>
          <w:sz w:val="24"/>
          <w:szCs w:val="24"/>
          <w:vertAlign w:val="subscript"/>
          <w:lang w:val="sv-SE"/>
        </w:rPr>
        <w:tab/>
      </w:r>
      <w:r w:rsidR="00991E7C" w:rsidRPr="00B51544">
        <w:rPr>
          <w:rFonts w:asciiTheme="majorBidi" w:hAnsiTheme="majorBidi" w:cstheme="majorBidi"/>
          <w:sz w:val="24"/>
          <w:szCs w:val="24"/>
          <w:lang w:val="sv-SE"/>
        </w:rPr>
        <w:t>: Risiko Likuiditas</w:t>
      </w:r>
    </w:p>
    <w:p w14:paraId="1A258102" w14:textId="017188AE" w:rsidR="008C507D" w:rsidRPr="00B51544" w:rsidRDefault="00991E7C" w:rsidP="00E17038">
      <w:pPr>
        <w:spacing w:after="0" w:line="360" w:lineRule="auto"/>
        <w:ind w:left="1134"/>
        <w:jc w:val="both"/>
        <w:rPr>
          <w:rFonts w:asciiTheme="majorBidi" w:hAnsiTheme="majorBidi" w:cstheme="majorBidi"/>
          <w:sz w:val="24"/>
          <w:szCs w:val="24"/>
          <w:lang w:val="pt-BR"/>
        </w:rPr>
      </w:pPr>
      <w:r w:rsidRPr="00B51544">
        <w:rPr>
          <w:rFonts w:asciiTheme="majorBidi" w:hAnsiTheme="majorBidi" w:cstheme="majorBidi"/>
          <w:sz w:val="24"/>
          <w:szCs w:val="24"/>
          <w:lang w:val="pt-BR"/>
        </w:rPr>
        <w:t>X</w:t>
      </w:r>
      <w:r w:rsidRPr="00B51544">
        <w:rPr>
          <w:rFonts w:asciiTheme="majorBidi" w:hAnsiTheme="majorBidi" w:cstheme="majorBidi"/>
          <w:sz w:val="24"/>
          <w:szCs w:val="24"/>
          <w:vertAlign w:val="subscript"/>
          <w:lang w:val="pt-BR"/>
        </w:rPr>
        <w:t>3</w:t>
      </w:r>
      <w:r w:rsidR="00CD1033" w:rsidRPr="00B51544">
        <w:rPr>
          <w:rFonts w:asciiTheme="majorBidi" w:hAnsiTheme="majorBidi" w:cstheme="majorBidi"/>
          <w:sz w:val="24"/>
          <w:szCs w:val="24"/>
          <w:vertAlign w:val="subscript"/>
          <w:lang w:val="pt-BR"/>
        </w:rPr>
        <w:tab/>
      </w:r>
      <w:r w:rsidR="00CD1033" w:rsidRPr="00B51544">
        <w:rPr>
          <w:rFonts w:asciiTheme="majorBidi" w:hAnsiTheme="majorBidi" w:cstheme="majorBidi"/>
          <w:sz w:val="24"/>
          <w:szCs w:val="24"/>
          <w:vertAlign w:val="subscript"/>
          <w:lang w:val="pt-BR"/>
        </w:rPr>
        <w:tab/>
      </w:r>
      <w:r w:rsidRPr="00B51544">
        <w:rPr>
          <w:rFonts w:asciiTheme="majorBidi" w:hAnsiTheme="majorBidi" w:cstheme="majorBidi"/>
          <w:sz w:val="24"/>
          <w:szCs w:val="24"/>
          <w:lang w:val="pt-BR"/>
        </w:rPr>
        <w:t>: Nisbah Bagi Hasil</w:t>
      </w:r>
    </w:p>
    <w:p w14:paraId="72BA283B" w14:textId="16E33D00" w:rsidR="00BA2B7E" w:rsidRPr="00B51544" w:rsidRDefault="00CD1033" w:rsidP="00E17038">
      <w:pPr>
        <w:spacing w:after="0" w:line="360" w:lineRule="auto"/>
        <w:ind w:left="1134"/>
        <w:jc w:val="both"/>
        <w:rPr>
          <w:rFonts w:asciiTheme="majorBidi" w:hAnsiTheme="majorBidi" w:cstheme="majorBidi"/>
          <w:sz w:val="24"/>
          <w:szCs w:val="24"/>
          <w:lang w:val="pt-BR"/>
        </w:rPr>
      </w:pPr>
      <w:r w:rsidRPr="00B51544">
        <w:rPr>
          <w:rFonts w:asciiTheme="majorBidi" w:hAnsiTheme="majorBidi" w:cstheme="majorBidi"/>
          <w:sz w:val="24"/>
          <w:szCs w:val="24"/>
          <w:lang w:val="pt-BR"/>
        </w:rPr>
        <w:t>e</w:t>
      </w:r>
      <w:r w:rsidRPr="00B51544">
        <w:rPr>
          <w:rFonts w:asciiTheme="majorBidi" w:hAnsiTheme="majorBidi" w:cstheme="majorBidi"/>
          <w:sz w:val="24"/>
          <w:szCs w:val="24"/>
          <w:lang w:val="pt-BR"/>
        </w:rPr>
        <w:tab/>
      </w:r>
      <w:r w:rsidRPr="00B51544">
        <w:rPr>
          <w:rFonts w:asciiTheme="majorBidi" w:hAnsiTheme="majorBidi" w:cstheme="majorBidi"/>
          <w:sz w:val="24"/>
          <w:szCs w:val="24"/>
          <w:lang w:val="pt-BR"/>
        </w:rPr>
        <w:tab/>
        <w:t>: Besaran Nilai Residu</w:t>
      </w:r>
    </w:p>
    <w:p w14:paraId="58C47263" w14:textId="6EE9BB1E" w:rsidR="002E7308" w:rsidRPr="00B51544" w:rsidRDefault="001114A2">
      <w:pPr>
        <w:pStyle w:val="ListParagraph"/>
        <w:numPr>
          <w:ilvl w:val="0"/>
          <w:numId w:val="6"/>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Uji Hipotesis</w:t>
      </w:r>
      <w:r w:rsidR="0038152E" w:rsidRPr="00B51544">
        <w:rPr>
          <w:rFonts w:asciiTheme="majorBidi" w:hAnsiTheme="majorBidi" w:cstheme="majorBidi"/>
          <w:sz w:val="24"/>
          <w:szCs w:val="24"/>
          <w:lang w:val="sv-SE"/>
        </w:rPr>
        <w:t xml:space="preserve"> </w:t>
      </w:r>
      <w:r w:rsidR="00066E89" w:rsidRPr="00B51544">
        <w:rPr>
          <w:rFonts w:asciiTheme="majorBidi" w:hAnsiTheme="majorBidi" w:cstheme="majorBidi"/>
          <w:sz w:val="24"/>
          <w:szCs w:val="24"/>
          <w:lang w:val="sv-SE"/>
        </w:rPr>
        <w:t>:</w:t>
      </w:r>
    </w:p>
    <w:p w14:paraId="31E058DE" w14:textId="1CE6D813" w:rsidR="002E7308" w:rsidRPr="00B51544" w:rsidRDefault="002E7308">
      <w:pPr>
        <w:pStyle w:val="ListParagraph"/>
        <w:numPr>
          <w:ilvl w:val="0"/>
          <w:numId w:val="8"/>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Uji Koefisien D</w:t>
      </w:r>
      <w:r w:rsidR="007763B2" w:rsidRPr="00B51544">
        <w:rPr>
          <w:rFonts w:asciiTheme="majorBidi" w:hAnsiTheme="majorBidi" w:cstheme="majorBidi"/>
          <w:sz w:val="24"/>
          <w:szCs w:val="24"/>
          <w:lang w:val="sv-SE"/>
        </w:rPr>
        <w:t>e</w:t>
      </w:r>
      <w:r w:rsidRPr="00B51544">
        <w:rPr>
          <w:rFonts w:asciiTheme="majorBidi" w:hAnsiTheme="majorBidi" w:cstheme="majorBidi"/>
          <w:sz w:val="24"/>
          <w:szCs w:val="24"/>
          <w:lang w:val="sv-SE"/>
        </w:rPr>
        <w:t>terminasi (R</w:t>
      </w:r>
      <w:r w:rsidRPr="00B51544">
        <w:rPr>
          <w:rFonts w:asciiTheme="majorBidi" w:hAnsiTheme="majorBidi" w:cstheme="majorBidi"/>
          <w:sz w:val="24"/>
          <w:szCs w:val="24"/>
          <w:vertAlign w:val="superscript"/>
          <w:lang w:val="sv-SE"/>
        </w:rPr>
        <w:t>2</w:t>
      </w:r>
      <w:r w:rsidRPr="00B51544">
        <w:rPr>
          <w:rFonts w:asciiTheme="majorBidi" w:hAnsiTheme="majorBidi" w:cstheme="majorBidi"/>
          <w:sz w:val="24"/>
          <w:szCs w:val="24"/>
          <w:lang w:val="sv-SE"/>
        </w:rPr>
        <w:t>)</w:t>
      </w:r>
    </w:p>
    <w:p w14:paraId="4404C8FC" w14:textId="064725F8" w:rsidR="00377CB4" w:rsidRPr="00D17A2E" w:rsidRDefault="00790320" w:rsidP="00D17A2E">
      <w:pPr>
        <w:pStyle w:val="ListParagraph"/>
        <w:spacing w:line="360" w:lineRule="auto"/>
        <w:ind w:left="1440" w:firstLine="545"/>
        <w:jc w:val="both"/>
        <w:rPr>
          <w:rFonts w:asciiTheme="majorBidi" w:hAnsiTheme="majorBidi" w:cstheme="majorBidi"/>
          <w:sz w:val="24"/>
          <w:szCs w:val="24"/>
          <w:lang w:val="sv-SE"/>
        </w:rPr>
      </w:pPr>
      <w:r w:rsidRPr="00790320">
        <w:rPr>
          <w:rFonts w:asciiTheme="majorBidi" w:hAnsiTheme="majorBidi" w:cstheme="majorBidi"/>
          <w:sz w:val="24"/>
          <w:szCs w:val="24"/>
          <w:lang w:val="sv-SE"/>
        </w:rPr>
        <w:t>Nilai R2 menggambarkan seberapa besar variabel-variabel independen dapat menerangkan variabel dependen. Nilai R2 berada di rentang antara 0 dan 1 (0 ≤ R2 ≤ 1). Nilai R2 yang lebih tinggi berarti variasi pada variabel dependen dapat dijelaskan dengan lebih baik oleh variasi pada variabel-variabel independen</w:t>
      </w:r>
      <w:r w:rsidR="00066E89" w:rsidRPr="00B51544">
        <w:rPr>
          <w:rFonts w:asciiTheme="majorBidi" w:hAnsiTheme="majorBidi" w:cstheme="majorBidi"/>
          <w:sz w:val="24"/>
          <w:szCs w:val="24"/>
          <w:lang w:val="sv-SE"/>
        </w:rPr>
        <w:t>.</w:t>
      </w:r>
      <w:r w:rsidR="0038152E" w:rsidRPr="00B51544">
        <w:rPr>
          <w:rStyle w:val="FootnoteReference"/>
          <w:rFonts w:asciiTheme="majorBidi" w:hAnsiTheme="majorBidi" w:cstheme="majorBidi"/>
          <w:sz w:val="24"/>
          <w:szCs w:val="24"/>
          <w:lang w:val="sv-SE"/>
        </w:rPr>
        <w:t xml:space="preserve"> </w:t>
      </w:r>
      <w:r w:rsidR="0038152E" w:rsidRPr="00B51544">
        <w:rPr>
          <w:rStyle w:val="FootnoteReference"/>
          <w:rFonts w:asciiTheme="majorBidi" w:hAnsiTheme="majorBidi" w:cstheme="majorBidi"/>
          <w:sz w:val="24"/>
          <w:szCs w:val="24"/>
          <w:lang w:val="sv-SE"/>
        </w:rPr>
        <w:footnoteReference w:id="118"/>
      </w:r>
    </w:p>
    <w:p w14:paraId="091E1C43" w14:textId="77777777" w:rsidR="001114A2" w:rsidRPr="00B51544" w:rsidRDefault="001114A2">
      <w:pPr>
        <w:pStyle w:val="ListParagraph"/>
        <w:numPr>
          <w:ilvl w:val="0"/>
          <w:numId w:val="8"/>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Uji Simultan (Uji F)</w:t>
      </w:r>
    </w:p>
    <w:p w14:paraId="154D8364" w14:textId="41335818" w:rsidR="00790320" w:rsidRPr="00E17038" w:rsidRDefault="00790320" w:rsidP="00E17038">
      <w:pPr>
        <w:pStyle w:val="ListParagraph"/>
        <w:spacing w:line="360" w:lineRule="auto"/>
        <w:ind w:left="1440" w:firstLine="545"/>
        <w:jc w:val="both"/>
        <w:rPr>
          <w:rFonts w:asciiTheme="majorBidi" w:hAnsiTheme="majorBidi" w:cstheme="majorBidi"/>
          <w:sz w:val="24"/>
          <w:szCs w:val="24"/>
          <w:lang w:val="sv-SE"/>
        </w:rPr>
      </w:pPr>
      <w:r w:rsidRPr="00790320">
        <w:rPr>
          <w:rFonts w:asciiTheme="majorBidi" w:hAnsiTheme="majorBidi" w:cstheme="majorBidi"/>
          <w:sz w:val="24"/>
          <w:szCs w:val="24"/>
          <w:lang w:val="sv-SE"/>
        </w:rPr>
        <w:t>Uji F dilakukan untuk mengevaluasi secara kolektif apakah kemiringan (koefisien parameter) secara bersamaan berbeda atau sama dengan nol. Dengan demikian, uji ini dilaksanakan untuk menganalisis persamaan</w:t>
      </w:r>
      <w:r w:rsidR="008D3CE0" w:rsidRPr="00B51544">
        <w:rPr>
          <w:rFonts w:asciiTheme="majorBidi" w:hAnsiTheme="majorBidi" w:cstheme="majorBidi"/>
          <w:sz w:val="24"/>
          <w:szCs w:val="24"/>
          <w:lang w:val="sv-SE"/>
        </w:rPr>
        <w:t>.</w:t>
      </w:r>
      <w:r w:rsidR="008D3CE0" w:rsidRPr="00B51544">
        <w:rPr>
          <w:rStyle w:val="FootnoteReference"/>
          <w:rFonts w:asciiTheme="majorBidi" w:hAnsiTheme="majorBidi" w:cstheme="majorBidi"/>
          <w:sz w:val="24"/>
          <w:szCs w:val="24"/>
          <w:lang w:val="sv-SE"/>
        </w:rPr>
        <w:footnoteReference w:id="119"/>
      </w:r>
      <w:r w:rsidR="008D3CE0" w:rsidRPr="00B51544">
        <w:rPr>
          <w:rFonts w:asciiTheme="majorBidi" w:hAnsiTheme="majorBidi" w:cstheme="majorBidi"/>
          <w:sz w:val="24"/>
          <w:szCs w:val="24"/>
          <w:lang w:val="sv-SE"/>
        </w:rPr>
        <w:t xml:space="preserve"> I</w:t>
      </w:r>
      <w:r w:rsidR="001114A2" w:rsidRPr="00B51544">
        <w:rPr>
          <w:rFonts w:asciiTheme="majorBidi" w:hAnsiTheme="majorBidi" w:cstheme="majorBidi"/>
          <w:sz w:val="24"/>
          <w:szCs w:val="24"/>
          <w:lang w:val="sv-SE"/>
        </w:rPr>
        <w:t xml:space="preserve">ni biasa digunakan untuk mengetahui pengaruh variabel independen secara </w:t>
      </w:r>
      <w:r w:rsidR="00CD1033" w:rsidRPr="00B51544">
        <w:rPr>
          <w:rFonts w:asciiTheme="majorBidi" w:hAnsiTheme="majorBidi" w:cstheme="majorBidi"/>
          <w:sz w:val="24"/>
          <w:szCs w:val="24"/>
          <w:lang w:val="sv-SE"/>
        </w:rPr>
        <w:t>simultan (bersama-sama)</w:t>
      </w:r>
      <w:r w:rsidR="001114A2" w:rsidRPr="00B51544">
        <w:rPr>
          <w:rFonts w:asciiTheme="majorBidi" w:hAnsiTheme="majorBidi" w:cstheme="majorBidi"/>
          <w:sz w:val="24"/>
          <w:szCs w:val="24"/>
          <w:lang w:val="sv-SE"/>
        </w:rPr>
        <w:t xml:space="preserve"> terhadap variabel dependen.</w:t>
      </w:r>
    </w:p>
    <w:p w14:paraId="52EB68FD" w14:textId="68D31893" w:rsidR="002E7308" w:rsidRPr="00B51544" w:rsidRDefault="002E7308">
      <w:pPr>
        <w:pStyle w:val="ListParagraph"/>
        <w:numPr>
          <w:ilvl w:val="0"/>
          <w:numId w:val="8"/>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Uji Parsial (Uji t)</w:t>
      </w:r>
    </w:p>
    <w:p w14:paraId="68A5E0DE" w14:textId="5D400639" w:rsidR="00D17A2E" w:rsidRPr="00484DA9" w:rsidRDefault="00790320" w:rsidP="00484DA9">
      <w:pPr>
        <w:pStyle w:val="ListParagraph"/>
        <w:spacing w:line="360" w:lineRule="auto"/>
        <w:ind w:left="1440" w:firstLine="545"/>
        <w:jc w:val="both"/>
        <w:rPr>
          <w:rFonts w:asciiTheme="majorBidi" w:hAnsiTheme="majorBidi" w:cstheme="majorBidi"/>
          <w:sz w:val="24"/>
          <w:szCs w:val="24"/>
          <w:lang w:val="sv-SE"/>
        </w:rPr>
      </w:pPr>
      <w:r w:rsidRPr="00790320">
        <w:rPr>
          <w:rFonts w:asciiTheme="majorBidi" w:hAnsiTheme="majorBidi" w:cstheme="majorBidi"/>
          <w:sz w:val="24"/>
          <w:szCs w:val="24"/>
          <w:lang w:val="sv-SE"/>
        </w:rPr>
        <w:t>Uji t adalah salah satu pengujian dasar yang umum dipakai dalam analisis regresi linier. Tujuan dari uji t ini adalah untuk menentukan sejauh mana signifikansi dampak dari variabel independen terhadap variabel dependen. Meskipun demikian, uji t tidak dapat mengukur seberapa kuat pengaruh variabel independen terhadap variabel dependen. Selain itu, uji t juga berfungsi sebagai parameter utama dalam pemilihan model regresi yang paling sesuai di antara berbagai opsi model regresi</w:t>
      </w:r>
      <w:r w:rsidR="0038152E" w:rsidRPr="00B51544">
        <w:rPr>
          <w:rFonts w:asciiTheme="majorBidi" w:hAnsiTheme="majorBidi" w:cstheme="majorBidi"/>
          <w:sz w:val="24"/>
          <w:szCs w:val="24"/>
          <w:lang w:val="sv-SE"/>
        </w:rPr>
        <w:t>.</w:t>
      </w:r>
      <w:r w:rsidR="0038152E" w:rsidRPr="00B51544">
        <w:rPr>
          <w:rStyle w:val="FootnoteReference"/>
          <w:rFonts w:asciiTheme="majorBidi" w:hAnsiTheme="majorBidi" w:cstheme="majorBidi"/>
          <w:sz w:val="24"/>
          <w:szCs w:val="24"/>
          <w:lang w:val="sv-SE"/>
        </w:rPr>
        <w:footnoteReference w:id="120"/>
      </w:r>
      <w:r w:rsidR="0038152E" w:rsidRPr="00B51544">
        <w:rPr>
          <w:rFonts w:asciiTheme="majorBidi" w:hAnsiTheme="majorBidi" w:cstheme="majorBidi"/>
          <w:sz w:val="24"/>
          <w:szCs w:val="24"/>
          <w:lang w:val="sv-SE"/>
        </w:rPr>
        <w:t xml:space="preserve"> </w:t>
      </w:r>
    </w:p>
    <w:p w14:paraId="1915D7DA" w14:textId="77777777" w:rsidR="00D17A2E" w:rsidRPr="00B51544" w:rsidRDefault="00D17A2E" w:rsidP="00B51544">
      <w:pPr>
        <w:pStyle w:val="ListParagraph"/>
        <w:spacing w:line="360" w:lineRule="auto"/>
        <w:ind w:left="1440" w:firstLine="545"/>
        <w:jc w:val="both"/>
        <w:rPr>
          <w:rFonts w:asciiTheme="majorBidi" w:hAnsiTheme="majorBidi" w:cstheme="majorBidi"/>
          <w:sz w:val="24"/>
          <w:szCs w:val="24"/>
          <w:lang w:val="sv-SE"/>
        </w:rPr>
      </w:pPr>
    </w:p>
    <w:p w14:paraId="2FEAABDC" w14:textId="6AF3CF87" w:rsidR="001114A2" w:rsidRPr="00B51544" w:rsidRDefault="001114A2">
      <w:pPr>
        <w:pStyle w:val="ListParagraph"/>
        <w:numPr>
          <w:ilvl w:val="0"/>
          <w:numId w:val="6"/>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Estimasi Regresi :</w:t>
      </w:r>
    </w:p>
    <w:p w14:paraId="0714A149" w14:textId="3BC456A6" w:rsidR="00B8380C" w:rsidRPr="00B51544" w:rsidRDefault="004F54B1">
      <w:pPr>
        <w:pStyle w:val="ListParagraph"/>
        <w:numPr>
          <w:ilvl w:val="0"/>
          <w:numId w:val="13"/>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Jika koefisien Risiko Pembiayaan (NPF) adalah 0,25 artinya setiap kenaikan 1% pada Risiko Pembiayaan akan menyebabkan kenaikan 0,25% pada Deposito Mudharabah.</w:t>
      </w:r>
    </w:p>
    <w:p w14:paraId="1A9885AB" w14:textId="28762CF2" w:rsidR="00B8380C" w:rsidRPr="00B51544" w:rsidRDefault="00B8380C">
      <w:pPr>
        <w:pStyle w:val="ListParagraph"/>
        <w:numPr>
          <w:ilvl w:val="0"/>
          <w:numId w:val="13"/>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Jika koefisien Risiko Likuiditas (FDR) adalah 0,15 artinya setiap kenaikan 1% pada FDR akan menyebabkan kenaikan 0,15% pada Deposito Mudharabah.</w:t>
      </w:r>
    </w:p>
    <w:p w14:paraId="4D38F577" w14:textId="73E88CC3" w:rsidR="00A74B05" w:rsidRDefault="00B8380C">
      <w:pPr>
        <w:pStyle w:val="ListParagraph"/>
        <w:numPr>
          <w:ilvl w:val="0"/>
          <w:numId w:val="13"/>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Jika koefisien Nisbah Bagi Hasil adalah 0,30 artinya setiap kenaikan 1% pada Nisbah Bagi Hasil akan menyebabkan kenaikan 0,30% pada Deposito Mudharabah.</w:t>
      </w:r>
    </w:p>
    <w:p w14:paraId="7F15F883"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53E20DE9"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bookmarkEnd w:id="61"/>
    <w:p w14:paraId="05537379"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20F37925"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0E387C64"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70257602"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25FD536B"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04260AE4"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3B958D0C"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009538F2"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26C31001"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3D553D1E"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1AFAD2AA" w14:textId="77777777" w:rsidR="00B17575" w:rsidRDefault="00B17575" w:rsidP="00B17575">
      <w:pPr>
        <w:pStyle w:val="ListParagraph"/>
        <w:spacing w:line="360" w:lineRule="auto"/>
        <w:ind w:left="1440"/>
        <w:jc w:val="both"/>
        <w:rPr>
          <w:rFonts w:asciiTheme="majorBidi" w:hAnsiTheme="majorBidi" w:cstheme="majorBidi"/>
          <w:sz w:val="24"/>
          <w:szCs w:val="24"/>
          <w:lang w:val="sv-SE"/>
        </w:rPr>
      </w:pPr>
    </w:p>
    <w:p w14:paraId="7AD5CFC3" w14:textId="77777777" w:rsidR="00E17038" w:rsidRPr="00484DA9" w:rsidRDefault="00E17038" w:rsidP="00484DA9">
      <w:pPr>
        <w:spacing w:line="360" w:lineRule="auto"/>
        <w:jc w:val="both"/>
        <w:rPr>
          <w:rFonts w:asciiTheme="majorBidi" w:hAnsiTheme="majorBidi" w:cstheme="majorBidi"/>
          <w:sz w:val="24"/>
          <w:szCs w:val="24"/>
          <w:lang w:val="sv-SE"/>
        </w:rPr>
      </w:pPr>
    </w:p>
    <w:p w14:paraId="66FD5C66" w14:textId="38EBE30C" w:rsidR="00A74B05" w:rsidRDefault="00A74B05" w:rsidP="008B2471">
      <w:pPr>
        <w:pStyle w:val="Heading1"/>
        <w:spacing w:line="360" w:lineRule="auto"/>
        <w:jc w:val="center"/>
        <w:rPr>
          <w:rFonts w:asciiTheme="majorBidi" w:hAnsiTheme="majorBidi"/>
          <w:b/>
          <w:bCs/>
          <w:color w:val="auto"/>
          <w:sz w:val="24"/>
          <w:szCs w:val="24"/>
          <w:lang w:val="sv-SE"/>
        </w:rPr>
      </w:pPr>
      <w:bookmarkStart w:id="70" w:name="_Toc201063333"/>
      <w:bookmarkStart w:id="71" w:name="_Hlk202764051"/>
      <w:bookmarkStart w:id="72" w:name="_Hlk201243884"/>
      <w:bookmarkEnd w:id="62"/>
      <w:r w:rsidRPr="00B51544">
        <w:rPr>
          <w:rFonts w:asciiTheme="majorBidi" w:hAnsiTheme="majorBidi"/>
          <w:b/>
          <w:bCs/>
          <w:color w:val="auto"/>
          <w:sz w:val="24"/>
          <w:szCs w:val="24"/>
          <w:lang w:val="sv-SE"/>
        </w:rPr>
        <w:lastRenderedPageBreak/>
        <w:t>BAB IV</w:t>
      </w:r>
      <w:r w:rsidR="008B2471">
        <w:rPr>
          <w:rFonts w:asciiTheme="majorBidi" w:hAnsiTheme="majorBidi"/>
          <w:b/>
          <w:bCs/>
          <w:color w:val="auto"/>
          <w:sz w:val="24"/>
          <w:szCs w:val="24"/>
          <w:lang w:val="sv-SE"/>
        </w:rPr>
        <w:br/>
      </w:r>
      <w:r w:rsidR="00DE1D5D" w:rsidRPr="00B51544">
        <w:rPr>
          <w:rFonts w:asciiTheme="majorBidi" w:hAnsiTheme="majorBidi"/>
          <w:b/>
          <w:bCs/>
          <w:color w:val="auto"/>
          <w:sz w:val="24"/>
          <w:szCs w:val="24"/>
          <w:lang w:val="sv-SE"/>
        </w:rPr>
        <w:t>HASIL PENELITIAN</w:t>
      </w:r>
      <w:r w:rsidRPr="00B51544">
        <w:rPr>
          <w:rFonts w:asciiTheme="majorBidi" w:hAnsiTheme="majorBidi"/>
          <w:b/>
          <w:bCs/>
          <w:color w:val="auto"/>
          <w:sz w:val="24"/>
          <w:szCs w:val="24"/>
          <w:lang w:val="sv-SE"/>
        </w:rPr>
        <w:t xml:space="preserve"> DAN PEMBAHASAN</w:t>
      </w:r>
      <w:bookmarkEnd w:id="70"/>
    </w:p>
    <w:p w14:paraId="7D612F8D" w14:textId="77777777" w:rsidR="00D2760E" w:rsidRPr="00D2760E" w:rsidRDefault="00D2760E" w:rsidP="00D2760E">
      <w:pPr>
        <w:rPr>
          <w:lang w:val="sv-SE"/>
        </w:rPr>
      </w:pPr>
    </w:p>
    <w:p w14:paraId="3C88D7B9" w14:textId="773BCC41" w:rsidR="00DE1D5D" w:rsidRPr="00B51544" w:rsidRDefault="00DE1D5D" w:rsidP="00B51544">
      <w:pPr>
        <w:pStyle w:val="Heading2"/>
        <w:spacing w:line="360" w:lineRule="auto"/>
        <w:jc w:val="both"/>
        <w:rPr>
          <w:rFonts w:asciiTheme="majorBidi" w:hAnsiTheme="majorBidi"/>
          <w:b/>
          <w:bCs/>
          <w:color w:val="auto"/>
          <w:sz w:val="24"/>
          <w:szCs w:val="24"/>
          <w:lang w:val="sv-SE"/>
        </w:rPr>
      </w:pPr>
      <w:bookmarkStart w:id="73" w:name="_Toc201063334"/>
      <w:r w:rsidRPr="00B51544">
        <w:rPr>
          <w:rFonts w:asciiTheme="majorBidi" w:hAnsiTheme="majorBidi"/>
          <w:b/>
          <w:bCs/>
          <w:color w:val="auto"/>
          <w:sz w:val="24"/>
          <w:szCs w:val="24"/>
          <w:lang w:val="sv-SE"/>
        </w:rPr>
        <w:t>4.1 Gambaran Umum Objek Penelitian</w:t>
      </w:r>
      <w:bookmarkEnd w:id="73"/>
    </w:p>
    <w:p w14:paraId="187A4A64" w14:textId="45E7F5C0" w:rsidR="005A46E0" w:rsidRDefault="006639EB" w:rsidP="00E17038">
      <w:pPr>
        <w:spacing w:after="0" w:line="360" w:lineRule="auto"/>
        <w:ind w:left="426" w:firstLine="720"/>
        <w:jc w:val="both"/>
        <w:rPr>
          <w:rFonts w:asciiTheme="majorBidi" w:hAnsiTheme="majorBidi" w:cstheme="majorBidi"/>
          <w:sz w:val="24"/>
          <w:szCs w:val="24"/>
          <w:lang w:val="sv-SE"/>
        </w:rPr>
      </w:pPr>
      <w:r w:rsidRPr="006639EB">
        <w:rPr>
          <w:rFonts w:asciiTheme="majorBidi" w:hAnsiTheme="majorBidi" w:cstheme="majorBidi"/>
          <w:sz w:val="24"/>
          <w:szCs w:val="24"/>
          <w:lang w:val="sv-SE"/>
        </w:rPr>
        <w:t>Sejarah berdirinya Bank Muamalat diawali dengan sebuah seminar mengenai Bunga Bank dan Perbankan yang diselenggarakan oleh Majelis Ulama Indonesia pada 18 hingga 20 Agustus 1990 di Cisarua, Bogor. Ide ini dilanjutkan dalam Musyawarah Nasional IV Majelis Ulama Indonesia yang berlangsung di Hotel Sahid Jaya, Jakarta, dari 22 hingga 25 Agustus 1990, di mana dibentuk tim kerja untuk mendirikan bank syariah yang sepenuhnya pertama di Indonesia</w:t>
      </w:r>
      <w:r w:rsidR="00B93607" w:rsidRPr="00B51544">
        <w:rPr>
          <w:rFonts w:asciiTheme="majorBidi" w:hAnsiTheme="majorBidi" w:cstheme="majorBidi"/>
          <w:sz w:val="24"/>
          <w:szCs w:val="24"/>
          <w:lang w:val="sv-SE"/>
        </w:rPr>
        <w:t>.</w:t>
      </w:r>
      <w:r w:rsidR="00B93607" w:rsidRPr="00B51544">
        <w:rPr>
          <w:rStyle w:val="FootnoteReference"/>
          <w:rFonts w:asciiTheme="majorBidi" w:hAnsiTheme="majorBidi" w:cstheme="majorBidi"/>
          <w:sz w:val="24"/>
          <w:szCs w:val="24"/>
          <w:lang w:val="sv-SE"/>
        </w:rPr>
        <w:footnoteReference w:id="121"/>
      </w:r>
    </w:p>
    <w:p w14:paraId="7EEB5317" w14:textId="2055B8DA" w:rsidR="005A46E0" w:rsidRDefault="006639EB" w:rsidP="00E17038">
      <w:pPr>
        <w:spacing w:after="0" w:line="360" w:lineRule="auto"/>
        <w:ind w:left="426" w:firstLine="720"/>
        <w:jc w:val="both"/>
        <w:rPr>
          <w:rFonts w:asciiTheme="majorBidi" w:hAnsiTheme="majorBidi" w:cstheme="majorBidi"/>
          <w:sz w:val="24"/>
          <w:szCs w:val="24"/>
          <w:lang w:val="sv-SE"/>
        </w:rPr>
      </w:pPr>
      <w:r w:rsidRPr="006639EB">
        <w:rPr>
          <w:rFonts w:asciiTheme="majorBidi" w:hAnsiTheme="majorBidi" w:cstheme="majorBidi"/>
          <w:sz w:val="24"/>
          <w:szCs w:val="24"/>
          <w:lang w:val="sv-SE"/>
        </w:rPr>
        <w:t>Perkembangan perbankan syariah di Indonesia dimulai dengan berdirinya bank syariah pertama, yaitu PT Bank Muamalat Indonesia Tbk pada tahun 1992. Keberadaan bank ini telah diatur secara resmi dalam Undang-Undang No. 7 tahun 1992 tentang perbankan, yang mengalami pembaruan melalui Undang-Undang No. 10 tahun 1998. Mengingat pertumbuhan bank syariah yang cukup pesat, pemerintah kemudian menetapkan Undang-Undang No. 21 tahun 2008 yang secara khusus mengatur sektor ini. Dengan adanya regulasi tersebut, bank syariah dapat melaksanakan operasionalnya dengan cara yang sama seperti bank-bank konvensional yang sudah ada sebelumnya</w:t>
      </w:r>
      <w:r w:rsidR="00E91007" w:rsidRPr="00B51544">
        <w:rPr>
          <w:rFonts w:asciiTheme="majorBidi" w:hAnsiTheme="majorBidi" w:cstheme="majorBidi"/>
          <w:sz w:val="24"/>
          <w:szCs w:val="24"/>
          <w:lang w:val="sv-SE"/>
        </w:rPr>
        <w:t>.</w:t>
      </w:r>
      <w:r w:rsidR="00E91007" w:rsidRPr="00B51544">
        <w:rPr>
          <w:rStyle w:val="FootnoteReference"/>
          <w:rFonts w:asciiTheme="majorBidi" w:hAnsiTheme="majorBidi" w:cstheme="majorBidi"/>
          <w:sz w:val="24"/>
          <w:szCs w:val="24"/>
          <w:lang w:val="sv-SE"/>
        </w:rPr>
        <w:footnoteReference w:id="122"/>
      </w:r>
    </w:p>
    <w:p w14:paraId="0B7DCF30" w14:textId="402E4295" w:rsidR="005A46E0" w:rsidRDefault="006639EB" w:rsidP="005A46E0">
      <w:pPr>
        <w:spacing w:line="360" w:lineRule="auto"/>
        <w:ind w:left="426" w:firstLine="720"/>
        <w:jc w:val="both"/>
        <w:rPr>
          <w:rFonts w:asciiTheme="majorBidi" w:hAnsiTheme="majorBidi" w:cstheme="majorBidi"/>
          <w:sz w:val="24"/>
          <w:szCs w:val="24"/>
          <w:lang w:val="sv-SE"/>
        </w:rPr>
      </w:pPr>
      <w:r w:rsidRPr="006639EB">
        <w:rPr>
          <w:rFonts w:asciiTheme="majorBidi" w:hAnsiTheme="majorBidi" w:cstheme="majorBidi"/>
          <w:sz w:val="24"/>
          <w:szCs w:val="24"/>
          <w:lang w:val="sv-SE"/>
        </w:rPr>
        <w:t>Realisasi PT Bank Muamalat Indonesia Tbk dimulai sebagai Bank Syariah pertama di Indonesia pada 1 November 1991 atau 24 Rabi’ul Tsani 1412 H. Pendirian Bank Muamalat Indonesia dipelopori oleh Majelis Ulama Indonesia (MUI), Ikatan Cendekiawan Muslim Indonesia (ICMI), serta para pengusaha muslim yang didukung oleh pemerintah Republik Indonesia</w:t>
      </w:r>
      <w:r w:rsidR="00B93607" w:rsidRPr="00B51544">
        <w:rPr>
          <w:rFonts w:asciiTheme="majorBidi" w:hAnsiTheme="majorBidi" w:cstheme="majorBidi"/>
          <w:sz w:val="24"/>
          <w:szCs w:val="24"/>
          <w:lang w:val="sv-SE"/>
        </w:rPr>
        <w:t>.</w:t>
      </w:r>
      <w:r w:rsidR="00B93607" w:rsidRPr="00B51544">
        <w:rPr>
          <w:rStyle w:val="FootnoteReference"/>
          <w:rFonts w:asciiTheme="majorBidi" w:hAnsiTheme="majorBidi" w:cstheme="majorBidi"/>
          <w:sz w:val="24"/>
          <w:szCs w:val="24"/>
          <w:lang w:val="sv-SE"/>
        </w:rPr>
        <w:footnoteReference w:id="123"/>
      </w:r>
      <w:r w:rsidR="006002A7" w:rsidRPr="00B51544">
        <w:rPr>
          <w:rFonts w:asciiTheme="majorBidi" w:hAnsiTheme="majorBidi" w:cstheme="majorBidi"/>
          <w:sz w:val="24"/>
          <w:szCs w:val="24"/>
          <w:lang w:val="sv-SE"/>
        </w:rPr>
        <w:t xml:space="preserve"> </w:t>
      </w:r>
      <w:r w:rsidR="0092042B" w:rsidRPr="0092042B">
        <w:rPr>
          <w:rFonts w:asciiTheme="majorBidi" w:hAnsiTheme="majorBidi" w:cstheme="majorBidi"/>
          <w:sz w:val="24"/>
          <w:szCs w:val="24"/>
          <w:lang w:val="sv-SE"/>
        </w:rPr>
        <w:t>Sehingga pada 1 Mei 1992 atau 27 Syawal 1412 H, Bank Muamalat Indonesia resmi beroperasi sebagai bank pertama di Indonesia yang menerapkan prinsip syariah dan menjadi pelopor di bidang keuangan syariah lainnya. Pada 27 Oktober 1994, Bank Muamalat Indonesia diberikan izin sebagai Bank Devisa setelah setahun sebelumnya terdaftar sebagai perusahaan publik yang tidak tercatat di Bursa Efek Indonesia (BEI)</w:t>
      </w:r>
      <w:r w:rsidR="006002A7" w:rsidRPr="00B51544">
        <w:rPr>
          <w:rFonts w:asciiTheme="majorBidi" w:hAnsiTheme="majorBidi" w:cstheme="majorBidi"/>
          <w:sz w:val="24"/>
          <w:szCs w:val="24"/>
          <w:lang w:val="sv-SE"/>
        </w:rPr>
        <w:t>.</w:t>
      </w:r>
      <w:r w:rsidR="006002A7" w:rsidRPr="00B51544">
        <w:rPr>
          <w:rStyle w:val="FootnoteReference"/>
          <w:rFonts w:asciiTheme="majorBidi" w:hAnsiTheme="majorBidi" w:cstheme="majorBidi"/>
          <w:sz w:val="24"/>
          <w:szCs w:val="24"/>
          <w:lang w:val="sv-SE"/>
        </w:rPr>
        <w:footnoteReference w:id="124"/>
      </w:r>
    </w:p>
    <w:p w14:paraId="4D10E012" w14:textId="2C37E0CC" w:rsidR="005A46E0" w:rsidRDefault="0092042B" w:rsidP="00E17038">
      <w:pPr>
        <w:spacing w:after="0" w:line="360" w:lineRule="auto"/>
        <w:ind w:left="426" w:firstLine="720"/>
        <w:jc w:val="both"/>
        <w:rPr>
          <w:rFonts w:asciiTheme="majorBidi" w:hAnsiTheme="majorBidi" w:cstheme="majorBidi"/>
          <w:sz w:val="24"/>
          <w:szCs w:val="24"/>
          <w:lang w:val="sv-SE"/>
        </w:rPr>
      </w:pPr>
      <w:r w:rsidRPr="0092042B">
        <w:rPr>
          <w:rFonts w:asciiTheme="majorBidi" w:hAnsiTheme="majorBidi" w:cstheme="majorBidi"/>
          <w:sz w:val="24"/>
          <w:szCs w:val="24"/>
          <w:lang w:val="sv-SE"/>
        </w:rPr>
        <w:lastRenderedPageBreak/>
        <w:t>Visi Bank Muamalat Indonesia Tbk adalah untuk menjadi bank syariah yang terdepan dan masuk dalam jajaran sepuluh bank terbesar di Indonesia, dengan pengakuan yang diakui secara regional. Di sisi lain, misi Bank Muamalat Indonesia adalah menciptakan lembaga keuangan syariah yang unggul dan berkelanjutan, dengan penekanan pada semangat kewirausahaan yang berlandaskan pada prinsip kehati-hatian, keunggulan sumber daya manusia yang islami serta profesional, dan inovasi dalam orientasi investasi untuk meningkatkan nilai bagi seluruh pemangku kepentingan</w:t>
      </w:r>
      <w:r w:rsidR="00BF31C1" w:rsidRPr="00B51544">
        <w:rPr>
          <w:rFonts w:asciiTheme="majorBidi" w:hAnsiTheme="majorBidi" w:cstheme="majorBidi"/>
          <w:sz w:val="24"/>
          <w:szCs w:val="24"/>
          <w:lang w:val="sv-SE"/>
        </w:rPr>
        <w:t>.</w:t>
      </w:r>
      <w:r w:rsidR="00BF31C1" w:rsidRPr="00B51544">
        <w:rPr>
          <w:rStyle w:val="FootnoteReference"/>
          <w:rFonts w:asciiTheme="majorBidi" w:hAnsiTheme="majorBidi" w:cstheme="majorBidi"/>
          <w:sz w:val="24"/>
          <w:szCs w:val="24"/>
          <w:lang w:val="sv-SE"/>
        </w:rPr>
        <w:footnoteReference w:id="125"/>
      </w:r>
    </w:p>
    <w:p w14:paraId="63FF9953" w14:textId="3F82B2B6" w:rsidR="005A46E0" w:rsidRDefault="0092042B" w:rsidP="00E17038">
      <w:pPr>
        <w:spacing w:after="0" w:line="360" w:lineRule="auto"/>
        <w:ind w:left="426" w:firstLine="720"/>
        <w:jc w:val="both"/>
        <w:rPr>
          <w:rFonts w:asciiTheme="majorBidi" w:hAnsiTheme="majorBidi" w:cstheme="majorBidi"/>
          <w:sz w:val="24"/>
          <w:szCs w:val="24"/>
          <w:lang w:val="sv-SE"/>
        </w:rPr>
      </w:pPr>
      <w:r w:rsidRPr="0092042B">
        <w:rPr>
          <w:rFonts w:asciiTheme="majorBidi" w:hAnsiTheme="majorBidi" w:cstheme="majorBidi"/>
          <w:sz w:val="24"/>
          <w:szCs w:val="24"/>
          <w:lang w:val="sv-SE"/>
        </w:rPr>
        <w:t>Bank Muamalat Indonesia juga memberikan perhatian pada pengembangan produk dan layanan yang sesuai dengan keinginan nasabah, serta mematuhi prinsip-prinsip syariah dalam setiap transaksi. Oleh karena itu, bank berkomitmen untuk meraih profitabilitas yang terbaik sambil tetap menjaga kepatuhan terhadap regulasi-regulasi syariah. Usaha ini melibatkan inovasi dalam produk perbankan, layanan pelanggan yang unggul, serta manajemen risiko yang efisien untuk memastikan kelangsungan dan pertumbuhan bank di pasar yang kompetitif</w:t>
      </w:r>
      <w:r w:rsidR="00BF31C1" w:rsidRPr="00B51544">
        <w:rPr>
          <w:rFonts w:asciiTheme="majorBidi" w:hAnsiTheme="majorBidi" w:cstheme="majorBidi"/>
          <w:sz w:val="24"/>
          <w:szCs w:val="24"/>
          <w:lang w:val="sv-SE"/>
        </w:rPr>
        <w:t>.</w:t>
      </w:r>
      <w:r w:rsidR="00BF31C1" w:rsidRPr="00B51544">
        <w:rPr>
          <w:rStyle w:val="FootnoteReference"/>
          <w:rFonts w:asciiTheme="majorBidi" w:hAnsiTheme="majorBidi" w:cstheme="majorBidi"/>
          <w:sz w:val="24"/>
          <w:szCs w:val="24"/>
          <w:lang w:val="sv-SE"/>
        </w:rPr>
        <w:footnoteReference w:id="126"/>
      </w:r>
    </w:p>
    <w:p w14:paraId="0F259952" w14:textId="60A1A097" w:rsidR="006002A7" w:rsidRPr="0092042B" w:rsidRDefault="0092042B" w:rsidP="005A46E0">
      <w:pPr>
        <w:spacing w:line="360" w:lineRule="auto"/>
        <w:ind w:left="426" w:firstLine="720"/>
        <w:jc w:val="both"/>
        <w:rPr>
          <w:rFonts w:asciiTheme="majorBidi" w:hAnsiTheme="majorBidi" w:cstheme="majorBidi"/>
          <w:sz w:val="24"/>
          <w:szCs w:val="24"/>
          <w:lang w:val="sv-SE"/>
        </w:rPr>
      </w:pPr>
      <w:r w:rsidRPr="0092042B">
        <w:rPr>
          <w:rFonts w:asciiTheme="majorBidi" w:hAnsiTheme="majorBidi" w:cstheme="majorBidi"/>
          <w:sz w:val="24"/>
          <w:szCs w:val="24"/>
          <w:lang w:val="sv-SE"/>
        </w:rPr>
        <w:t>Memasuki tahun 2012, saat genap 20 tahun, Bank Muamalat Indonesia mengganti logonya untuk meningkatkan pengenalan sebagai Bank Syariah yang lebih modern dan profesional. Bank ini terus berusaha meraih berbagai pencapaian yang diakui baik di dalam maupun luar negeri. Saat ini, Bank ini beroperasi bersama beberapa anak perusahaan untuk menyediakan layanan terdepan, di antaranya Al-Ijarah Indonesia Finance (ALIF) yang menawarkan pembiayaan syariah, DPLK Muamalat yang menyediakan layanan dana pensiun melalui Dana Pensiunan Lembaga Keuangan, serta Baitulmaal Muamalat yang bertanggung jawab mengelola distribusi zakat, infak, dan sedekah (ZIS). Sejak tahun 2015, Bank Muamalat telah mengimplementasikan strategi bisnis yang terfokus untuk melanjutkan langkah menuju visi sebagai</w:t>
      </w:r>
      <w:r>
        <w:rPr>
          <w:rFonts w:asciiTheme="majorBidi" w:hAnsiTheme="majorBidi" w:cstheme="majorBidi"/>
          <w:sz w:val="24"/>
          <w:szCs w:val="24"/>
          <w:lang w:val="sv-SE"/>
        </w:rPr>
        <w:t xml:space="preserve"> </w:t>
      </w:r>
      <w:r w:rsidR="007E493E" w:rsidRPr="0092042B">
        <w:rPr>
          <w:rFonts w:asciiTheme="majorBidi" w:hAnsiTheme="majorBidi" w:cstheme="majorBidi"/>
          <w:sz w:val="24"/>
          <w:szCs w:val="24"/>
          <w:lang w:val="sv-SE"/>
        </w:rPr>
        <w:t>”</w:t>
      </w:r>
      <w:r w:rsidR="007E493E" w:rsidRPr="0092042B">
        <w:rPr>
          <w:rFonts w:asciiTheme="majorBidi" w:hAnsiTheme="majorBidi" w:cstheme="majorBidi"/>
          <w:i/>
          <w:iCs/>
          <w:sz w:val="24"/>
          <w:szCs w:val="24"/>
          <w:lang w:val="sv-SE"/>
        </w:rPr>
        <w:t>The best Islamic Bank and Top 10 Bank in Indonesia with Strong Regional Presence</w:t>
      </w:r>
      <w:r w:rsidR="007E493E" w:rsidRPr="0092042B">
        <w:rPr>
          <w:rFonts w:asciiTheme="majorBidi" w:hAnsiTheme="majorBidi" w:cstheme="majorBidi"/>
          <w:sz w:val="24"/>
          <w:szCs w:val="24"/>
          <w:lang w:val="sv-SE"/>
        </w:rPr>
        <w:t>”.</w:t>
      </w:r>
      <w:r w:rsidR="007E493E" w:rsidRPr="00B51544">
        <w:rPr>
          <w:rStyle w:val="FootnoteReference"/>
          <w:rFonts w:asciiTheme="majorBidi" w:hAnsiTheme="majorBidi" w:cstheme="majorBidi"/>
          <w:sz w:val="24"/>
          <w:szCs w:val="24"/>
          <w:lang w:val="sv-SE"/>
        </w:rPr>
        <w:footnoteReference w:id="127"/>
      </w:r>
    </w:p>
    <w:p w14:paraId="62097C2C" w14:textId="77777777" w:rsidR="00484DA9" w:rsidRPr="0092042B" w:rsidRDefault="00484DA9" w:rsidP="005A46E0">
      <w:pPr>
        <w:spacing w:line="360" w:lineRule="auto"/>
        <w:ind w:left="426" w:firstLine="720"/>
        <w:jc w:val="both"/>
        <w:rPr>
          <w:rFonts w:asciiTheme="majorBidi" w:hAnsiTheme="majorBidi" w:cstheme="majorBidi"/>
          <w:sz w:val="24"/>
          <w:szCs w:val="24"/>
          <w:lang w:val="sv-SE"/>
        </w:rPr>
      </w:pPr>
    </w:p>
    <w:p w14:paraId="31ED67DD" w14:textId="77777777" w:rsidR="00484DA9" w:rsidRPr="0092042B" w:rsidRDefault="00484DA9" w:rsidP="005A46E0">
      <w:pPr>
        <w:spacing w:line="360" w:lineRule="auto"/>
        <w:ind w:left="426" w:firstLine="720"/>
        <w:jc w:val="both"/>
        <w:rPr>
          <w:rFonts w:asciiTheme="majorBidi" w:hAnsiTheme="majorBidi" w:cstheme="majorBidi"/>
          <w:sz w:val="24"/>
          <w:szCs w:val="24"/>
          <w:lang w:val="sv-SE"/>
        </w:rPr>
      </w:pPr>
    </w:p>
    <w:p w14:paraId="4D6B0D7A" w14:textId="434AEB30" w:rsidR="00DE1D5D" w:rsidRPr="00B51544" w:rsidRDefault="00DE1D5D" w:rsidP="00B51544">
      <w:pPr>
        <w:pStyle w:val="Heading2"/>
        <w:spacing w:line="360" w:lineRule="auto"/>
        <w:jc w:val="both"/>
        <w:rPr>
          <w:rFonts w:asciiTheme="majorBidi" w:hAnsiTheme="majorBidi"/>
          <w:b/>
          <w:bCs/>
          <w:color w:val="auto"/>
          <w:sz w:val="24"/>
          <w:szCs w:val="24"/>
          <w:lang w:val="sv-SE"/>
        </w:rPr>
      </w:pPr>
      <w:bookmarkStart w:id="74" w:name="_Toc201063335"/>
      <w:r w:rsidRPr="00B51544">
        <w:rPr>
          <w:rFonts w:asciiTheme="majorBidi" w:hAnsiTheme="majorBidi"/>
          <w:b/>
          <w:bCs/>
          <w:color w:val="auto"/>
          <w:sz w:val="24"/>
          <w:szCs w:val="24"/>
          <w:lang w:val="sv-SE"/>
        </w:rPr>
        <w:lastRenderedPageBreak/>
        <w:t xml:space="preserve">4.2 </w:t>
      </w:r>
      <w:r w:rsidR="001925D7" w:rsidRPr="00B51544">
        <w:rPr>
          <w:rFonts w:asciiTheme="majorBidi" w:hAnsiTheme="majorBidi"/>
          <w:b/>
          <w:bCs/>
          <w:color w:val="auto"/>
          <w:sz w:val="24"/>
          <w:szCs w:val="24"/>
          <w:lang w:val="sv-SE"/>
        </w:rPr>
        <w:t>Analis</w:t>
      </w:r>
      <w:r w:rsidR="000113F1" w:rsidRPr="00B51544">
        <w:rPr>
          <w:rFonts w:asciiTheme="majorBidi" w:hAnsiTheme="majorBidi"/>
          <w:b/>
          <w:bCs/>
          <w:color w:val="auto"/>
          <w:sz w:val="24"/>
          <w:szCs w:val="24"/>
          <w:lang w:val="sv-SE"/>
        </w:rPr>
        <w:t>a</w:t>
      </w:r>
      <w:r w:rsidR="001925D7" w:rsidRPr="00B51544">
        <w:rPr>
          <w:rFonts w:asciiTheme="majorBidi" w:hAnsiTheme="majorBidi"/>
          <w:b/>
          <w:bCs/>
          <w:color w:val="auto"/>
          <w:sz w:val="24"/>
          <w:szCs w:val="24"/>
          <w:lang w:val="sv-SE"/>
        </w:rPr>
        <w:t xml:space="preserve"> Data</w:t>
      </w:r>
      <w:bookmarkEnd w:id="74"/>
    </w:p>
    <w:p w14:paraId="44BB2B45" w14:textId="25202757" w:rsidR="001925D7" w:rsidRPr="00B51544" w:rsidRDefault="001925D7" w:rsidP="005A46E0">
      <w:pPr>
        <w:spacing w:line="360" w:lineRule="auto"/>
        <w:ind w:left="284"/>
        <w:jc w:val="both"/>
        <w:rPr>
          <w:rFonts w:asciiTheme="majorBidi" w:hAnsiTheme="majorBidi" w:cstheme="majorBidi"/>
          <w:sz w:val="24"/>
          <w:szCs w:val="24"/>
          <w:lang w:val="sv-SE"/>
        </w:rPr>
      </w:pPr>
      <w:r w:rsidRPr="00B51544">
        <w:rPr>
          <w:rFonts w:asciiTheme="majorBidi" w:hAnsiTheme="majorBidi" w:cstheme="majorBidi"/>
          <w:sz w:val="24"/>
          <w:szCs w:val="24"/>
          <w:lang w:val="sv-SE"/>
        </w:rPr>
        <w:t>Deskripsi Data</w:t>
      </w:r>
    </w:p>
    <w:p w14:paraId="5F43D723" w14:textId="01F05759" w:rsidR="001925D7" w:rsidRPr="00FF6109" w:rsidRDefault="001925D7" w:rsidP="005A46E0">
      <w:pPr>
        <w:spacing w:line="360" w:lineRule="auto"/>
        <w:ind w:left="426" w:firstLine="708"/>
        <w:jc w:val="both"/>
        <w:rPr>
          <w:rFonts w:asciiTheme="majorBidi" w:hAnsiTheme="majorBidi" w:cstheme="majorBidi"/>
          <w:sz w:val="24"/>
          <w:szCs w:val="24"/>
          <w:lang w:val="sv-SE"/>
        </w:rPr>
      </w:pPr>
      <w:r w:rsidRPr="00B51544">
        <w:rPr>
          <w:rFonts w:asciiTheme="majorBidi" w:hAnsiTheme="majorBidi" w:cstheme="majorBidi"/>
          <w:sz w:val="24"/>
          <w:szCs w:val="24"/>
          <w:lang w:val="sv-SE"/>
        </w:rPr>
        <w:tab/>
      </w:r>
      <w:r w:rsidR="0092042B" w:rsidRPr="0092042B">
        <w:rPr>
          <w:rFonts w:asciiTheme="majorBidi" w:hAnsiTheme="majorBidi" w:cstheme="majorBidi"/>
          <w:sz w:val="24"/>
          <w:szCs w:val="24"/>
          <w:lang w:val="sv-SE"/>
        </w:rPr>
        <w:t xml:space="preserve">Penelitian ini memanfaatkan data sekunder, yang merupakan data yang didapatkan dari sumber lain yang biasanya digunakan dalam penelitian. Variabel yang dianalisis dalam studi ini meliputi Risiko Pembiayaan (NPF), Risiko Likuiditas (FDR), Nisbah Bagi Hasil, dan Deposito Mudharabah. Data yang digunakan oleh PT Bank Muamalat Indonesia adalah Laporan Keuangan kuartalan untuk periode 2017-2024. Data tersebut diakses melalui situs web resmi </w:t>
      </w:r>
      <w:hyperlink r:id="rId25" w:history="1">
        <w:r w:rsidRPr="00FF6109">
          <w:rPr>
            <w:rStyle w:val="Hyperlink"/>
            <w:rFonts w:asciiTheme="majorBidi" w:hAnsiTheme="majorBidi" w:cstheme="majorBidi"/>
            <w:sz w:val="24"/>
            <w:szCs w:val="24"/>
            <w:lang w:val="sv-SE"/>
          </w:rPr>
          <w:t>www.bankmuamalat.co.id</w:t>
        </w:r>
      </w:hyperlink>
      <w:r w:rsidRPr="00FF6109">
        <w:rPr>
          <w:rFonts w:asciiTheme="majorBidi" w:hAnsiTheme="majorBidi" w:cstheme="majorBidi"/>
          <w:sz w:val="24"/>
          <w:szCs w:val="24"/>
          <w:lang w:val="sv-SE"/>
        </w:rPr>
        <w:t>.</w:t>
      </w:r>
    </w:p>
    <w:p w14:paraId="45858953" w14:textId="77777777" w:rsidR="002B35B8" w:rsidRPr="00FF6109" w:rsidRDefault="002B35B8" w:rsidP="00B51544">
      <w:pPr>
        <w:spacing w:line="360" w:lineRule="auto"/>
        <w:jc w:val="both"/>
        <w:rPr>
          <w:rFonts w:asciiTheme="majorBidi" w:hAnsiTheme="majorBidi" w:cstheme="majorBidi"/>
          <w:sz w:val="24"/>
          <w:szCs w:val="24"/>
          <w:lang w:val="sv-SE"/>
        </w:rPr>
      </w:pPr>
    </w:p>
    <w:p w14:paraId="1971FE36" w14:textId="77777777" w:rsidR="002B35B8" w:rsidRPr="00FF6109" w:rsidRDefault="002B35B8" w:rsidP="00B51544">
      <w:pPr>
        <w:spacing w:line="360" w:lineRule="auto"/>
        <w:jc w:val="both"/>
        <w:rPr>
          <w:rFonts w:asciiTheme="majorBidi" w:hAnsiTheme="majorBidi" w:cstheme="majorBidi"/>
          <w:sz w:val="24"/>
          <w:szCs w:val="24"/>
          <w:lang w:val="sv-SE"/>
        </w:rPr>
      </w:pPr>
    </w:p>
    <w:p w14:paraId="304A4EEA" w14:textId="77777777" w:rsidR="002B35B8" w:rsidRPr="00FF6109" w:rsidRDefault="002B35B8" w:rsidP="00B51544">
      <w:pPr>
        <w:spacing w:line="360" w:lineRule="auto"/>
        <w:jc w:val="both"/>
        <w:rPr>
          <w:rFonts w:asciiTheme="majorBidi" w:hAnsiTheme="majorBidi" w:cstheme="majorBidi"/>
          <w:sz w:val="24"/>
          <w:szCs w:val="24"/>
          <w:lang w:val="sv-SE"/>
        </w:rPr>
      </w:pPr>
    </w:p>
    <w:p w14:paraId="0C98608A" w14:textId="77777777" w:rsidR="002B35B8" w:rsidRPr="00FF6109" w:rsidRDefault="002B35B8" w:rsidP="00B51544">
      <w:pPr>
        <w:spacing w:line="360" w:lineRule="auto"/>
        <w:jc w:val="both"/>
        <w:rPr>
          <w:rFonts w:asciiTheme="majorBidi" w:hAnsiTheme="majorBidi" w:cstheme="majorBidi"/>
          <w:sz w:val="24"/>
          <w:szCs w:val="24"/>
          <w:lang w:val="sv-SE"/>
        </w:rPr>
      </w:pPr>
    </w:p>
    <w:p w14:paraId="6C9B35F0" w14:textId="77777777" w:rsidR="002B35B8" w:rsidRPr="00FF6109" w:rsidRDefault="002B35B8" w:rsidP="00B51544">
      <w:pPr>
        <w:spacing w:line="360" w:lineRule="auto"/>
        <w:jc w:val="both"/>
        <w:rPr>
          <w:rFonts w:asciiTheme="majorBidi" w:hAnsiTheme="majorBidi" w:cstheme="majorBidi"/>
          <w:sz w:val="24"/>
          <w:szCs w:val="24"/>
          <w:lang w:val="sv-SE"/>
        </w:rPr>
      </w:pPr>
    </w:p>
    <w:p w14:paraId="247C6975" w14:textId="77777777" w:rsidR="002B35B8" w:rsidRPr="00FF6109" w:rsidRDefault="002B35B8" w:rsidP="00B51544">
      <w:pPr>
        <w:spacing w:line="360" w:lineRule="auto"/>
        <w:jc w:val="both"/>
        <w:rPr>
          <w:rFonts w:asciiTheme="majorBidi" w:hAnsiTheme="majorBidi" w:cstheme="majorBidi"/>
          <w:sz w:val="24"/>
          <w:szCs w:val="24"/>
          <w:lang w:val="sv-SE"/>
        </w:rPr>
      </w:pPr>
    </w:p>
    <w:p w14:paraId="62DE57F7" w14:textId="77777777" w:rsidR="00377CB4" w:rsidRPr="00FF6109" w:rsidRDefault="00377CB4" w:rsidP="00377CB4">
      <w:pPr>
        <w:spacing w:line="360" w:lineRule="auto"/>
        <w:jc w:val="center"/>
        <w:rPr>
          <w:rFonts w:asciiTheme="majorBidi" w:hAnsiTheme="majorBidi" w:cstheme="majorBidi"/>
          <w:b/>
          <w:bCs/>
          <w:sz w:val="24"/>
          <w:szCs w:val="24"/>
          <w:lang w:val="sv-SE"/>
        </w:rPr>
      </w:pPr>
    </w:p>
    <w:p w14:paraId="15E087ED" w14:textId="77777777" w:rsidR="00377CB4" w:rsidRPr="00FF6109" w:rsidRDefault="00377CB4" w:rsidP="00377CB4">
      <w:pPr>
        <w:spacing w:line="360" w:lineRule="auto"/>
        <w:jc w:val="center"/>
        <w:rPr>
          <w:rFonts w:asciiTheme="majorBidi" w:hAnsiTheme="majorBidi" w:cstheme="majorBidi"/>
          <w:b/>
          <w:bCs/>
          <w:sz w:val="24"/>
          <w:szCs w:val="24"/>
          <w:lang w:val="sv-SE"/>
        </w:rPr>
      </w:pPr>
    </w:p>
    <w:p w14:paraId="4E4CECFF" w14:textId="77777777" w:rsidR="00377CB4" w:rsidRPr="00FF6109" w:rsidRDefault="00377CB4" w:rsidP="00377CB4">
      <w:pPr>
        <w:spacing w:line="360" w:lineRule="auto"/>
        <w:jc w:val="center"/>
        <w:rPr>
          <w:rFonts w:asciiTheme="majorBidi" w:hAnsiTheme="majorBidi" w:cstheme="majorBidi"/>
          <w:b/>
          <w:bCs/>
          <w:sz w:val="24"/>
          <w:szCs w:val="24"/>
          <w:lang w:val="sv-SE"/>
        </w:rPr>
      </w:pPr>
    </w:p>
    <w:p w14:paraId="69541A00" w14:textId="77777777" w:rsidR="00377CB4" w:rsidRPr="00FF6109" w:rsidRDefault="00377CB4" w:rsidP="00377CB4">
      <w:pPr>
        <w:spacing w:line="360" w:lineRule="auto"/>
        <w:jc w:val="center"/>
        <w:rPr>
          <w:rFonts w:asciiTheme="majorBidi" w:hAnsiTheme="majorBidi" w:cstheme="majorBidi"/>
          <w:b/>
          <w:bCs/>
          <w:sz w:val="24"/>
          <w:szCs w:val="24"/>
          <w:lang w:val="sv-SE"/>
        </w:rPr>
      </w:pPr>
    </w:p>
    <w:p w14:paraId="0CA808FF" w14:textId="77777777" w:rsidR="00377CB4" w:rsidRPr="00FF6109" w:rsidRDefault="00377CB4" w:rsidP="00377CB4">
      <w:pPr>
        <w:spacing w:line="360" w:lineRule="auto"/>
        <w:jc w:val="center"/>
        <w:rPr>
          <w:rFonts w:asciiTheme="majorBidi" w:hAnsiTheme="majorBidi" w:cstheme="majorBidi"/>
          <w:b/>
          <w:bCs/>
          <w:sz w:val="24"/>
          <w:szCs w:val="24"/>
          <w:lang w:val="sv-SE"/>
        </w:rPr>
      </w:pPr>
    </w:p>
    <w:p w14:paraId="014212CA" w14:textId="77777777" w:rsidR="00377CB4" w:rsidRPr="00FF6109" w:rsidRDefault="00377CB4" w:rsidP="00377CB4">
      <w:pPr>
        <w:spacing w:line="360" w:lineRule="auto"/>
        <w:jc w:val="center"/>
        <w:rPr>
          <w:rFonts w:asciiTheme="majorBidi" w:hAnsiTheme="majorBidi" w:cstheme="majorBidi"/>
          <w:b/>
          <w:bCs/>
          <w:sz w:val="24"/>
          <w:szCs w:val="24"/>
          <w:lang w:val="sv-SE"/>
        </w:rPr>
      </w:pPr>
    </w:p>
    <w:p w14:paraId="0BA77067" w14:textId="77777777" w:rsidR="00377CB4" w:rsidRPr="00FF6109" w:rsidRDefault="00377CB4" w:rsidP="00377CB4">
      <w:pPr>
        <w:spacing w:line="360" w:lineRule="auto"/>
        <w:jc w:val="center"/>
        <w:rPr>
          <w:rFonts w:asciiTheme="majorBidi" w:hAnsiTheme="majorBidi" w:cstheme="majorBidi"/>
          <w:b/>
          <w:bCs/>
          <w:sz w:val="24"/>
          <w:szCs w:val="24"/>
          <w:lang w:val="sv-SE"/>
        </w:rPr>
      </w:pPr>
    </w:p>
    <w:p w14:paraId="3E9EC476" w14:textId="77777777" w:rsidR="00C34D3E" w:rsidRPr="00FF6109" w:rsidRDefault="00C34D3E" w:rsidP="00377CB4">
      <w:pPr>
        <w:spacing w:line="360" w:lineRule="auto"/>
        <w:jc w:val="center"/>
        <w:rPr>
          <w:rFonts w:asciiTheme="majorBidi" w:hAnsiTheme="majorBidi" w:cstheme="majorBidi"/>
          <w:b/>
          <w:bCs/>
          <w:sz w:val="24"/>
          <w:szCs w:val="24"/>
          <w:lang w:val="sv-SE"/>
        </w:rPr>
      </w:pPr>
    </w:p>
    <w:p w14:paraId="4F289252" w14:textId="77777777" w:rsidR="0027636A" w:rsidRPr="00FF6109" w:rsidRDefault="0027636A" w:rsidP="00C34D3E">
      <w:pPr>
        <w:pStyle w:val="Caption"/>
        <w:jc w:val="center"/>
        <w:rPr>
          <w:rFonts w:asciiTheme="majorBidi" w:hAnsiTheme="majorBidi" w:cstheme="majorBidi"/>
          <w:b/>
          <w:bCs/>
          <w:i w:val="0"/>
          <w:iCs w:val="0"/>
          <w:color w:val="auto"/>
          <w:sz w:val="24"/>
          <w:szCs w:val="24"/>
          <w:lang w:val="sv-SE"/>
        </w:rPr>
      </w:pPr>
    </w:p>
    <w:p w14:paraId="61685791" w14:textId="70C7058A" w:rsidR="00C40188" w:rsidRPr="00FF6109" w:rsidRDefault="00F75967" w:rsidP="00E17038">
      <w:pPr>
        <w:pStyle w:val="Caption"/>
        <w:jc w:val="center"/>
        <w:rPr>
          <w:rFonts w:asciiTheme="majorBidi" w:hAnsiTheme="majorBidi" w:cstheme="majorBidi"/>
          <w:b/>
          <w:bCs/>
          <w:i w:val="0"/>
          <w:iCs w:val="0"/>
          <w:color w:val="auto"/>
          <w:sz w:val="24"/>
          <w:szCs w:val="24"/>
          <w:lang w:val="sv-SE"/>
        </w:rPr>
      </w:pPr>
      <w:bookmarkStart w:id="75" w:name="_Toc200572250"/>
      <w:r>
        <w:rPr>
          <w:rFonts w:asciiTheme="majorBidi" w:hAnsiTheme="majorBidi" w:cstheme="majorBidi"/>
          <w:b/>
          <w:bCs/>
          <w:i w:val="0"/>
          <w:iCs w:val="0"/>
          <w:noProof/>
          <w:color w:val="auto"/>
          <w:sz w:val="24"/>
          <w:szCs w:val="24"/>
        </w:rPr>
        <w:lastRenderedPageBreak/>
        <w:drawing>
          <wp:anchor distT="0" distB="0" distL="114300" distR="114300" simplePos="0" relativeHeight="251796480" behindDoc="0" locked="0" layoutInCell="1" allowOverlap="1" wp14:anchorId="0F0B8A88" wp14:editId="5E7C2898">
            <wp:simplePos x="0" y="0"/>
            <wp:positionH relativeFrom="column">
              <wp:posOffset>318770</wp:posOffset>
            </wp:positionH>
            <wp:positionV relativeFrom="paragraph">
              <wp:posOffset>899160</wp:posOffset>
            </wp:positionV>
            <wp:extent cx="5524500" cy="6437630"/>
            <wp:effectExtent l="0" t="0" r="0" b="1270"/>
            <wp:wrapSquare wrapText="bothSides"/>
            <wp:docPr id="43546839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4500" cy="6437630"/>
                    </a:xfrm>
                    <a:prstGeom prst="rect">
                      <a:avLst/>
                    </a:prstGeom>
                    <a:noFill/>
                  </pic:spPr>
                </pic:pic>
              </a:graphicData>
            </a:graphic>
            <wp14:sizeRelH relativeFrom="page">
              <wp14:pctWidth>0</wp14:pctWidth>
            </wp14:sizeRelH>
            <wp14:sizeRelV relativeFrom="page">
              <wp14:pctHeight>0</wp14:pctHeight>
            </wp14:sizeRelV>
          </wp:anchor>
        </w:drawing>
      </w:r>
      <w:r w:rsidR="00C40188" w:rsidRPr="00FF6109">
        <w:rPr>
          <w:rFonts w:asciiTheme="majorBidi" w:hAnsiTheme="majorBidi" w:cstheme="majorBidi"/>
          <w:b/>
          <w:bCs/>
          <w:i w:val="0"/>
          <w:iCs w:val="0"/>
          <w:color w:val="auto"/>
          <w:sz w:val="24"/>
          <w:szCs w:val="24"/>
          <w:lang w:val="sv-SE"/>
        </w:rPr>
        <w:t xml:space="preserve">Tabel 4. </w:t>
      </w:r>
      <w:r w:rsidR="00C40188" w:rsidRPr="00C40188">
        <w:rPr>
          <w:rFonts w:asciiTheme="majorBidi" w:hAnsiTheme="majorBidi" w:cstheme="majorBidi"/>
          <w:b/>
          <w:bCs/>
          <w:i w:val="0"/>
          <w:iCs w:val="0"/>
          <w:color w:val="auto"/>
          <w:sz w:val="24"/>
          <w:szCs w:val="24"/>
        </w:rPr>
        <w:fldChar w:fldCharType="begin"/>
      </w:r>
      <w:r w:rsidR="00C40188" w:rsidRPr="00FF6109">
        <w:rPr>
          <w:rFonts w:asciiTheme="majorBidi" w:hAnsiTheme="majorBidi" w:cstheme="majorBidi"/>
          <w:b/>
          <w:bCs/>
          <w:i w:val="0"/>
          <w:iCs w:val="0"/>
          <w:color w:val="auto"/>
          <w:sz w:val="24"/>
          <w:szCs w:val="24"/>
          <w:lang w:val="sv-SE"/>
        </w:rPr>
        <w:instrText xml:space="preserve"> SEQ Tabel_4. \* ARABIC </w:instrText>
      </w:r>
      <w:r w:rsidR="00C40188" w:rsidRPr="00C40188">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1</w:t>
      </w:r>
      <w:r w:rsidR="00C40188" w:rsidRPr="00C40188">
        <w:rPr>
          <w:rFonts w:asciiTheme="majorBidi" w:hAnsiTheme="majorBidi" w:cstheme="majorBidi"/>
          <w:b/>
          <w:bCs/>
          <w:i w:val="0"/>
          <w:iCs w:val="0"/>
          <w:color w:val="auto"/>
          <w:sz w:val="24"/>
          <w:szCs w:val="24"/>
        </w:rPr>
        <w:fldChar w:fldCharType="end"/>
      </w:r>
      <w:r w:rsidR="00C40188" w:rsidRPr="00FF6109">
        <w:rPr>
          <w:rFonts w:asciiTheme="majorBidi" w:hAnsiTheme="majorBidi" w:cstheme="majorBidi"/>
          <w:b/>
          <w:bCs/>
          <w:i w:val="0"/>
          <w:iCs w:val="0"/>
          <w:color w:val="auto"/>
          <w:sz w:val="24"/>
          <w:szCs w:val="24"/>
          <w:lang w:val="sv-SE"/>
        </w:rPr>
        <w:t xml:space="preserve"> </w:t>
      </w:r>
      <w:r w:rsidR="00C40188" w:rsidRPr="00FF6109">
        <w:rPr>
          <w:rFonts w:asciiTheme="majorBidi" w:hAnsiTheme="majorBidi" w:cstheme="majorBidi"/>
          <w:b/>
          <w:bCs/>
          <w:i w:val="0"/>
          <w:iCs w:val="0"/>
          <w:color w:val="auto"/>
          <w:sz w:val="24"/>
          <w:szCs w:val="24"/>
          <w:lang w:val="sv-SE"/>
        </w:rPr>
        <w:br/>
        <w:t>Data Risiko Pembiayaan (NPF), Risiko Likuiditas (FDR), Nisbah Bagi Hasil dan Deposito Mudharabah Bank Muamalat Indonesia Periode 2017-2024</w:t>
      </w:r>
      <w:bookmarkEnd w:id="75"/>
    </w:p>
    <w:p w14:paraId="544238D0" w14:textId="68C7CCB6" w:rsidR="00C34D3E" w:rsidRPr="00FF6109" w:rsidRDefault="00C34D3E" w:rsidP="00C40188">
      <w:pPr>
        <w:spacing w:line="360" w:lineRule="auto"/>
        <w:rPr>
          <w:rFonts w:asciiTheme="majorBidi" w:hAnsiTheme="majorBidi" w:cstheme="majorBidi"/>
          <w:b/>
          <w:bCs/>
          <w:sz w:val="24"/>
          <w:szCs w:val="24"/>
          <w:lang w:val="sv-SE"/>
        </w:rPr>
      </w:pPr>
    </w:p>
    <w:p w14:paraId="224A6D2F" w14:textId="54055A87" w:rsidR="00F75967" w:rsidRPr="00FF6109" w:rsidRDefault="00E17038" w:rsidP="00C40188">
      <w:pPr>
        <w:spacing w:line="360" w:lineRule="auto"/>
        <w:rPr>
          <w:rFonts w:asciiTheme="majorBidi" w:hAnsiTheme="majorBidi" w:cstheme="majorBidi"/>
          <w:b/>
          <w:bCs/>
          <w:sz w:val="24"/>
          <w:szCs w:val="24"/>
          <w:lang w:val="sv-SE"/>
        </w:rPr>
      </w:pPr>
      <w:r w:rsidRPr="00B51544">
        <w:rPr>
          <w:rFonts w:asciiTheme="majorBidi" w:hAnsiTheme="majorBidi" w:cstheme="majorBidi"/>
          <w:noProof/>
          <w:sz w:val="24"/>
          <w:szCs w:val="24"/>
          <w:lang w:val="sv-SE"/>
        </w:rPr>
        <mc:AlternateContent>
          <mc:Choice Requires="wps">
            <w:drawing>
              <wp:anchor distT="0" distB="0" distL="114300" distR="114300" simplePos="0" relativeHeight="251798528" behindDoc="0" locked="0" layoutInCell="1" allowOverlap="1" wp14:anchorId="236BB6AE" wp14:editId="69EDF97B">
                <wp:simplePos x="0" y="0"/>
                <wp:positionH relativeFrom="column">
                  <wp:posOffset>314325</wp:posOffset>
                </wp:positionH>
                <wp:positionV relativeFrom="paragraph">
                  <wp:posOffset>6320790</wp:posOffset>
                </wp:positionV>
                <wp:extent cx="4391025" cy="393065"/>
                <wp:effectExtent l="0" t="0" r="0" b="6985"/>
                <wp:wrapNone/>
                <wp:docPr id="2081705627" name="Text Box 7"/>
                <wp:cNvGraphicFramePr/>
                <a:graphic xmlns:a="http://schemas.openxmlformats.org/drawingml/2006/main">
                  <a:graphicData uri="http://schemas.microsoft.com/office/word/2010/wordprocessingShape">
                    <wps:wsp>
                      <wps:cNvSpPr txBox="1"/>
                      <wps:spPr>
                        <a:xfrm>
                          <a:off x="0" y="0"/>
                          <a:ext cx="4391025" cy="3930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B6E1C98" w14:textId="77777777" w:rsidR="00F75967" w:rsidRPr="001A4A06" w:rsidRDefault="00F75967" w:rsidP="00F75967">
                            <w:pPr>
                              <w:rPr>
                                <w:rFonts w:asciiTheme="majorBidi" w:hAnsiTheme="majorBidi" w:cstheme="majorBidi"/>
                                <w:sz w:val="24"/>
                                <w:szCs w:val="24"/>
                                <w:lang w:val="sv-SE"/>
                              </w:rPr>
                            </w:pPr>
                            <w:r w:rsidRPr="001A4A06">
                              <w:rPr>
                                <w:rFonts w:asciiTheme="majorBidi" w:hAnsiTheme="majorBidi" w:cstheme="majorBidi"/>
                                <w:sz w:val="24"/>
                                <w:szCs w:val="24"/>
                                <w:lang w:val="sv-SE"/>
                              </w:rPr>
                              <w:t>Sumber : Laporan Triwulan Bank Muamalat Indonesia 2017-2024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BB6AE" id="_x0000_s1035" type="#_x0000_t202" style="position:absolute;margin-left:24.75pt;margin-top:497.7pt;width:345.75pt;height:30.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" filled="f" stroked="f">
                <v:textbox>
                  <w:txbxContent>
                    <w:p w14:paraId="7B6E1C98" w14:textId="77777777" w:rsidR="00F75967" w:rsidRPr="001A4A06" w:rsidRDefault="00F75967" w:rsidP="00F75967">
                      <w:pPr>
                        <w:rPr>
                          <w:rFonts w:asciiTheme="majorBidi" w:hAnsiTheme="majorBidi" w:cstheme="majorBidi"/>
                          <w:sz w:val="24"/>
                          <w:szCs w:val="24"/>
                          <w:lang w:val="sv-SE"/>
                        </w:rPr>
                      </w:pPr>
                      <w:r w:rsidRPr="001A4A06">
                        <w:rPr>
                          <w:rFonts w:asciiTheme="majorBidi" w:hAnsiTheme="majorBidi" w:cstheme="majorBidi"/>
                          <w:sz w:val="24"/>
                          <w:szCs w:val="24"/>
                          <w:lang w:val="sv-SE"/>
                        </w:rPr>
                        <w:t>Sumber : Laporan Triwulan Bank Muamalat Indonesia 2017-2024</w:t>
                      </w:r>
                    </w:p>
                  </w:txbxContent>
                </v:textbox>
              </v:shape>
            </w:pict>
          </mc:Fallback>
        </mc:AlternateContent>
      </w:r>
    </w:p>
    <w:p w14:paraId="27A8D94B" w14:textId="77777777" w:rsidR="00F75967" w:rsidRPr="00FF6109" w:rsidRDefault="00F75967" w:rsidP="00C40188">
      <w:pPr>
        <w:spacing w:line="360" w:lineRule="auto"/>
        <w:rPr>
          <w:rFonts w:asciiTheme="majorBidi" w:hAnsiTheme="majorBidi" w:cstheme="majorBidi"/>
          <w:b/>
          <w:bCs/>
          <w:sz w:val="24"/>
          <w:szCs w:val="24"/>
          <w:lang w:val="sv-SE"/>
        </w:rPr>
      </w:pPr>
    </w:p>
    <w:p w14:paraId="36167B4A" w14:textId="77777777" w:rsidR="00F75967" w:rsidRPr="00FF6109" w:rsidRDefault="00F75967" w:rsidP="00C40188">
      <w:pPr>
        <w:spacing w:line="360" w:lineRule="auto"/>
        <w:rPr>
          <w:rFonts w:asciiTheme="majorBidi" w:hAnsiTheme="majorBidi" w:cstheme="majorBidi"/>
          <w:b/>
          <w:bCs/>
          <w:sz w:val="24"/>
          <w:szCs w:val="24"/>
          <w:lang w:val="sv-SE"/>
        </w:rPr>
      </w:pPr>
    </w:p>
    <w:p w14:paraId="5577934F" w14:textId="6C6EC2E9" w:rsidR="00F75967" w:rsidRDefault="00E17038" w:rsidP="00E17038">
      <w:pPr>
        <w:tabs>
          <w:tab w:val="left" w:pos="1830"/>
        </w:tabs>
        <w:spacing w:line="360" w:lineRule="auto"/>
        <w:rPr>
          <w:rFonts w:asciiTheme="majorBidi" w:hAnsiTheme="majorBidi" w:cstheme="majorBidi"/>
          <w:b/>
          <w:bCs/>
          <w:sz w:val="24"/>
          <w:szCs w:val="24"/>
          <w:lang w:val="sv-SE"/>
        </w:rPr>
      </w:pPr>
      <w:r>
        <w:rPr>
          <w:rFonts w:asciiTheme="majorBidi" w:hAnsiTheme="majorBidi" w:cstheme="majorBidi"/>
          <w:b/>
          <w:bCs/>
          <w:sz w:val="24"/>
          <w:szCs w:val="24"/>
          <w:lang w:val="sv-SE"/>
        </w:rPr>
        <w:tab/>
      </w:r>
    </w:p>
    <w:p w14:paraId="39ADA231" w14:textId="77777777" w:rsidR="00E17038" w:rsidRPr="00FF6109" w:rsidRDefault="00E17038" w:rsidP="00E17038">
      <w:pPr>
        <w:tabs>
          <w:tab w:val="left" w:pos="1830"/>
        </w:tabs>
        <w:spacing w:line="360" w:lineRule="auto"/>
        <w:rPr>
          <w:rFonts w:asciiTheme="majorBidi" w:hAnsiTheme="majorBidi" w:cstheme="majorBidi"/>
          <w:b/>
          <w:bCs/>
          <w:sz w:val="24"/>
          <w:szCs w:val="24"/>
          <w:lang w:val="sv-SE"/>
        </w:rPr>
      </w:pPr>
    </w:p>
    <w:p w14:paraId="2F3B50C6" w14:textId="6CE3005A" w:rsidR="002B35B8" w:rsidRPr="00B51544" w:rsidRDefault="002B35B8">
      <w:pPr>
        <w:pStyle w:val="ListParagraph"/>
        <w:numPr>
          <w:ilvl w:val="0"/>
          <w:numId w:val="14"/>
        </w:numPr>
        <w:spacing w:line="360" w:lineRule="auto"/>
        <w:jc w:val="both"/>
        <w:rPr>
          <w:rFonts w:asciiTheme="majorBidi" w:hAnsiTheme="majorBidi" w:cstheme="majorBidi"/>
          <w:b/>
          <w:bCs/>
          <w:sz w:val="24"/>
          <w:szCs w:val="24"/>
          <w:lang w:val="pt-BR"/>
        </w:rPr>
      </w:pPr>
      <w:r w:rsidRPr="00B51544">
        <w:rPr>
          <w:rFonts w:asciiTheme="majorBidi" w:hAnsiTheme="majorBidi" w:cstheme="majorBidi"/>
          <w:b/>
          <w:bCs/>
          <w:sz w:val="24"/>
          <w:szCs w:val="24"/>
          <w:lang w:val="pt-BR"/>
        </w:rPr>
        <w:lastRenderedPageBreak/>
        <w:t>Uji Deskriptif</w:t>
      </w:r>
    </w:p>
    <w:p w14:paraId="3117DA60" w14:textId="5AD5F2B6" w:rsidR="00834B34" w:rsidRPr="00834B34" w:rsidRDefault="00834B34" w:rsidP="00B51544">
      <w:pPr>
        <w:pStyle w:val="ListParagraph"/>
        <w:spacing w:line="360" w:lineRule="auto"/>
        <w:ind w:firstLine="720"/>
        <w:jc w:val="both"/>
        <w:rPr>
          <w:rFonts w:asciiTheme="majorBidi" w:hAnsiTheme="majorBidi" w:cstheme="majorBidi"/>
          <w:sz w:val="24"/>
          <w:szCs w:val="24"/>
          <w:lang w:val="sv-SE"/>
        </w:rPr>
      </w:pPr>
      <w:r w:rsidRPr="00834B34">
        <w:rPr>
          <w:rFonts w:asciiTheme="majorBidi" w:hAnsiTheme="majorBidi" w:cstheme="majorBidi"/>
          <w:sz w:val="24"/>
          <w:szCs w:val="24"/>
          <w:lang w:val="sv-SE"/>
        </w:rPr>
        <w:t>Berdasarkan analisis statistik deskriptif, penelitian ini mencakup jumlah sampel, rata-rata dari sampel, nilai tertinggi, nilai terendah, serta deviasi standar.</w:t>
      </w:r>
    </w:p>
    <w:p w14:paraId="2DB1B7A6" w14:textId="04649154" w:rsidR="00C40188" w:rsidRPr="00FF6109" w:rsidRDefault="00C40188" w:rsidP="00C40188">
      <w:pPr>
        <w:pStyle w:val="Caption"/>
        <w:jc w:val="center"/>
        <w:rPr>
          <w:rFonts w:asciiTheme="majorBidi" w:hAnsiTheme="majorBidi" w:cstheme="majorBidi"/>
          <w:b/>
          <w:bCs/>
          <w:i w:val="0"/>
          <w:iCs w:val="0"/>
          <w:color w:val="auto"/>
          <w:sz w:val="24"/>
          <w:szCs w:val="24"/>
          <w:lang w:val="sv-SE"/>
        </w:rPr>
      </w:pPr>
      <w:bookmarkStart w:id="76" w:name="_Toc200572251"/>
      <w:r w:rsidRPr="00FF6109">
        <w:rPr>
          <w:rFonts w:asciiTheme="majorBidi" w:hAnsiTheme="majorBidi" w:cstheme="majorBidi"/>
          <w:b/>
          <w:bCs/>
          <w:i w:val="0"/>
          <w:iCs w:val="0"/>
          <w:color w:val="auto"/>
          <w:sz w:val="24"/>
          <w:szCs w:val="24"/>
          <w:lang w:val="sv-SE"/>
        </w:rPr>
        <w:t xml:space="preserve">Tabel 4. </w:t>
      </w:r>
      <w:r w:rsidRPr="00C40188">
        <w:rPr>
          <w:rFonts w:asciiTheme="majorBidi" w:hAnsiTheme="majorBidi" w:cstheme="majorBidi"/>
          <w:b/>
          <w:bCs/>
          <w:i w:val="0"/>
          <w:iCs w:val="0"/>
          <w:color w:val="auto"/>
          <w:sz w:val="24"/>
          <w:szCs w:val="24"/>
        </w:rPr>
        <w:fldChar w:fldCharType="begin"/>
      </w:r>
      <w:r w:rsidRPr="00FF6109">
        <w:rPr>
          <w:rFonts w:asciiTheme="majorBidi" w:hAnsiTheme="majorBidi" w:cstheme="majorBidi"/>
          <w:b/>
          <w:bCs/>
          <w:i w:val="0"/>
          <w:iCs w:val="0"/>
          <w:color w:val="auto"/>
          <w:sz w:val="24"/>
          <w:szCs w:val="24"/>
          <w:lang w:val="sv-SE"/>
        </w:rPr>
        <w:instrText xml:space="preserve"> SEQ Tabel_4. \* ARABIC </w:instrText>
      </w:r>
      <w:r w:rsidRPr="00C40188">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2</w:t>
      </w:r>
      <w:r w:rsidRPr="00C40188">
        <w:rPr>
          <w:rFonts w:asciiTheme="majorBidi" w:hAnsiTheme="majorBidi" w:cstheme="majorBidi"/>
          <w:b/>
          <w:bCs/>
          <w:i w:val="0"/>
          <w:iCs w:val="0"/>
          <w:color w:val="auto"/>
          <w:sz w:val="24"/>
          <w:szCs w:val="24"/>
        </w:rPr>
        <w:fldChar w:fldCharType="end"/>
      </w:r>
      <w:r w:rsidRPr="00FF6109">
        <w:rPr>
          <w:rFonts w:asciiTheme="majorBidi" w:hAnsiTheme="majorBidi" w:cstheme="majorBidi"/>
          <w:b/>
          <w:bCs/>
          <w:i w:val="0"/>
          <w:iCs w:val="0"/>
          <w:color w:val="auto"/>
          <w:sz w:val="24"/>
          <w:szCs w:val="24"/>
          <w:lang w:val="sv-SE"/>
        </w:rPr>
        <w:t xml:space="preserve"> </w:t>
      </w:r>
      <w:r w:rsidRPr="00FF6109">
        <w:rPr>
          <w:rFonts w:asciiTheme="majorBidi" w:hAnsiTheme="majorBidi" w:cstheme="majorBidi"/>
          <w:b/>
          <w:bCs/>
          <w:i w:val="0"/>
          <w:iCs w:val="0"/>
          <w:color w:val="auto"/>
          <w:sz w:val="24"/>
          <w:szCs w:val="24"/>
          <w:lang w:val="sv-SE"/>
        </w:rPr>
        <w:br/>
        <w:t>Uji Descriptif Statistics</w:t>
      </w:r>
      <w:bookmarkEnd w:id="76"/>
    </w:p>
    <w:p w14:paraId="76A498B1" w14:textId="47F218E4" w:rsidR="00E957BA" w:rsidRPr="00FF6109" w:rsidRDefault="0027636A" w:rsidP="00C40188">
      <w:pPr>
        <w:pStyle w:val="Caption"/>
        <w:rPr>
          <w:rFonts w:asciiTheme="majorBidi" w:hAnsiTheme="majorBidi" w:cstheme="majorBidi"/>
          <w:noProof/>
          <w:kern w:val="0"/>
          <w:sz w:val="24"/>
          <w:szCs w:val="24"/>
          <w:lang w:val="sv-SE"/>
        </w:rPr>
      </w:pPr>
      <w:r w:rsidRPr="0027636A">
        <w:rPr>
          <w:rFonts w:asciiTheme="majorBidi" w:hAnsiTheme="majorBidi" w:cstheme="majorBidi"/>
          <w:b/>
          <w:bCs/>
          <w:i w:val="0"/>
          <w:iCs w:val="0"/>
          <w:noProof/>
          <w:color w:val="auto"/>
          <w:sz w:val="24"/>
          <w:szCs w:val="24"/>
        </w:rPr>
        <w:drawing>
          <wp:anchor distT="0" distB="0" distL="114300" distR="114300" simplePos="0" relativeHeight="251742208" behindDoc="0" locked="0" layoutInCell="1" allowOverlap="1" wp14:anchorId="464DF746" wp14:editId="4881CAAA">
            <wp:simplePos x="0" y="0"/>
            <wp:positionH relativeFrom="column">
              <wp:posOffset>466725</wp:posOffset>
            </wp:positionH>
            <wp:positionV relativeFrom="paragraph">
              <wp:posOffset>158115</wp:posOffset>
            </wp:positionV>
            <wp:extent cx="5353050" cy="2857500"/>
            <wp:effectExtent l="0" t="0" r="0" b="0"/>
            <wp:wrapSquare wrapText="bothSides"/>
            <wp:docPr id="12133312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53050" cy="2857500"/>
                    </a:xfrm>
                    <a:prstGeom prst="rect">
                      <a:avLst/>
                    </a:prstGeom>
                    <a:noFill/>
                    <a:ln>
                      <a:noFill/>
                    </a:ln>
                  </pic:spPr>
                </pic:pic>
              </a:graphicData>
            </a:graphic>
          </wp:anchor>
        </w:drawing>
      </w:r>
    </w:p>
    <w:p w14:paraId="6615F7C0" w14:textId="77777777" w:rsidR="00E957BA" w:rsidRPr="00FF6109" w:rsidRDefault="00E957BA" w:rsidP="00B51544">
      <w:pPr>
        <w:spacing w:line="360" w:lineRule="auto"/>
        <w:jc w:val="both"/>
        <w:rPr>
          <w:rFonts w:asciiTheme="majorBidi" w:hAnsiTheme="majorBidi" w:cstheme="majorBidi"/>
          <w:noProof/>
          <w:kern w:val="0"/>
          <w:sz w:val="24"/>
          <w:szCs w:val="24"/>
          <w:lang w:val="sv-SE"/>
        </w:rPr>
      </w:pPr>
    </w:p>
    <w:p w14:paraId="4F2B3C61" w14:textId="77777777" w:rsidR="00E957BA" w:rsidRPr="00FF6109" w:rsidRDefault="00E957BA" w:rsidP="00B51544">
      <w:pPr>
        <w:spacing w:line="360" w:lineRule="auto"/>
        <w:jc w:val="both"/>
        <w:rPr>
          <w:rFonts w:asciiTheme="majorBidi" w:hAnsiTheme="majorBidi" w:cstheme="majorBidi"/>
          <w:noProof/>
          <w:kern w:val="0"/>
          <w:sz w:val="24"/>
          <w:szCs w:val="24"/>
          <w:lang w:val="sv-SE"/>
        </w:rPr>
      </w:pPr>
    </w:p>
    <w:p w14:paraId="5E3A9531" w14:textId="77777777" w:rsidR="00E957BA" w:rsidRPr="00FF6109" w:rsidRDefault="00E957BA" w:rsidP="00B51544">
      <w:pPr>
        <w:spacing w:line="360" w:lineRule="auto"/>
        <w:jc w:val="both"/>
        <w:rPr>
          <w:rFonts w:asciiTheme="majorBidi" w:hAnsiTheme="majorBidi" w:cstheme="majorBidi"/>
          <w:noProof/>
          <w:kern w:val="0"/>
          <w:sz w:val="24"/>
          <w:szCs w:val="24"/>
          <w:lang w:val="sv-SE"/>
        </w:rPr>
      </w:pPr>
    </w:p>
    <w:p w14:paraId="5C057E1B" w14:textId="77777777" w:rsidR="00E957BA" w:rsidRPr="00FF6109" w:rsidRDefault="00E957BA" w:rsidP="00B51544">
      <w:pPr>
        <w:spacing w:line="360" w:lineRule="auto"/>
        <w:jc w:val="both"/>
        <w:rPr>
          <w:rFonts w:asciiTheme="majorBidi" w:hAnsiTheme="majorBidi" w:cstheme="majorBidi"/>
          <w:noProof/>
          <w:kern w:val="0"/>
          <w:sz w:val="24"/>
          <w:szCs w:val="24"/>
          <w:lang w:val="sv-SE"/>
        </w:rPr>
      </w:pPr>
    </w:p>
    <w:p w14:paraId="439405DB" w14:textId="77777777" w:rsidR="00E957BA" w:rsidRPr="00FF6109" w:rsidRDefault="00E957BA" w:rsidP="00B51544">
      <w:pPr>
        <w:spacing w:line="360" w:lineRule="auto"/>
        <w:jc w:val="both"/>
        <w:rPr>
          <w:rFonts w:asciiTheme="majorBidi" w:hAnsiTheme="majorBidi" w:cstheme="majorBidi"/>
          <w:noProof/>
          <w:kern w:val="0"/>
          <w:sz w:val="24"/>
          <w:szCs w:val="24"/>
          <w:lang w:val="sv-SE"/>
        </w:rPr>
      </w:pPr>
    </w:p>
    <w:p w14:paraId="528E3748" w14:textId="77777777" w:rsidR="00E957BA" w:rsidRPr="00FF6109" w:rsidRDefault="00E957BA" w:rsidP="00B51544">
      <w:pPr>
        <w:spacing w:line="360" w:lineRule="auto"/>
        <w:jc w:val="both"/>
        <w:rPr>
          <w:rFonts w:asciiTheme="majorBidi" w:hAnsiTheme="majorBidi" w:cstheme="majorBidi"/>
          <w:noProof/>
          <w:kern w:val="0"/>
          <w:sz w:val="24"/>
          <w:szCs w:val="24"/>
          <w:lang w:val="sv-SE"/>
        </w:rPr>
      </w:pPr>
    </w:p>
    <w:p w14:paraId="4CBE3FA3" w14:textId="268D5D92" w:rsidR="00E957BA" w:rsidRPr="00FF6109" w:rsidRDefault="00E957BA" w:rsidP="00B51544">
      <w:pPr>
        <w:spacing w:line="360" w:lineRule="auto"/>
        <w:jc w:val="both"/>
        <w:rPr>
          <w:rFonts w:asciiTheme="majorBidi" w:hAnsiTheme="majorBidi" w:cstheme="majorBidi"/>
          <w:noProof/>
          <w:kern w:val="0"/>
          <w:sz w:val="24"/>
          <w:szCs w:val="24"/>
          <w:lang w:val="sv-SE"/>
        </w:rPr>
      </w:pPr>
    </w:p>
    <w:p w14:paraId="39399369" w14:textId="184B8288" w:rsidR="00E957BA" w:rsidRPr="00FF6109" w:rsidRDefault="0027636A" w:rsidP="00B51544">
      <w:pPr>
        <w:spacing w:line="360" w:lineRule="auto"/>
        <w:jc w:val="both"/>
        <w:rPr>
          <w:rFonts w:asciiTheme="majorBidi" w:hAnsiTheme="majorBidi" w:cstheme="majorBidi"/>
          <w:noProof/>
          <w:kern w:val="0"/>
          <w:sz w:val="24"/>
          <w:szCs w:val="24"/>
          <w:lang w:val="sv-SE"/>
        </w:rPr>
      </w:pPr>
      <w:r>
        <w:rPr>
          <w:rFonts w:asciiTheme="majorBidi" w:hAnsiTheme="majorBidi" w:cstheme="majorBidi"/>
          <w:noProof/>
          <w:kern w:val="0"/>
          <w:sz w:val="24"/>
          <w:szCs w:val="24"/>
        </w:rPr>
        <mc:AlternateContent>
          <mc:Choice Requires="wps">
            <w:drawing>
              <wp:anchor distT="0" distB="0" distL="114300" distR="114300" simplePos="0" relativeHeight="251725824" behindDoc="0" locked="0" layoutInCell="1" allowOverlap="1" wp14:anchorId="402E2146" wp14:editId="06EA5229">
                <wp:simplePos x="0" y="0"/>
                <wp:positionH relativeFrom="column">
                  <wp:posOffset>466725</wp:posOffset>
                </wp:positionH>
                <wp:positionV relativeFrom="paragraph">
                  <wp:posOffset>132080</wp:posOffset>
                </wp:positionV>
                <wp:extent cx="3981450" cy="276225"/>
                <wp:effectExtent l="0" t="0" r="0" b="9525"/>
                <wp:wrapNone/>
                <wp:docPr id="683437788"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1CFF5F" w14:textId="3C7CC7B3" w:rsidR="0030061A" w:rsidRPr="0030061A" w:rsidRDefault="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2E2146" id="_x0000_s1036" type="#_x0000_t202" style="position:absolute;left:0;text-align:left;margin-left:36.75pt;margin-top:10.4pt;width:313.5pt;height:21.7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" filled="f" stroked="f">
                <v:textbox>
                  <w:txbxContent>
                    <w:p w14:paraId="4A1CFF5F" w14:textId="3C7CC7B3" w:rsidR="0030061A" w:rsidRPr="0030061A" w:rsidRDefault="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p>
    <w:p w14:paraId="30AAA4BB" w14:textId="06827D74" w:rsidR="00DA5D8F" w:rsidRPr="00FF6109" w:rsidRDefault="00DA5D8F" w:rsidP="00B51544">
      <w:pPr>
        <w:spacing w:line="360" w:lineRule="auto"/>
        <w:jc w:val="both"/>
        <w:rPr>
          <w:rFonts w:asciiTheme="majorBidi" w:hAnsiTheme="majorBidi" w:cstheme="majorBidi"/>
          <w:b/>
          <w:bCs/>
          <w:sz w:val="24"/>
          <w:szCs w:val="24"/>
          <w:lang w:val="sv-SE"/>
        </w:rPr>
      </w:pPr>
    </w:p>
    <w:p w14:paraId="1665ED87" w14:textId="6B84F937" w:rsidR="00DA5D8F" w:rsidRPr="00B51544" w:rsidRDefault="0092042B" w:rsidP="0030061A">
      <w:pPr>
        <w:spacing w:line="360" w:lineRule="auto"/>
        <w:ind w:left="709" w:firstLine="709"/>
        <w:jc w:val="both"/>
        <w:rPr>
          <w:rFonts w:asciiTheme="majorBidi" w:hAnsiTheme="majorBidi" w:cstheme="majorBidi"/>
          <w:sz w:val="24"/>
          <w:szCs w:val="24"/>
        </w:rPr>
      </w:pPr>
      <w:r w:rsidRPr="00FF6109">
        <w:rPr>
          <w:rFonts w:asciiTheme="majorBidi" w:hAnsiTheme="majorBidi" w:cstheme="majorBidi"/>
          <w:sz w:val="24"/>
          <w:szCs w:val="24"/>
          <w:lang w:val="sv-SE"/>
        </w:rPr>
        <w:t xml:space="preserve">Berdasarkan tabel 4. 1, terdapat informasi mengenai jumlah data yang dibutuhkan, yaitu 32 sampel yang diambil dari laporan keuangan PT Bank Muamalat Indonesia untuk periode 2017 hingga 2024. </w:t>
      </w:r>
      <w:r w:rsidRPr="0092042B">
        <w:rPr>
          <w:rFonts w:asciiTheme="majorBidi" w:hAnsiTheme="majorBidi" w:cstheme="majorBidi"/>
          <w:sz w:val="24"/>
          <w:szCs w:val="24"/>
        </w:rPr>
        <w:t>Berikut adalah penjelasan mengenai masing-masing variabel.</w:t>
      </w:r>
      <w:r w:rsidR="003E5A4D" w:rsidRPr="00B51544">
        <w:rPr>
          <w:rFonts w:asciiTheme="majorBidi" w:hAnsiTheme="majorBidi" w:cstheme="majorBidi"/>
          <w:sz w:val="24"/>
          <w:szCs w:val="24"/>
        </w:rPr>
        <w:t>:</w:t>
      </w:r>
    </w:p>
    <w:p w14:paraId="00A25702" w14:textId="457C0977" w:rsidR="00B14FD0" w:rsidRPr="00B51544" w:rsidRDefault="00B14FD0">
      <w:pPr>
        <w:pStyle w:val="ListParagraph"/>
        <w:numPr>
          <w:ilvl w:val="0"/>
          <w:numId w:val="16"/>
        </w:numPr>
        <w:spacing w:line="360" w:lineRule="auto"/>
        <w:jc w:val="both"/>
        <w:rPr>
          <w:rFonts w:asciiTheme="majorBidi" w:hAnsiTheme="majorBidi" w:cstheme="majorBidi"/>
          <w:sz w:val="24"/>
          <w:szCs w:val="24"/>
        </w:rPr>
      </w:pPr>
      <w:r w:rsidRPr="00B51544">
        <w:rPr>
          <w:rFonts w:asciiTheme="majorBidi" w:hAnsiTheme="majorBidi" w:cstheme="majorBidi"/>
          <w:sz w:val="24"/>
          <w:szCs w:val="24"/>
        </w:rPr>
        <w:t>Variabel deposito mudharabah yang merupakan variabel dependen (Y) menunjukkan dari 32 data deposito mudharabah di peroleh nilai</w:t>
      </w:r>
      <w:r w:rsidR="00A9544C" w:rsidRPr="00B51544">
        <w:rPr>
          <w:rFonts w:asciiTheme="majorBidi" w:hAnsiTheme="majorBidi" w:cstheme="majorBidi"/>
          <w:sz w:val="24"/>
          <w:szCs w:val="24"/>
        </w:rPr>
        <w:t xml:space="preserve"> rata -rata (mean) sebesar </w:t>
      </w:r>
      <w:r w:rsidR="00A9544C" w:rsidRPr="00B51544">
        <w:rPr>
          <w:rFonts w:asciiTheme="majorBidi" w:hAnsiTheme="majorBidi" w:cstheme="majorBidi"/>
          <w:color w:val="000000"/>
          <w:kern w:val="0"/>
          <w:sz w:val="24"/>
          <w:szCs w:val="24"/>
        </w:rPr>
        <w:t> 12.889.626, nilai Tengah (median) sebesar  19.830.656. Untuk nilai maksimumnya sebesar  23.623.285 dan nilai minimumnya sebesar 812.037.</w:t>
      </w:r>
    </w:p>
    <w:p w14:paraId="5D08D342" w14:textId="2E555DAA" w:rsidR="00A9544C" w:rsidRPr="00B51544" w:rsidRDefault="00A9544C">
      <w:pPr>
        <w:pStyle w:val="ListParagraph"/>
        <w:numPr>
          <w:ilvl w:val="0"/>
          <w:numId w:val="16"/>
        </w:numPr>
        <w:spacing w:line="360" w:lineRule="auto"/>
        <w:jc w:val="both"/>
        <w:rPr>
          <w:rFonts w:asciiTheme="majorBidi" w:hAnsiTheme="majorBidi" w:cstheme="majorBidi"/>
          <w:sz w:val="24"/>
          <w:szCs w:val="24"/>
        </w:rPr>
      </w:pPr>
      <w:r w:rsidRPr="00B51544">
        <w:rPr>
          <w:rFonts w:asciiTheme="majorBidi" w:hAnsiTheme="majorBidi" w:cstheme="majorBidi"/>
          <w:color w:val="000000"/>
          <w:kern w:val="0"/>
          <w:sz w:val="24"/>
          <w:szCs w:val="24"/>
        </w:rPr>
        <w:t>Variabel NPF yang merupakan variabel independen (X</w:t>
      </w:r>
      <w:r w:rsidRPr="00B51544">
        <w:rPr>
          <w:rFonts w:asciiTheme="majorBidi" w:hAnsiTheme="majorBidi" w:cstheme="majorBidi"/>
          <w:color w:val="000000"/>
          <w:kern w:val="0"/>
          <w:sz w:val="24"/>
          <w:szCs w:val="24"/>
          <w:vertAlign w:val="subscript"/>
        </w:rPr>
        <w:t>1</w:t>
      </w:r>
      <w:r w:rsidRPr="00B51544">
        <w:rPr>
          <w:rFonts w:asciiTheme="majorBidi" w:hAnsiTheme="majorBidi" w:cstheme="majorBidi"/>
          <w:color w:val="000000"/>
          <w:kern w:val="0"/>
          <w:sz w:val="24"/>
          <w:szCs w:val="24"/>
        </w:rPr>
        <w:t>) menunjukkan dari 32 data NPF diperoleh nilai rata-rata (mean) sebesar 2,56% nilai tengah (median) sebesar 2,74%. Untuk nilai maksimumnya sebesar 4,98% yakni pada tahun 2020 dan nilai minimumnya sebesar 0,08% pada tahun 2021.</w:t>
      </w:r>
    </w:p>
    <w:p w14:paraId="6DD25C23" w14:textId="025ED0C2" w:rsidR="00A9544C" w:rsidRPr="00B51544" w:rsidRDefault="00A9544C">
      <w:pPr>
        <w:pStyle w:val="ListParagraph"/>
        <w:numPr>
          <w:ilvl w:val="0"/>
          <w:numId w:val="16"/>
        </w:numPr>
        <w:spacing w:line="360" w:lineRule="auto"/>
        <w:jc w:val="both"/>
        <w:rPr>
          <w:rFonts w:asciiTheme="majorBidi" w:hAnsiTheme="majorBidi" w:cstheme="majorBidi"/>
          <w:sz w:val="24"/>
          <w:szCs w:val="24"/>
          <w:lang w:val="sv-SE"/>
        </w:rPr>
      </w:pPr>
      <w:r w:rsidRPr="00B51544">
        <w:rPr>
          <w:rFonts w:asciiTheme="majorBidi" w:hAnsiTheme="majorBidi" w:cstheme="majorBidi"/>
          <w:color w:val="000000"/>
          <w:kern w:val="0"/>
          <w:sz w:val="24"/>
          <w:szCs w:val="24"/>
          <w:lang w:val="sv-SE"/>
        </w:rPr>
        <w:t>Variabel FDR yang merupakan variabel independen (X</w:t>
      </w:r>
      <w:r w:rsidRPr="00B51544">
        <w:rPr>
          <w:rFonts w:asciiTheme="majorBidi" w:hAnsiTheme="majorBidi" w:cstheme="majorBidi"/>
          <w:color w:val="000000"/>
          <w:kern w:val="0"/>
          <w:sz w:val="24"/>
          <w:szCs w:val="24"/>
          <w:vertAlign w:val="subscript"/>
          <w:lang w:val="sv-SE"/>
        </w:rPr>
        <w:t>2</w:t>
      </w:r>
      <w:r w:rsidRPr="00B51544">
        <w:rPr>
          <w:rFonts w:asciiTheme="majorBidi" w:hAnsiTheme="majorBidi" w:cstheme="majorBidi"/>
          <w:color w:val="000000"/>
          <w:kern w:val="0"/>
          <w:sz w:val="24"/>
          <w:szCs w:val="24"/>
          <w:lang w:val="sv-SE"/>
        </w:rPr>
        <w:t xml:space="preserve">) menunjukkan dari 32 data FDR diperoleh </w:t>
      </w:r>
      <w:r w:rsidR="00D05837" w:rsidRPr="00B51544">
        <w:rPr>
          <w:rFonts w:asciiTheme="majorBidi" w:hAnsiTheme="majorBidi" w:cstheme="majorBidi"/>
          <w:color w:val="000000"/>
          <w:kern w:val="0"/>
          <w:sz w:val="24"/>
          <w:szCs w:val="24"/>
          <w:lang w:val="sv-SE"/>
        </w:rPr>
        <w:t xml:space="preserve">nilai rata-rata (mean) sebesar </w:t>
      </w:r>
      <w:r w:rsidR="00C126BC" w:rsidRPr="00B51544">
        <w:rPr>
          <w:rFonts w:asciiTheme="majorBidi" w:hAnsiTheme="majorBidi" w:cstheme="majorBidi"/>
          <w:color w:val="000000"/>
          <w:kern w:val="0"/>
          <w:sz w:val="24"/>
          <w:szCs w:val="24"/>
          <w:lang w:val="sv-SE"/>
        </w:rPr>
        <w:t>62,43</w:t>
      </w:r>
      <w:r w:rsidR="00D05837" w:rsidRPr="00B51544">
        <w:rPr>
          <w:rFonts w:asciiTheme="majorBidi" w:hAnsiTheme="majorBidi" w:cstheme="majorBidi"/>
          <w:color w:val="000000"/>
          <w:kern w:val="0"/>
          <w:sz w:val="24"/>
          <w:szCs w:val="24"/>
          <w:lang w:val="sv-SE"/>
        </w:rPr>
        <w:t xml:space="preserve">%, nilai tengah (median) sebesar 67,38%. Untuk nilai maksimumnya sebesar </w:t>
      </w:r>
      <w:r w:rsidR="00C126BC" w:rsidRPr="00B51544">
        <w:rPr>
          <w:rFonts w:asciiTheme="majorBidi" w:hAnsiTheme="majorBidi" w:cstheme="majorBidi"/>
          <w:color w:val="000000"/>
          <w:kern w:val="0"/>
          <w:sz w:val="24"/>
          <w:szCs w:val="24"/>
          <w:lang w:val="sv-SE"/>
        </w:rPr>
        <w:t>90,93</w:t>
      </w:r>
      <w:r w:rsidR="00D05837" w:rsidRPr="00B51544">
        <w:rPr>
          <w:rFonts w:asciiTheme="majorBidi" w:hAnsiTheme="majorBidi" w:cstheme="majorBidi"/>
          <w:color w:val="000000"/>
          <w:kern w:val="0"/>
          <w:sz w:val="24"/>
          <w:szCs w:val="24"/>
          <w:lang w:val="sv-SE"/>
        </w:rPr>
        <w:t>% yakni pada tahun 2017 dan nilai minimumnya sebesar 38,33% pada tahun 2021.</w:t>
      </w:r>
    </w:p>
    <w:p w14:paraId="45A97304" w14:textId="13DC1EAC" w:rsidR="002B35B8" w:rsidRPr="00B51544" w:rsidRDefault="00D05837">
      <w:pPr>
        <w:pStyle w:val="ListParagraph"/>
        <w:numPr>
          <w:ilvl w:val="0"/>
          <w:numId w:val="16"/>
        </w:numPr>
        <w:spacing w:line="360" w:lineRule="auto"/>
        <w:jc w:val="both"/>
        <w:rPr>
          <w:rFonts w:asciiTheme="majorBidi" w:hAnsiTheme="majorBidi" w:cstheme="majorBidi"/>
          <w:sz w:val="24"/>
          <w:szCs w:val="24"/>
          <w:lang w:val="sv-SE"/>
        </w:rPr>
      </w:pPr>
      <w:r w:rsidRPr="00B51544">
        <w:rPr>
          <w:rFonts w:asciiTheme="majorBidi" w:hAnsiTheme="majorBidi" w:cstheme="majorBidi"/>
          <w:color w:val="000000"/>
          <w:kern w:val="0"/>
          <w:sz w:val="24"/>
          <w:szCs w:val="24"/>
          <w:lang w:val="sv-SE"/>
        </w:rPr>
        <w:lastRenderedPageBreak/>
        <w:t>Variabel Nisbah Bagi Hasil yang merupakan variabel independen (X</w:t>
      </w:r>
      <w:r w:rsidRPr="00B51544">
        <w:rPr>
          <w:rFonts w:asciiTheme="majorBidi" w:hAnsiTheme="majorBidi" w:cstheme="majorBidi"/>
          <w:color w:val="000000"/>
          <w:kern w:val="0"/>
          <w:sz w:val="24"/>
          <w:szCs w:val="24"/>
          <w:vertAlign w:val="subscript"/>
          <w:lang w:val="sv-SE"/>
        </w:rPr>
        <w:t>3</w:t>
      </w:r>
      <w:r w:rsidRPr="00B51544">
        <w:rPr>
          <w:rFonts w:asciiTheme="majorBidi" w:hAnsiTheme="majorBidi" w:cstheme="majorBidi"/>
          <w:color w:val="000000"/>
          <w:kern w:val="0"/>
          <w:sz w:val="24"/>
          <w:szCs w:val="24"/>
          <w:lang w:val="sv-SE"/>
        </w:rPr>
        <w:t xml:space="preserve">) menunjukkan dari 32 data Nisbah Bagi Hasil diperoleh nilai rata-rata (mean) sebesar 56,23%, nilai tengah (median) sebesar 52,53%. Untuk nilai maksimumnya sebesar 71,68% yakni pada tahun </w:t>
      </w:r>
      <w:r w:rsidR="00713991" w:rsidRPr="00B51544">
        <w:rPr>
          <w:rFonts w:asciiTheme="majorBidi" w:hAnsiTheme="majorBidi" w:cstheme="majorBidi"/>
          <w:color w:val="000000"/>
          <w:kern w:val="0"/>
          <w:sz w:val="24"/>
          <w:szCs w:val="24"/>
          <w:lang w:val="sv-SE"/>
        </w:rPr>
        <w:t>2024 dan nilai minimumnya sebesar 47,67% pada tahun 2018.</w:t>
      </w:r>
    </w:p>
    <w:p w14:paraId="1B0B87B8" w14:textId="378CD22B" w:rsidR="00DA5D8F" w:rsidRPr="00B51544" w:rsidRDefault="00DA5D8F">
      <w:pPr>
        <w:pStyle w:val="ListParagraph"/>
        <w:numPr>
          <w:ilvl w:val="0"/>
          <w:numId w:val="14"/>
        </w:numPr>
        <w:spacing w:line="360" w:lineRule="auto"/>
        <w:jc w:val="both"/>
        <w:rPr>
          <w:rFonts w:asciiTheme="majorBidi" w:hAnsiTheme="majorBidi" w:cstheme="majorBidi"/>
          <w:b/>
          <w:bCs/>
          <w:sz w:val="24"/>
          <w:szCs w:val="24"/>
          <w:lang w:val="pt-BR"/>
        </w:rPr>
      </w:pPr>
      <w:r w:rsidRPr="00B51544">
        <w:rPr>
          <w:rFonts w:asciiTheme="majorBidi" w:hAnsiTheme="majorBidi" w:cstheme="majorBidi"/>
          <w:b/>
          <w:bCs/>
          <w:sz w:val="24"/>
          <w:szCs w:val="24"/>
          <w:lang w:val="pt-BR"/>
        </w:rPr>
        <w:t>Uji Asumsi Klasik</w:t>
      </w:r>
    </w:p>
    <w:p w14:paraId="0F1A55D9" w14:textId="3AC56DA9" w:rsidR="00DA5D8F" w:rsidRPr="00B51544" w:rsidRDefault="00DA5D8F">
      <w:pPr>
        <w:pStyle w:val="ListParagraph"/>
        <w:numPr>
          <w:ilvl w:val="0"/>
          <w:numId w:val="15"/>
        </w:num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Uji Normalitas</w:t>
      </w:r>
    </w:p>
    <w:p w14:paraId="5B320812" w14:textId="5E3CA502" w:rsidR="00DA5D8F" w:rsidRPr="0092042B" w:rsidRDefault="0092042B" w:rsidP="0092042B">
      <w:pPr>
        <w:pStyle w:val="ListParagraph"/>
        <w:tabs>
          <w:tab w:val="left" w:pos="1134"/>
        </w:tabs>
        <w:spacing w:line="360" w:lineRule="auto"/>
        <w:ind w:left="1080" w:firstLine="360"/>
        <w:jc w:val="both"/>
        <w:rPr>
          <w:rFonts w:asciiTheme="majorBidi" w:hAnsiTheme="majorBidi" w:cstheme="majorBidi"/>
          <w:sz w:val="24"/>
          <w:szCs w:val="24"/>
          <w:lang w:val="pt-BR"/>
        </w:rPr>
      </w:pPr>
      <w:r w:rsidRPr="0092042B">
        <w:rPr>
          <w:rFonts w:asciiTheme="majorBidi" w:hAnsiTheme="majorBidi" w:cstheme="majorBidi"/>
          <w:sz w:val="24"/>
          <w:szCs w:val="24"/>
          <w:lang w:val="pt-BR"/>
        </w:rPr>
        <w:t xml:space="preserve">Uji normalitas dilakukan untuk mengetahui apakah residual yang dianalisis mengikuti distribusi normal atau tidak. Residual dianggap mengikuti distribusi normal apabila nilai signifikansinya melebihi batas kesalahan yang telah ditentukan, yakni 5%. </w:t>
      </w:r>
      <w:r w:rsidRPr="0092042B">
        <w:rPr>
          <w:rFonts w:asciiTheme="majorBidi" w:hAnsiTheme="majorBidi" w:cstheme="majorBidi"/>
          <w:sz w:val="24"/>
          <w:szCs w:val="24"/>
          <w:lang w:val="sv-SE"/>
        </w:rPr>
        <w:t xml:space="preserve">Persyaratan normalitas ini harus dipenuhi agar analisis pada tahap berikutnya dapat dilaksanakan. </w:t>
      </w:r>
      <w:r w:rsidRPr="0092042B">
        <w:rPr>
          <w:rFonts w:asciiTheme="majorBidi" w:hAnsiTheme="majorBidi" w:cstheme="majorBidi"/>
          <w:sz w:val="24"/>
          <w:szCs w:val="24"/>
          <w:lang w:val="pt-BR"/>
        </w:rPr>
        <w:t>Hasil dari uji normalitas dapat dilihat pada tabel di bawah ini</w:t>
      </w:r>
      <w:r>
        <w:rPr>
          <w:rFonts w:asciiTheme="majorBidi" w:hAnsiTheme="majorBidi" w:cstheme="majorBidi"/>
          <w:sz w:val="24"/>
          <w:szCs w:val="24"/>
          <w:lang w:val="pt-BR"/>
        </w:rPr>
        <w:t xml:space="preserve"> </w:t>
      </w:r>
      <w:r w:rsidR="00713991" w:rsidRPr="0092042B">
        <w:rPr>
          <w:rFonts w:asciiTheme="majorBidi" w:hAnsiTheme="majorBidi" w:cstheme="majorBidi"/>
          <w:sz w:val="24"/>
          <w:szCs w:val="24"/>
          <w:lang w:val="pt-BR"/>
        </w:rPr>
        <w:t xml:space="preserve">: </w:t>
      </w:r>
    </w:p>
    <w:p w14:paraId="1605CC41" w14:textId="77777777" w:rsidR="0030061A" w:rsidRPr="0092042B" w:rsidRDefault="0030061A" w:rsidP="0030061A">
      <w:pPr>
        <w:spacing w:line="360" w:lineRule="auto"/>
        <w:jc w:val="both"/>
        <w:rPr>
          <w:rFonts w:asciiTheme="majorBidi" w:hAnsiTheme="majorBidi" w:cstheme="majorBidi"/>
          <w:sz w:val="24"/>
          <w:szCs w:val="24"/>
          <w:lang w:val="pt-BR"/>
        </w:rPr>
      </w:pPr>
    </w:p>
    <w:p w14:paraId="62010F7B" w14:textId="7B0B7C12" w:rsidR="008B2471" w:rsidRPr="00FF6109" w:rsidRDefault="008B2471" w:rsidP="008B2471">
      <w:pPr>
        <w:pStyle w:val="Caption"/>
        <w:jc w:val="center"/>
        <w:rPr>
          <w:rFonts w:asciiTheme="majorBidi" w:hAnsiTheme="majorBidi" w:cstheme="majorBidi"/>
          <w:b/>
          <w:bCs/>
          <w:i w:val="0"/>
          <w:iCs w:val="0"/>
          <w:color w:val="auto"/>
          <w:sz w:val="24"/>
          <w:szCs w:val="24"/>
          <w:lang w:val="pt-BR"/>
        </w:rPr>
      </w:pPr>
      <w:bookmarkStart w:id="77" w:name="_Toc200572252"/>
      <w:r w:rsidRPr="00FF6109">
        <w:rPr>
          <w:rFonts w:asciiTheme="majorBidi" w:hAnsiTheme="majorBidi" w:cstheme="majorBidi"/>
          <w:b/>
          <w:bCs/>
          <w:i w:val="0"/>
          <w:iCs w:val="0"/>
          <w:color w:val="auto"/>
          <w:sz w:val="24"/>
          <w:szCs w:val="24"/>
          <w:lang w:val="pt-BR"/>
        </w:rPr>
        <w:t xml:space="preserve">Tabel 4. </w:t>
      </w:r>
      <w:r w:rsidRPr="008B2471">
        <w:rPr>
          <w:rFonts w:asciiTheme="majorBidi" w:hAnsiTheme="majorBidi" w:cstheme="majorBidi"/>
          <w:b/>
          <w:bCs/>
          <w:i w:val="0"/>
          <w:iCs w:val="0"/>
          <w:color w:val="auto"/>
          <w:sz w:val="24"/>
          <w:szCs w:val="24"/>
        </w:rPr>
        <w:fldChar w:fldCharType="begin"/>
      </w:r>
      <w:r w:rsidRPr="00FF6109">
        <w:rPr>
          <w:rFonts w:asciiTheme="majorBidi" w:hAnsiTheme="majorBidi" w:cstheme="majorBidi"/>
          <w:b/>
          <w:bCs/>
          <w:i w:val="0"/>
          <w:iCs w:val="0"/>
          <w:color w:val="auto"/>
          <w:sz w:val="24"/>
          <w:szCs w:val="24"/>
          <w:lang w:val="pt-BR"/>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pt-BR"/>
        </w:rPr>
        <w:t>3</w:t>
      </w:r>
      <w:r w:rsidRPr="008B2471">
        <w:rPr>
          <w:rFonts w:asciiTheme="majorBidi" w:hAnsiTheme="majorBidi" w:cstheme="majorBidi"/>
          <w:b/>
          <w:bCs/>
          <w:i w:val="0"/>
          <w:iCs w:val="0"/>
          <w:color w:val="auto"/>
          <w:sz w:val="24"/>
          <w:szCs w:val="24"/>
        </w:rPr>
        <w:fldChar w:fldCharType="end"/>
      </w:r>
      <w:r w:rsidRPr="00FF6109">
        <w:rPr>
          <w:rFonts w:asciiTheme="majorBidi" w:hAnsiTheme="majorBidi" w:cstheme="majorBidi"/>
          <w:b/>
          <w:bCs/>
          <w:i w:val="0"/>
          <w:iCs w:val="0"/>
          <w:color w:val="auto"/>
          <w:sz w:val="24"/>
          <w:szCs w:val="24"/>
          <w:lang w:val="pt-BR"/>
        </w:rPr>
        <w:t xml:space="preserve"> </w:t>
      </w:r>
      <w:r w:rsidRPr="00FF6109">
        <w:rPr>
          <w:rFonts w:asciiTheme="majorBidi" w:hAnsiTheme="majorBidi" w:cstheme="majorBidi"/>
          <w:b/>
          <w:bCs/>
          <w:i w:val="0"/>
          <w:iCs w:val="0"/>
          <w:color w:val="auto"/>
          <w:sz w:val="24"/>
          <w:szCs w:val="24"/>
          <w:lang w:val="pt-BR"/>
        </w:rPr>
        <w:br/>
        <w:t>Uji Normalitas</w:t>
      </w:r>
      <w:bookmarkEnd w:id="77"/>
    </w:p>
    <w:p w14:paraId="39AE5708" w14:textId="095A2318" w:rsidR="00C126BC" w:rsidRPr="00FF6109" w:rsidRDefault="00000000" w:rsidP="008B2471">
      <w:pPr>
        <w:pStyle w:val="Caption"/>
        <w:rPr>
          <w:rFonts w:asciiTheme="majorBidi" w:hAnsiTheme="majorBidi" w:cstheme="majorBidi"/>
          <w:b/>
          <w:bCs/>
          <w:sz w:val="24"/>
          <w:szCs w:val="24"/>
          <w:lang w:val="pt-BR"/>
        </w:rPr>
      </w:pPr>
      <w:r>
        <w:rPr>
          <w:rFonts w:eastAsiaTheme="minorEastAsia"/>
          <w:noProof/>
          <w:sz w:val="24"/>
          <w:szCs w:val="24"/>
          <w:lang w:eastAsia="en-ID"/>
        </w:rPr>
        <w:pict w14:anchorId="727E9C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3pt;margin-top:15.8pt;width:424.5pt;height:176.2pt;z-index:251747328">
            <v:imagedata r:id="rId28" o:title=""/>
            <w10:wrap type="square"/>
          </v:shape>
        </w:pict>
      </w:r>
    </w:p>
    <w:p w14:paraId="6A9C68E9" w14:textId="5962FA48" w:rsidR="00C126BC" w:rsidRPr="00FF6109" w:rsidRDefault="00C126BC" w:rsidP="00B51544">
      <w:pPr>
        <w:spacing w:line="360" w:lineRule="auto"/>
        <w:jc w:val="both"/>
        <w:rPr>
          <w:rFonts w:asciiTheme="majorBidi" w:hAnsiTheme="majorBidi" w:cstheme="majorBidi"/>
          <w:b/>
          <w:bCs/>
          <w:sz w:val="24"/>
          <w:szCs w:val="24"/>
          <w:lang w:val="pt-BR"/>
        </w:rPr>
      </w:pPr>
    </w:p>
    <w:p w14:paraId="3A446B9E" w14:textId="63566DD9" w:rsidR="00A74B05" w:rsidRPr="00FF6109" w:rsidRDefault="00A74B05" w:rsidP="00B51544">
      <w:pPr>
        <w:spacing w:line="360" w:lineRule="auto"/>
        <w:jc w:val="both"/>
        <w:rPr>
          <w:rFonts w:asciiTheme="majorBidi" w:hAnsiTheme="majorBidi" w:cstheme="majorBidi"/>
          <w:b/>
          <w:bCs/>
          <w:sz w:val="24"/>
          <w:szCs w:val="24"/>
          <w:lang w:val="pt-BR"/>
        </w:rPr>
      </w:pPr>
    </w:p>
    <w:p w14:paraId="17671FA9" w14:textId="01CCAA9E" w:rsidR="00CF18C7" w:rsidRPr="00FF6109" w:rsidRDefault="00CF18C7" w:rsidP="0030061A">
      <w:pPr>
        <w:spacing w:line="360" w:lineRule="auto"/>
        <w:ind w:left="709" w:firstLine="709"/>
        <w:jc w:val="both"/>
        <w:rPr>
          <w:rFonts w:asciiTheme="majorBidi" w:hAnsiTheme="majorBidi" w:cstheme="majorBidi"/>
          <w:sz w:val="24"/>
          <w:szCs w:val="24"/>
          <w:lang w:val="pt-BR"/>
        </w:rPr>
      </w:pPr>
      <w:r>
        <w:rPr>
          <w:rFonts w:asciiTheme="majorBidi" w:hAnsiTheme="majorBidi" w:cstheme="majorBidi"/>
          <w:noProof/>
          <w:kern w:val="0"/>
          <w:sz w:val="24"/>
          <w:szCs w:val="24"/>
        </w:rPr>
        <mc:AlternateContent>
          <mc:Choice Requires="wps">
            <w:drawing>
              <wp:anchor distT="0" distB="0" distL="114300" distR="114300" simplePos="0" relativeHeight="251727872" behindDoc="0" locked="0" layoutInCell="1" allowOverlap="1" wp14:anchorId="7971C06A" wp14:editId="0102D713">
                <wp:simplePos x="0" y="0"/>
                <wp:positionH relativeFrom="column">
                  <wp:posOffset>619125</wp:posOffset>
                </wp:positionH>
                <wp:positionV relativeFrom="paragraph">
                  <wp:posOffset>1455420</wp:posOffset>
                </wp:positionV>
                <wp:extent cx="3981450" cy="276225"/>
                <wp:effectExtent l="0" t="0" r="0" b="9525"/>
                <wp:wrapNone/>
                <wp:docPr id="2034360164"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2905E2" w14:textId="77777777" w:rsidR="0030061A" w:rsidRPr="0030061A" w:rsidRDefault="0030061A" w:rsidP="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71C06A" id="_x0000_s1037" type="#_x0000_t202" style="position:absolute;left:0;text-align:left;margin-left:48.75pt;margin-top:114.6pt;width:313.5pt;height:21.75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" filled="f" stroked="f">
                <v:textbox>
                  <w:txbxContent>
                    <w:p w14:paraId="0F2905E2" w14:textId="77777777" w:rsidR="0030061A" w:rsidRPr="0030061A" w:rsidRDefault="0030061A" w:rsidP="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p>
    <w:p w14:paraId="1805B0BE" w14:textId="77777777" w:rsidR="00CF18C7" w:rsidRPr="00FF6109" w:rsidRDefault="00CF18C7" w:rsidP="008B2471">
      <w:pPr>
        <w:spacing w:line="360" w:lineRule="auto"/>
        <w:jc w:val="both"/>
        <w:rPr>
          <w:rFonts w:asciiTheme="majorBidi" w:hAnsiTheme="majorBidi" w:cstheme="majorBidi"/>
          <w:sz w:val="24"/>
          <w:szCs w:val="24"/>
          <w:lang w:val="pt-BR"/>
        </w:rPr>
      </w:pPr>
    </w:p>
    <w:p w14:paraId="04A623C2" w14:textId="0D05C5BE" w:rsidR="00484DA9" w:rsidRPr="00FF6109" w:rsidRDefault="00A70F50" w:rsidP="00A70F50">
      <w:pPr>
        <w:tabs>
          <w:tab w:val="left" w:pos="1134"/>
        </w:tabs>
        <w:spacing w:line="360" w:lineRule="auto"/>
        <w:ind w:left="1134" w:firstLine="284"/>
        <w:jc w:val="both"/>
        <w:rPr>
          <w:rFonts w:asciiTheme="majorBidi" w:hAnsiTheme="majorBidi" w:cstheme="majorBidi"/>
          <w:sz w:val="24"/>
          <w:szCs w:val="24"/>
          <w:lang w:val="pt-BR"/>
        </w:rPr>
      </w:pPr>
      <w:r w:rsidRPr="00FF6109">
        <w:rPr>
          <w:rFonts w:asciiTheme="majorBidi" w:hAnsiTheme="majorBidi" w:cstheme="majorBidi"/>
          <w:sz w:val="24"/>
          <w:szCs w:val="24"/>
          <w:lang w:val="pt-BR"/>
        </w:rPr>
        <w:t xml:space="preserve">Dalam analisis statistik parametrik, setiap variabel perlu diuji terlebih dahulu untuk mengetahui apakah distribusinya normal. Suatu model regresi dianggap baik jika data mengikuti distribusi normal. Dari 32 sampel yang telah diuji menggunakan uji normalitas </w:t>
      </w:r>
      <w:r w:rsidRPr="00FF6109">
        <w:rPr>
          <w:rFonts w:asciiTheme="majorBidi" w:hAnsiTheme="majorBidi" w:cstheme="majorBidi"/>
          <w:i/>
          <w:iCs/>
          <w:sz w:val="24"/>
          <w:szCs w:val="24"/>
          <w:lang w:val="pt-BR"/>
        </w:rPr>
        <w:t>Jarque Bera</w:t>
      </w:r>
      <w:r w:rsidRPr="00FF6109">
        <w:rPr>
          <w:rFonts w:asciiTheme="majorBidi" w:hAnsiTheme="majorBidi" w:cstheme="majorBidi"/>
          <w:sz w:val="24"/>
          <w:szCs w:val="24"/>
          <w:lang w:val="pt-BR"/>
        </w:rPr>
        <w:t xml:space="preserve">, diperoleh nilai Jarque Bera yang lebih tinggi dari 5% (1,913893 &gt; 0,05) dan nilai </w:t>
      </w:r>
      <w:r w:rsidRPr="00FF6109">
        <w:rPr>
          <w:rFonts w:asciiTheme="majorBidi" w:hAnsiTheme="majorBidi" w:cstheme="majorBidi"/>
          <w:i/>
          <w:iCs/>
          <w:sz w:val="24"/>
          <w:szCs w:val="24"/>
          <w:lang w:val="pt-BR"/>
        </w:rPr>
        <w:t>probabilitas</w:t>
      </w:r>
      <w:r w:rsidRPr="00FF6109">
        <w:rPr>
          <w:rFonts w:asciiTheme="majorBidi" w:hAnsiTheme="majorBidi" w:cstheme="majorBidi"/>
          <w:sz w:val="24"/>
          <w:szCs w:val="24"/>
          <w:lang w:val="pt-BR"/>
        </w:rPr>
        <w:t xml:space="preserve"> yang juga lebih besar dari 5% (0,384064 &gt; 0,05), sehingga dapat disimpulkan bahwa data tersebut berdistribusi normal.</w:t>
      </w:r>
    </w:p>
    <w:p w14:paraId="3D5044C7" w14:textId="77777777" w:rsidR="00A70F50" w:rsidRPr="00FF6109" w:rsidRDefault="00A70F50" w:rsidP="00A70F50">
      <w:pPr>
        <w:tabs>
          <w:tab w:val="left" w:pos="1134"/>
        </w:tabs>
        <w:spacing w:line="360" w:lineRule="auto"/>
        <w:ind w:left="1134" w:firstLine="284"/>
        <w:jc w:val="both"/>
        <w:rPr>
          <w:rFonts w:asciiTheme="majorBidi" w:hAnsiTheme="majorBidi" w:cstheme="majorBidi"/>
          <w:sz w:val="24"/>
          <w:szCs w:val="24"/>
          <w:lang w:val="pt-BR"/>
        </w:rPr>
      </w:pPr>
    </w:p>
    <w:p w14:paraId="53A143C2" w14:textId="23C644EB" w:rsidR="00B665A8" w:rsidRDefault="00B665A8">
      <w:pPr>
        <w:pStyle w:val="ListParagraph"/>
        <w:numPr>
          <w:ilvl w:val="0"/>
          <w:numId w:val="15"/>
        </w:numPr>
        <w:spacing w:line="360" w:lineRule="auto"/>
        <w:jc w:val="both"/>
        <w:rPr>
          <w:rFonts w:asciiTheme="majorBidi" w:hAnsiTheme="majorBidi" w:cstheme="majorBidi"/>
          <w:sz w:val="24"/>
          <w:szCs w:val="24"/>
          <w:lang w:val="sv-SE"/>
        </w:rPr>
      </w:pPr>
      <w:r>
        <w:rPr>
          <w:rFonts w:asciiTheme="majorBidi" w:hAnsiTheme="majorBidi" w:cstheme="majorBidi"/>
          <w:sz w:val="24"/>
          <w:szCs w:val="24"/>
          <w:lang w:val="sv-SE"/>
        </w:rPr>
        <w:lastRenderedPageBreak/>
        <w:t>Uji Multikolinearitas</w:t>
      </w:r>
    </w:p>
    <w:p w14:paraId="160ECFCF" w14:textId="52C8FEEF" w:rsidR="00B665A8" w:rsidRPr="00645DDB" w:rsidRDefault="00645DDB" w:rsidP="004C00B1">
      <w:pPr>
        <w:pStyle w:val="ListParagraph"/>
        <w:spacing w:line="360" w:lineRule="auto"/>
        <w:ind w:left="1134" w:firstLine="284"/>
        <w:jc w:val="both"/>
        <w:rPr>
          <w:rFonts w:asciiTheme="majorBidi" w:hAnsiTheme="majorBidi" w:cstheme="majorBidi"/>
          <w:sz w:val="24"/>
          <w:szCs w:val="24"/>
          <w:lang w:val="pt-BR"/>
        </w:rPr>
      </w:pPr>
      <w:r w:rsidRPr="00645DDB">
        <w:rPr>
          <w:rFonts w:asciiTheme="majorBidi" w:hAnsiTheme="majorBidi" w:cstheme="majorBidi"/>
          <w:sz w:val="24"/>
          <w:szCs w:val="24"/>
          <w:lang w:val="sv-SE"/>
        </w:rPr>
        <w:t>Uji multikolinearitas dilakukan untuk menilai apakah terdapat hubungan multikolinearitas antara variabel bebas dan variabel terikat dalam data yang dianalisis. Untuk mendeteksi hal ini, kita dapat memeriksa nilai tolerance dan VIF (</w:t>
      </w:r>
      <w:r w:rsidRPr="00645DDB">
        <w:rPr>
          <w:rFonts w:asciiTheme="majorBidi" w:hAnsiTheme="majorBidi" w:cstheme="majorBidi"/>
          <w:i/>
          <w:iCs/>
          <w:sz w:val="24"/>
          <w:szCs w:val="24"/>
          <w:lang w:val="sv-SE"/>
        </w:rPr>
        <w:t>Faktor Inflasi Varians</w:t>
      </w:r>
      <w:r w:rsidRPr="00645DDB">
        <w:rPr>
          <w:rFonts w:asciiTheme="majorBidi" w:hAnsiTheme="majorBidi" w:cstheme="majorBidi"/>
          <w:sz w:val="24"/>
          <w:szCs w:val="24"/>
          <w:lang w:val="sv-SE"/>
        </w:rPr>
        <w:t xml:space="preserve">). Apabila nilai VIF lebih dari 10, maka itu menunjukkan adanya masalah multikolinearitas. </w:t>
      </w:r>
      <w:r w:rsidRPr="00645DDB">
        <w:rPr>
          <w:rFonts w:asciiTheme="majorBidi" w:hAnsiTheme="majorBidi" w:cstheme="majorBidi"/>
          <w:sz w:val="24"/>
          <w:szCs w:val="24"/>
          <w:lang w:val="pt-BR"/>
        </w:rPr>
        <w:t>Hasil dari uji multikolinearitas dapat dilihat pada tabel di bawah ini</w:t>
      </w:r>
      <w:r>
        <w:rPr>
          <w:rFonts w:asciiTheme="majorBidi" w:hAnsiTheme="majorBidi" w:cstheme="majorBidi"/>
          <w:sz w:val="24"/>
          <w:szCs w:val="24"/>
          <w:lang w:val="pt-BR"/>
        </w:rPr>
        <w:t xml:space="preserve"> </w:t>
      </w:r>
      <w:r w:rsidR="004C00B1" w:rsidRPr="00645DDB">
        <w:rPr>
          <w:rFonts w:asciiTheme="majorBidi" w:hAnsiTheme="majorBidi" w:cstheme="majorBidi"/>
          <w:sz w:val="24"/>
          <w:szCs w:val="24"/>
          <w:lang w:val="pt-BR"/>
        </w:rPr>
        <w:t xml:space="preserve">: </w:t>
      </w:r>
    </w:p>
    <w:p w14:paraId="13E17C51" w14:textId="6EBD8B2C" w:rsidR="008B2471" w:rsidRPr="00D17A2E" w:rsidRDefault="008B2471" w:rsidP="008B2471">
      <w:pPr>
        <w:pStyle w:val="Caption"/>
        <w:spacing w:line="360" w:lineRule="auto"/>
        <w:jc w:val="center"/>
        <w:rPr>
          <w:rFonts w:asciiTheme="majorBidi" w:hAnsiTheme="majorBidi" w:cstheme="majorBidi"/>
          <w:b/>
          <w:bCs/>
          <w:i w:val="0"/>
          <w:iCs w:val="0"/>
          <w:color w:val="auto"/>
          <w:sz w:val="24"/>
          <w:szCs w:val="24"/>
          <w:lang w:val="pt-BR"/>
        </w:rPr>
      </w:pPr>
      <w:bookmarkStart w:id="78" w:name="_Toc200572253"/>
      <w:r w:rsidRPr="00D17A2E">
        <w:rPr>
          <w:rFonts w:asciiTheme="majorBidi" w:hAnsiTheme="majorBidi" w:cstheme="majorBidi"/>
          <w:b/>
          <w:bCs/>
          <w:i w:val="0"/>
          <w:iCs w:val="0"/>
          <w:color w:val="auto"/>
          <w:sz w:val="24"/>
          <w:szCs w:val="24"/>
          <w:lang w:val="pt-BR"/>
        </w:rPr>
        <w:t xml:space="preserve">Tabel 4. </w:t>
      </w:r>
      <w:r w:rsidRPr="008B2471">
        <w:rPr>
          <w:rFonts w:asciiTheme="majorBidi" w:hAnsiTheme="majorBidi" w:cstheme="majorBidi"/>
          <w:b/>
          <w:bCs/>
          <w:i w:val="0"/>
          <w:iCs w:val="0"/>
          <w:color w:val="auto"/>
          <w:sz w:val="24"/>
          <w:szCs w:val="24"/>
        </w:rPr>
        <w:fldChar w:fldCharType="begin"/>
      </w:r>
      <w:r w:rsidRPr="00D17A2E">
        <w:rPr>
          <w:rFonts w:asciiTheme="majorBidi" w:hAnsiTheme="majorBidi" w:cstheme="majorBidi"/>
          <w:b/>
          <w:bCs/>
          <w:i w:val="0"/>
          <w:iCs w:val="0"/>
          <w:color w:val="auto"/>
          <w:sz w:val="24"/>
          <w:szCs w:val="24"/>
          <w:lang w:val="pt-BR"/>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pt-BR"/>
        </w:rPr>
        <w:t>4</w:t>
      </w:r>
      <w:r w:rsidRPr="008B2471">
        <w:rPr>
          <w:rFonts w:asciiTheme="majorBidi" w:hAnsiTheme="majorBidi" w:cstheme="majorBidi"/>
          <w:b/>
          <w:bCs/>
          <w:i w:val="0"/>
          <w:iCs w:val="0"/>
          <w:color w:val="auto"/>
          <w:sz w:val="24"/>
          <w:szCs w:val="24"/>
        </w:rPr>
        <w:fldChar w:fldCharType="end"/>
      </w:r>
      <w:r w:rsidRPr="00D17A2E">
        <w:rPr>
          <w:rFonts w:asciiTheme="majorBidi" w:hAnsiTheme="majorBidi" w:cstheme="majorBidi"/>
          <w:b/>
          <w:bCs/>
          <w:i w:val="0"/>
          <w:iCs w:val="0"/>
          <w:color w:val="auto"/>
          <w:sz w:val="24"/>
          <w:szCs w:val="24"/>
          <w:lang w:val="pt-BR"/>
        </w:rPr>
        <w:t xml:space="preserve"> </w:t>
      </w:r>
      <w:r w:rsidRPr="00D17A2E">
        <w:rPr>
          <w:rFonts w:asciiTheme="majorBidi" w:hAnsiTheme="majorBidi" w:cstheme="majorBidi"/>
          <w:b/>
          <w:bCs/>
          <w:i w:val="0"/>
          <w:iCs w:val="0"/>
          <w:color w:val="auto"/>
          <w:sz w:val="24"/>
          <w:szCs w:val="24"/>
          <w:lang w:val="pt-BR"/>
        </w:rPr>
        <w:br/>
        <w:t>Uji Multikolinearitas</w:t>
      </w:r>
      <w:bookmarkEnd w:id="78"/>
    </w:p>
    <w:p w14:paraId="2CFC267E" w14:textId="0DD08741" w:rsidR="00B665A8" w:rsidRPr="00B17575" w:rsidRDefault="004C00B1" w:rsidP="008B2471">
      <w:pPr>
        <w:pStyle w:val="Caption"/>
        <w:rPr>
          <w:lang w:val="pt-BR"/>
        </w:rPr>
      </w:pPr>
      <w:r w:rsidRPr="004C00B1">
        <w:rPr>
          <w:rFonts w:asciiTheme="majorBidi" w:hAnsiTheme="majorBidi" w:cstheme="majorBidi"/>
          <w:noProof/>
          <w:sz w:val="24"/>
          <w:szCs w:val="24"/>
        </w:rPr>
        <w:drawing>
          <wp:anchor distT="0" distB="0" distL="114300" distR="114300" simplePos="0" relativeHeight="251755520" behindDoc="0" locked="0" layoutInCell="1" allowOverlap="1" wp14:anchorId="3B61E6B2" wp14:editId="1A08A7AC">
            <wp:simplePos x="0" y="0"/>
            <wp:positionH relativeFrom="column">
              <wp:posOffset>1400175</wp:posOffset>
            </wp:positionH>
            <wp:positionV relativeFrom="paragraph">
              <wp:posOffset>211455</wp:posOffset>
            </wp:positionV>
            <wp:extent cx="3467100" cy="1847850"/>
            <wp:effectExtent l="0" t="0" r="0" b="0"/>
            <wp:wrapSquare wrapText="bothSides"/>
            <wp:docPr id="16122558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67100" cy="1847850"/>
                    </a:xfrm>
                    <a:prstGeom prst="rect">
                      <a:avLst/>
                    </a:prstGeom>
                    <a:noFill/>
                    <a:ln>
                      <a:noFill/>
                    </a:ln>
                  </pic:spPr>
                </pic:pic>
              </a:graphicData>
            </a:graphic>
          </wp:anchor>
        </w:drawing>
      </w:r>
    </w:p>
    <w:p w14:paraId="7B72EBDF" w14:textId="2FE5F486" w:rsidR="00B665A8" w:rsidRPr="00B17575" w:rsidRDefault="00B665A8" w:rsidP="00B665A8">
      <w:pPr>
        <w:rPr>
          <w:lang w:val="pt-BR"/>
        </w:rPr>
      </w:pPr>
    </w:p>
    <w:p w14:paraId="7A7EBB47" w14:textId="77777777" w:rsidR="00B665A8" w:rsidRPr="00B17575" w:rsidRDefault="00B665A8" w:rsidP="00B665A8">
      <w:pPr>
        <w:rPr>
          <w:lang w:val="pt-BR"/>
        </w:rPr>
      </w:pPr>
    </w:p>
    <w:p w14:paraId="341E70D5" w14:textId="77777777" w:rsidR="00B665A8" w:rsidRPr="00B17575" w:rsidRDefault="00B665A8" w:rsidP="00B665A8">
      <w:pPr>
        <w:rPr>
          <w:lang w:val="pt-BR"/>
        </w:rPr>
      </w:pPr>
    </w:p>
    <w:p w14:paraId="12720AEF" w14:textId="77777777" w:rsidR="00B665A8" w:rsidRPr="00B17575" w:rsidRDefault="00B665A8" w:rsidP="00B665A8">
      <w:pPr>
        <w:rPr>
          <w:lang w:val="pt-BR"/>
        </w:rPr>
      </w:pPr>
    </w:p>
    <w:p w14:paraId="554A0678" w14:textId="77777777" w:rsidR="00B665A8" w:rsidRPr="00B17575" w:rsidRDefault="00B665A8" w:rsidP="00B665A8">
      <w:pPr>
        <w:rPr>
          <w:lang w:val="pt-BR"/>
        </w:rPr>
      </w:pPr>
    </w:p>
    <w:p w14:paraId="1F285A42" w14:textId="3AC70708" w:rsidR="00B665A8" w:rsidRPr="00B17575" w:rsidRDefault="004C00B1" w:rsidP="00B665A8">
      <w:pPr>
        <w:rPr>
          <w:lang w:val="pt-BR"/>
        </w:rPr>
      </w:pPr>
      <w:r>
        <w:rPr>
          <w:rFonts w:asciiTheme="majorBidi" w:hAnsiTheme="majorBidi" w:cstheme="majorBidi"/>
          <w:noProof/>
          <w:kern w:val="0"/>
          <w:sz w:val="24"/>
          <w:szCs w:val="24"/>
        </w:rPr>
        <mc:AlternateContent>
          <mc:Choice Requires="wps">
            <w:drawing>
              <wp:anchor distT="0" distB="0" distL="114300" distR="114300" simplePos="0" relativeHeight="251757568" behindDoc="0" locked="0" layoutInCell="1" allowOverlap="1" wp14:anchorId="0B0DB01D" wp14:editId="6E802032">
                <wp:simplePos x="0" y="0"/>
                <wp:positionH relativeFrom="column">
                  <wp:posOffset>1314450</wp:posOffset>
                </wp:positionH>
                <wp:positionV relativeFrom="paragraph">
                  <wp:posOffset>285115</wp:posOffset>
                </wp:positionV>
                <wp:extent cx="3981450" cy="276225"/>
                <wp:effectExtent l="0" t="0" r="0" b="9525"/>
                <wp:wrapNone/>
                <wp:docPr id="1287892442"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FFEF81" w14:textId="77777777" w:rsidR="004C00B1" w:rsidRPr="0030061A" w:rsidRDefault="004C00B1" w:rsidP="004C00B1">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0DB01D" id="_x0000_s1038" type="#_x0000_t202" style="position:absolute;margin-left:103.5pt;margin-top:22.45pt;width:313.5pt;height:21.75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" filled="f" stroked="f">
                <v:textbox>
                  <w:txbxContent>
                    <w:p w14:paraId="05FFEF81" w14:textId="77777777" w:rsidR="004C00B1" w:rsidRPr="0030061A" w:rsidRDefault="004C00B1" w:rsidP="004C00B1">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p>
    <w:p w14:paraId="37AF0CD8" w14:textId="1D5E03DD" w:rsidR="00B665A8" w:rsidRPr="00B17575" w:rsidRDefault="00B665A8" w:rsidP="00B665A8">
      <w:pPr>
        <w:rPr>
          <w:lang w:val="pt-BR"/>
        </w:rPr>
      </w:pPr>
    </w:p>
    <w:p w14:paraId="67710B42" w14:textId="77777777" w:rsidR="00B665A8" w:rsidRPr="00B17575" w:rsidRDefault="00B665A8" w:rsidP="00B665A8">
      <w:pPr>
        <w:pStyle w:val="ListParagraph"/>
        <w:spacing w:line="360" w:lineRule="auto"/>
        <w:ind w:left="1080"/>
        <w:jc w:val="both"/>
        <w:rPr>
          <w:rFonts w:asciiTheme="majorBidi" w:hAnsiTheme="majorBidi" w:cstheme="majorBidi"/>
          <w:sz w:val="24"/>
          <w:szCs w:val="24"/>
          <w:lang w:val="pt-BR"/>
        </w:rPr>
      </w:pPr>
    </w:p>
    <w:p w14:paraId="04F25255" w14:textId="77777777" w:rsidR="00484DA9" w:rsidRDefault="00484DA9" w:rsidP="00484DA9">
      <w:pPr>
        <w:pStyle w:val="ListParagraph"/>
        <w:spacing w:line="360" w:lineRule="auto"/>
        <w:ind w:left="1080" w:firstLine="360"/>
        <w:jc w:val="both"/>
        <w:rPr>
          <w:rFonts w:asciiTheme="majorBidi" w:hAnsiTheme="majorBidi" w:cstheme="majorBidi"/>
          <w:sz w:val="24"/>
          <w:szCs w:val="24"/>
          <w:lang w:val="pt-BR"/>
        </w:rPr>
      </w:pPr>
    </w:p>
    <w:p w14:paraId="77ABD3A1" w14:textId="58CB290A" w:rsidR="008B2471" w:rsidRDefault="004C00B1" w:rsidP="00484DA9">
      <w:pPr>
        <w:pStyle w:val="ListParagraph"/>
        <w:spacing w:line="360" w:lineRule="auto"/>
        <w:ind w:left="1080" w:firstLine="360"/>
        <w:jc w:val="both"/>
        <w:rPr>
          <w:rFonts w:asciiTheme="majorBidi" w:hAnsiTheme="majorBidi" w:cstheme="majorBidi"/>
          <w:sz w:val="24"/>
          <w:szCs w:val="24"/>
          <w:lang w:val="pt-BR"/>
        </w:rPr>
      </w:pPr>
      <w:r w:rsidRPr="00B17575">
        <w:rPr>
          <w:rFonts w:asciiTheme="majorBidi" w:hAnsiTheme="majorBidi" w:cstheme="majorBidi"/>
          <w:sz w:val="24"/>
          <w:szCs w:val="24"/>
          <w:lang w:val="pt-BR"/>
        </w:rPr>
        <w:t>Berdasarkan hasil uji multikolinearitas yang dipaparkan pada tabel 4.4 ditemukan bahwa nilai centered VIF pada variabel NPF (X</w:t>
      </w:r>
      <w:r w:rsidRPr="00B17575">
        <w:rPr>
          <w:rFonts w:asciiTheme="majorBidi" w:hAnsiTheme="majorBidi" w:cstheme="majorBidi"/>
          <w:sz w:val="24"/>
          <w:szCs w:val="24"/>
          <w:vertAlign w:val="subscript"/>
          <w:lang w:val="pt-BR"/>
        </w:rPr>
        <w:t>1</w:t>
      </w:r>
      <w:r w:rsidRPr="00B17575">
        <w:rPr>
          <w:rFonts w:asciiTheme="majorBidi" w:hAnsiTheme="majorBidi" w:cstheme="majorBidi"/>
          <w:sz w:val="24"/>
          <w:szCs w:val="24"/>
          <w:lang w:val="pt-BR"/>
        </w:rPr>
        <w:t>) berada pada 1,812362 &lt; 10 maka variabel NPF tidak memiliki multikolinearitas, begitu juga pada variabel FDR dan Nisbah Bagi Hasil yang memiliki nilai centered VIF (2,787164 &lt; 10) dan (2,199462 &lt; 10) maka variabel FDR (X</w:t>
      </w:r>
      <w:r w:rsidRPr="00B17575">
        <w:rPr>
          <w:rFonts w:asciiTheme="majorBidi" w:hAnsiTheme="majorBidi" w:cstheme="majorBidi"/>
          <w:sz w:val="24"/>
          <w:szCs w:val="24"/>
          <w:vertAlign w:val="subscript"/>
          <w:lang w:val="pt-BR"/>
        </w:rPr>
        <w:t>2</w:t>
      </w:r>
      <w:r w:rsidRPr="00B17575">
        <w:rPr>
          <w:rFonts w:asciiTheme="majorBidi" w:hAnsiTheme="majorBidi" w:cstheme="majorBidi"/>
          <w:sz w:val="24"/>
          <w:szCs w:val="24"/>
          <w:lang w:val="pt-BR"/>
        </w:rPr>
        <w:t>) dan Variabel Nisbah Bagi Hasil (X</w:t>
      </w:r>
      <w:r w:rsidRPr="00B17575">
        <w:rPr>
          <w:rFonts w:asciiTheme="majorBidi" w:hAnsiTheme="majorBidi" w:cstheme="majorBidi"/>
          <w:sz w:val="24"/>
          <w:szCs w:val="24"/>
          <w:vertAlign w:val="subscript"/>
          <w:lang w:val="pt-BR"/>
        </w:rPr>
        <w:t>3</w:t>
      </w:r>
      <w:r w:rsidRPr="00B17575">
        <w:rPr>
          <w:rFonts w:asciiTheme="majorBidi" w:hAnsiTheme="majorBidi" w:cstheme="majorBidi"/>
          <w:sz w:val="24"/>
          <w:szCs w:val="24"/>
          <w:lang w:val="pt-BR"/>
        </w:rPr>
        <w:t>) juga bebas dari multikolinearitas, sehingga dapat disimpulkan bahwa ketiga variabel independen dalam penelitian ini terbebas dari multikolinearitas tidak saling berpengaruh satu dengan lainnya.</w:t>
      </w:r>
    </w:p>
    <w:p w14:paraId="30518BE8" w14:textId="77777777" w:rsidR="00484DA9" w:rsidRPr="00484DA9" w:rsidRDefault="00484DA9" w:rsidP="00484DA9">
      <w:pPr>
        <w:pStyle w:val="ListParagraph"/>
        <w:spacing w:line="360" w:lineRule="auto"/>
        <w:ind w:left="1080" w:firstLine="360"/>
        <w:jc w:val="both"/>
        <w:rPr>
          <w:rFonts w:asciiTheme="majorBidi" w:hAnsiTheme="majorBidi" w:cstheme="majorBidi"/>
          <w:sz w:val="24"/>
          <w:szCs w:val="24"/>
          <w:lang w:val="pt-BR"/>
        </w:rPr>
      </w:pPr>
    </w:p>
    <w:p w14:paraId="42FA7B9D" w14:textId="7E6068CC" w:rsidR="00AC0E4A" w:rsidRPr="00B51544" w:rsidRDefault="00AC0E4A">
      <w:pPr>
        <w:pStyle w:val="ListParagraph"/>
        <w:numPr>
          <w:ilvl w:val="0"/>
          <w:numId w:val="15"/>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Uji Heteroskedastisitas</w:t>
      </w:r>
    </w:p>
    <w:p w14:paraId="32CA4B86" w14:textId="0308DE38" w:rsidR="0030061A" w:rsidRDefault="00CD5702" w:rsidP="000A16F6">
      <w:pPr>
        <w:pStyle w:val="ListParagraph"/>
        <w:spacing w:line="360" w:lineRule="auto"/>
        <w:ind w:left="1080" w:firstLine="360"/>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Uji </w:t>
      </w:r>
      <w:r w:rsidR="00AC0E4A" w:rsidRPr="00B51544">
        <w:rPr>
          <w:rFonts w:asciiTheme="majorBidi" w:hAnsiTheme="majorBidi" w:cstheme="majorBidi"/>
          <w:sz w:val="24"/>
          <w:szCs w:val="24"/>
          <w:lang w:val="sv-SE"/>
        </w:rPr>
        <w:t xml:space="preserve">Heteroskedastisitas </w:t>
      </w:r>
      <w:r w:rsidRPr="00B51544">
        <w:rPr>
          <w:rFonts w:asciiTheme="majorBidi" w:hAnsiTheme="majorBidi" w:cstheme="majorBidi"/>
          <w:sz w:val="24"/>
          <w:szCs w:val="24"/>
          <w:lang w:val="sv-SE"/>
        </w:rPr>
        <w:t xml:space="preserve">bertujuan untuk mengetahui ada atau tidaknya penyimpangan asumsi klasik heteroskedastisitas dengan uji heteroskedastisitas. Regresi yang baik yakni jika tidak mengalami heteroskedastisitas. Untuk menguji heteroskedastisitas dapat menggunakan uji </w:t>
      </w:r>
      <w:r w:rsidR="00930782" w:rsidRPr="0030061A">
        <w:rPr>
          <w:rFonts w:asciiTheme="majorBidi" w:hAnsiTheme="majorBidi" w:cstheme="majorBidi"/>
          <w:i/>
          <w:iCs/>
          <w:sz w:val="24"/>
          <w:szCs w:val="24"/>
          <w:lang w:val="sv-SE"/>
        </w:rPr>
        <w:t>Breusch-Pagan-Godfrey</w:t>
      </w:r>
      <w:r w:rsidR="009C6E7B" w:rsidRPr="00B51544">
        <w:rPr>
          <w:rFonts w:asciiTheme="majorBidi" w:hAnsiTheme="majorBidi" w:cstheme="majorBidi"/>
          <w:sz w:val="24"/>
          <w:szCs w:val="24"/>
          <w:lang w:val="sv-SE"/>
        </w:rPr>
        <w:t xml:space="preserve">, yakni dengan </w:t>
      </w:r>
      <w:r w:rsidR="009C6E7B" w:rsidRPr="00B51544">
        <w:rPr>
          <w:rFonts w:asciiTheme="majorBidi" w:hAnsiTheme="majorBidi" w:cstheme="majorBidi"/>
          <w:sz w:val="24"/>
          <w:szCs w:val="24"/>
          <w:lang w:val="sv-SE"/>
        </w:rPr>
        <w:lastRenderedPageBreak/>
        <w:t xml:space="preserve">melihat nilai </w:t>
      </w:r>
      <w:r w:rsidR="009C6E7B" w:rsidRPr="0030061A">
        <w:rPr>
          <w:rFonts w:asciiTheme="majorBidi" w:hAnsiTheme="majorBidi" w:cstheme="majorBidi"/>
          <w:i/>
          <w:iCs/>
          <w:sz w:val="24"/>
          <w:szCs w:val="24"/>
          <w:lang w:val="sv-SE"/>
        </w:rPr>
        <w:t>probability Chi-Square</w:t>
      </w:r>
      <w:r w:rsidR="009C6E7B" w:rsidRPr="00B51544">
        <w:rPr>
          <w:rFonts w:asciiTheme="majorBidi" w:hAnsiTheme="majorBidi" w:cstheme="majorBidi"/>
          <w:sz w:val="24"/>
          <w:szCs w:val="24"/>
          <w:lang w:val="sv-SE"/>
        </w:rPr>
        <w:t>. Jika nilai probability Chi-Square &gt; alpha (α</w:t>
      </w:r>
      <w:r w:rsidR="00474389" w:rsidRPr="00B51544">
        <w:rPr>
          <w:rFonts w:asciiTheme="majorBidi" w:hAnsiTheme="majorBidi" w:cstheme="majorBidi"/>
          <w:sz w:val="24"/>
          <w:szCs w:val="24"/>
          <w:lang w:val="sv-SE"/>
        </w:rPr>
        <w:t xml:space="preserve"> = 0,05) maka tidak terdapat heteroskedastisitas pada data. Hasil uji heteroskedastisitas dapat dilihat pada tabel berikut :</w:t>
      </w:r>
      <w:r w:rsidR="00AC0E4A" w:rsidRPr="00B51544">
        <w:rPr>
          <w:rFonts w:asciiTheme="majorBidi" w:hAnsiTheme="majorBidi" w:cstheme="majorBidi"/>
          <w:sz w:val="24"/>
          <w:szCs w:val="24"/>
          <w:lang w:val="sv-SE"/>
        </w:rPr>
        <w:t xml:space="preserve"> </w:t>
      </w:r>
    </w:p>
    <w:p w14:paraId="21F1006A" w14:textId="77777777" w:rsidR="000A16F6" w:rsidRPr="000A16F6" w:rsidRDefault="000A16F6" w:rsidP="000A16F6">
      <w:pPr>
        <w:pStyle w:val="ListParagraph"/>
        <w:spacing w:line="360" w:lineRule="auto"/>
        <w:ind w:left="1080" w:firstLine="360"/>
        <w:jc w:val="both"/>
        <w:rPr>
          <w:rFonts w:asciiTheme="majorBidi" w:hAnsiTheme="majorBidi" w:cstheme="majorBidi"/>
          <w:sz w:val="24"/>
          <w:szCs w:val="24"/>
          <w:lang w:val="sv-SE"/>
        </w:rPr>
      </w:pPr>
    </w:p>
    <w:p w14:paraId="345B049C" w14:textId="3695387D" w:rsidR="008B2471" w:rsidRPr="00D17A2E" w:rsidRDefault="008B2471" w:rsidP="004F6C85">
      <w:pPr>
        <w:pStyle w:val="Caption"/>
        <w:jc w:val="center"/>
        <w:rPr>
          <w:rFonts w:asciiTheme="majorBidi" w:hAnsiTheme="majorBidi" w:cstheme="majorBidi"/>
          <w:b/>
          <w:bCs/>
          <w:i w:val="0"/>
          <w:iCs w:val="0"/>
          <w:color w:val="auto"/>
          <w:sz w:val="24"/>
          <w:szCs w:val="24"/>
          <w:lang w:val="sv-SE"/>
        </w:rPr>
      </w:pPr>
      <w:bookmarkStart w:id="79" w:name="_Toc200572254"/>
      <w:r w:rsidRPr="00D17A2E">
        <w:rPr>
          <w:rFonts w:asciiTheme="majorBidi" w:hAnsiTheme="majorBidi" w:cstheme="majorBidi"/>
          <w:b/>
          <w:bCs/>
          <w:i w:val="0"/>
          <w:iCs w:val="0"/>
          <w:color w:val="auto"/>
          <w:sz w:val="24"/>
          <w:szCs w:val="24"/>
          <w:lang w:val="sv-SE"/>
        </w:rPr>
        <w:t xml:space="preserve">Tabel 4. </w:t>
      </w:r>
      <w:r w:rsidRPr="008B2471">
        <w:rPr>
          <w:rFonts w:asciiTheme="majorBidi" w:hAnsiTheme="majorBidi" w:cstheme="majorBidi"/>
          <w:b/>
          <w:bCs/>
          <w:i w:val="0"/>
          <w:iCs w:val="0"/>
          <w:color w:val="auto"/>
          <w:sz w:val="24"/>
          <w:szCs w:val="24"/>
        </w:rPr>
        <w:fldChar w:fldCharType="begin"/>
      </w:r>
      <w:r w:rsidRPr="00D17A2E">
        <w:rPr>
          <w:rFonts w:asciiTheme="majorBidi" w:hAnsiTheme="majorBidi" w:cstheme="majorBidi"/>
          <w:b/>
          <w:bCs/>
          <w:i w:val="0"/>
          <w:iCs w:val="0"/>
          <w:color w:val="auto"/>
          <w:sz w:val="24"/>
          <w:szCs w:val="24"/>
          <w:lang w:val="sv-SE"/>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5</w:t>
      </w:r>
      <w:r w:rsidRPr="008B2471">
        <w:rPr>
          <w:rFonts w:asciiTheme="majorBidi" w:hAnsiTheme="majorBidi" w:cstheme="majorBidi"/>
          <w:b/>
          <w:bCs/>
          <w:i w:val="0"/>
          <w:iCs w:val="0"/>
          <w:color w:val="auto"/>
          <w:sz w:val="24"/>
          <w:szCs w:val="24"/>
        </w:rPr>
        <w:fldChar w:fldCharType="end"/>
      </w:r>
      <w:r w:rsidRPr="00D17A2E">
        <w:rPr>
          <w:rFonts w:asciiTheme="majorBidi" w:hAnsiTheme="majorBidi" w:cstheme="majorBidi"/>
          <w:b/>
          <w:bCs/>
          <w:i w:val="0"/>
          <w:iCs w:val="0"/>
          <w:color w:val="auto"/>
          <w:sz w:val="24"/>
          <w:szCs w:val="24"/>
          <w:lang w:val="sv-SE"/>
        </w:rPr>
        <w:t xml:space="preserve"> </w:t>
      </w:r>
      <w:r w:rsidRPr="00D17A2E">
        <w:rPr>
          <w:rFonts w:asciiTheme="majorBidi" w:hAnsiTheme="majorBidi" w:cstheme="majorBidi"/>
          <w:b/>
          <w:bCs/>
          <w:i w:val="0"/>
          <w:iCs w:val="0"/>
          <w:color w:val="auto"/>
          <w:sz w:val="24"/>
          <w:szCs w:val="24"/>
          <w:lang w:val="sv-SE"/>
        </w:rPr>
        <w:br/>
        <w:t>Uji Heteroskedastisitas</w:t>
      </w:r>
      <w:bookmarkEnd w:id="79"/>
    </w:p>
    <w:p w14:paraId="2114B36B" w14:textId="42759828" w:rsidR="0027636A" w:rsidRPr="00D17A2E" w:rsidRDefault="0027636A" w:rsidP="008B2471">
      <w:pPr>
        <w:pStyle w:val="Caption"/>
        <w:rPr>
          <w:lang w:val="sv-SE"/>
        </w:rPr>
      </w:pPr>
      <w:r w:rsidRPr="0027636A">
        <w:rPr>
          <w:rFonts w:asciiTheme="majorBidi" w:hAnsiTheme="majorBidi" w:cstheme="majorBidi"/>
          <w:b/>
          <w:bCs/>
          <w:i w:val="0"/>
          <w:iCs w:val="0"/>
          <w:noProof/>
          <w:color w:val="auto"/>
          <w:sz w:val="24"/>
          <w:szCs w:val="24"/>
        </w:rPr>
        <w:drawing>
          <wp:anchor distT="0" distB="0" distL="114300" distR="114300" simplePos="0" relativeHeight="251758592" behindDoc="0" locked="0" layoutInCell="1" allowOverlap="1" wp14:anchorId="33B5CB83" wp14:editId="457C2315">
            <wp:simplePos x="0" y="0"/>
            <wp:positionH relativeFrom="column">
              <wp:posOffset>990600</wp:posOffset>
            </wp:positionH>
            <wp:positionV relativeFrom="paragraph">
              <wp:posOffset>233045</wp:posOffset>
            </wp:positionV>
            <wp:extent cx="4000500" cy="990600"/>
            <wp:effectExtent l="0" t="0" r="0" b="0"/>
            <wp:wrapSquare wrapText="bothSides"/>
            <wp:docPr id="11065141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00500" cy="990600"/>
                    </a:xfrm>
                    <a:prstGeom prst="rect">
                      <a:avLst/>
                    </a:prstGeom>
                    <a:noFill/>
                    <a:ln>
                      <a:noFill/>
                    </a:ln>
                  </pic:spPr>
                </pic:pic>
              </a:graphicData>
            </a:graphic>
          </wp:anchor>
        </w:drawing>
      </w:r>
    </w:p>
    <w:p w14:paraId="13451725" w14:textId="5F85215E" w:rsidR="00C126BC" w:rsidRPr="00B51544" w:rsidRDefault="00C126BC" w:rsidP="00586ECD">
      <w:pPr>
        <w:spacing w:line="360" w:lineRule="auto"/>
        <w:jc w:val="center"/>
        <w:rPr>
          <w:rFonts w:asciiTheme="majorBidi" w:hAnsiTheme="majorBidi" w:cstheme="majorBidi"/>
          <w:b/>
          <w:bCs/>
          <w:sz w:val="24"/>
          <w:szCs w:val="24"/>
          <w:lang w:val="sv-SE"/>
        </w:rPr>
      </w:pPr>
    </w:p>
    <w:p w14:paraId="73B4417D" w14:textId="334295F7" w:rsidR="00A74B05" w:rsidRPr="00B51544" w:rsidRDefault="00A74B05" w:rsidP="00586ECD">
      <w:pPr>
        <w:spacing w:line="360" w:lineRule="auto"/>
        <w:jc w:val="both"/>
        <w:rPr>
          <w:rFonts w:asciiTheme="majorBidi" w:hAnsiTheme="majorBidi" w:cstheme="majorBidi"/>
          <w:b/>
          <w:bCs/>
          <w:sz w:val="24"/>
          <w:szCs w:val="24"/>
          <w:lang w:val="sv-SE"/>
        </w:rPr>
      </w:pPr>
    </w:p>
    <w:p w14:paraId="49B65D03" w14:textId="115E0711" w:rsidR="00791237" w:rsidRDefault="00791237" w:rsidP="0030061A">
      <w:pPr>
        <w:spacing w:line="360" w:lineRule="auto"/>
        <w:ind w:left="709" w:firstLine="709"/>
        <w:jc w:val="both"/>
        <w:rPr>
          <w:rFonts w:asciiTheme="majorBidi" w:hAnsiTheme="majorBidi" w:cstheme="majorBidi"/>
          <w:sz w:val="24"/>
          <w:szCs w:val="24"/>
          <w:lang w:val="sv-SE"/>
        </w:rPr>
      </w:pPr>
      <w:r>
        <w:rPr>
          <w:rFonts w:asciiTheme="majorBidi" w:hAnsiTheme="majorBidi" w:cstheme="majorBidi"/>
          <w:noProof/>
          <w:kern w:val="0"/>
          <w:sz w:val="24"/>
          <w:szCs w:val="24"/>
        </w:rPr>
        <mc:AlternateContent>
          <mc:Choice Requires="wps">
            <w:drawing>
              <wp:anchor distT="0" distB="0" distL="114300" distR="114300" simplePos="0" relativeHeight="251729920" behindDoc="0" locked="0" layoutInCell="1" allowOverlap="1" wp14:anchorId="6C5F9B74" wp14:editId="7D323105">
                <wp:simplePos x="0" y="0"/>
                <wp:positionH relativeFrom="column">
                  <wp:posOffset>981075</wp:posOffset>
                </wp:positionH>
                <wp:positionV relativeFrom="paragraph">
                  <wp:posOffset>262255</wp:posOffset>
                </wp:positionV>
                <wp:extent cx="3981450" cy="276225"/>
                <wp:effectExtent l="0" t="0" r="0" b="9525"/>
                <wp:wrapNone/>
                <wp:docPr id="905827669"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C02F18" w14:textId="77777777" w:rsidR="0030061A" w:rsidRPr="0030061A" w:rsidRDefault="0030061A" w:rsidP="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5F9B74" id="_x0000_s1039" type="#_x0000_t202" style="position:absolute;left:0;text-align:left;margin-left:77.25pt;margin-top:20.65pt;width:313.5pt;height:21.7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" filled="f" stroked="f">
                <v:textbox>
                  <w:txbxContent>
                    <w:p w14:paraId="15C02F18" w14:textId="77777777" w:rsidR="0030061A" w:rsidRPr="0030061A" w:rsidRDefault="0030061A" w:rsidP="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p>
    <w:p w14:paraId="4CCF0C86" w14:textId="77777777" w:rsidR="00791237" w:rsidRDefault="00791237" w:rsidP="0030061A">
      <w:pPr>
        <w:spacing w:line="360" w:lineRule="auto"/>
        <w:ind w:left="709" w:firstLine="709"/>
        <w:jc w:val="both"/>
        <w:rPr>
          <w:rFonts w:asciiTheme="majorBidi" w:hAnsiTheme="majorBidi" w:cstheme="majorBidi"/>
          <w:sz w:val="24"/>
          <w:szCs w:val="24"/>
          <w:lang w:val="sv-SE"/>
        </w:rPr>
      </w:pPr>
    </w:p>
    <w:p w14:paraId="69ED6E44" w14:textId="72540991" w:rsidR="00645DDB" w:rsidRPr="00B51544" w:rsidRDefault="00645DDB" w:rsidP="0030061A">
      <w:pPr>
        <w:spacing w:line="360" w:lineRule="auto"/>
        <w:ind w:left="709" w:firstLine="709"/>
        <w:jc w:val="both"/>
        <w:rPr>
          <w:rFonts w:asciiTheme="majorBidi" w:hAnsiTheme="majorBidi" w:cstheme="majorBidi"/>
          <w:sz w:val="24"/>
          <w:szCs w:val="24"/>
          <w:lang w:val="sv-SE"/>
        </w:rPr>
      </w:pPr>
      <w:r w:rsidRPr="00645DDB">
        <w:rPr>
          <w:rFonts w:asciiTheme="majorBidi" w:hAnsiTheme="majorBidi" w:cstheme="majorBidi"/>
          <w:sz w:val="24"/>
          <w:szCs w:val="24"/>
          <w:lang w:val="sv-SE"/>
        </w:rPr>
        <w:t xml:space="preserve">Dari tabel 4. 5 di atas, ditampilkan hasil uji heteroskedastisitas pada data sekunder yang digunakan dalam penelitian ini. Terdapat nilai </w:t>
      </w:r>
      <w:r w:rsidRPr="00645DDB">
        <w:rPr>
          <w:rFonts w:asciiTheme="majorBidi" w:hAnsiTheme="majorBidi" w:cstheme="majorBidi"/>
          <w:i/>
          <w:iCs/>
          <w:sz w:val="24"/>
          <w:szCs w:val="24"/>
          <w:lang w:val="sv-SE"/>
        </w:rPr>
        <w:t>probabilitas Chi-Square</w:t>
      </w:r>
      <w:r w:rsidRPr="00645DDB">
        <w:rPr>
          <w:rFonts w:asciiTheme="majorBidi" w:hAnsiTheme="majorBidi" w:cstheme="majorBidi"/>
          <w:sz w:val="24"/>
          <w:szCs w:val="24"/>
          <w:lang w:val="sv-SE"/>
        </w:rPr>
        <w:t xml:space="preserve"> pada uji </w:t>
      </w:r>
      <w:r w:rsidRPr="00645DDB">
        <w:rPr>
          <w:rFonts w:asciiTheme="majorBidi" w:hAnsiTheme="majorBidi" w:cstheme="majorBidi"/>
          <w:i/>
          <w:iCs/>
          <w:sz w:val="24"/>
          <w:szCs w:val="24"/>
          <w:lang w:val="sv-SE"/>
        </w:rPr>
        <w:t>Breusch</w:t>
      </w:r>
      <w:r w:rsidRPr="00645DDB">
        <w:rPr>
          <w:rFonts w:asciiTheme="majorBidi" w:hAnsiTheme="majorBidi" w:cstheme="majorBidi"/>
          <w:sz w:val="24"/>
          <w:szCs w:val="24"/>
          <w:lang w:val="sv-SE"/>
        </w:rPr>
        <w:t xml:space="preserve"> sebesar (0,48 &gt; 0,05), sehingga dapat disimpulkan bahwa data sekunder dalam penelitian ini tidak mengalami heteroskedastisitas.</w:t>
      </w:r>
    </w:p>
    <w:p w14:paraId="4ADF6872" w14:textId="0903EBED" w:rsidR="009D47BB" w:rsidRPr="00645DDB" w:rsidRDefault="009D47BB">
      <w:pPr>
        <w:pStyle w:val="ListParagraph"/>
        <w:numPr>
          <w:ilvl w:val="0"/>
          <w:numId w:val="15"/>
        </w:numPr>
        <w:spacing w:line="360" w:lineRule="auto"/>
        <w:jc w:val="both"/>
        <w:rPr>
          <w:rFonts w:asciiTheme="majorBidi" w:hAnsiTheme="majorBidi" w:cstheme="majorBidi"/>
          <w:sz w:val="24"/>
          <w:szCs w:val="24"/>
          <w:lang w:val="sv-SE"/>
        </w:rPr>
      </w:pPr>
      <w:r w:rsidRPr="00645DDB">
        <w:rPr>
          <w:rFonts w:asciiTheme="majorBidi" w:hAnsiTheme="majorBidi" w:cstheme="majorBidi"/>
          <w:sz w:val="24"/>
          <w:szCs w:val="24"/>
          <w:lang w:val="sv-SE"/>
        </w:rPr>
        <w:t>Uji Autokorelasi</w:t>
      </w:r>
    </w:p>
    <w:p w14:paraId="75070BFD" w14:textId="1D81A88C" w:rsidR="0030061A" w:rsidRDefault="00645DDB" w:rsidP="004F6C85">
      <w:pPr>
        <w:pStyle w:val="ListParagraph"/>
        <w:spacing w:line="360" w:lineRule="auto"/>
        <w:ind w:left="1080" w:firstLine="360"/>
        <w:jc w:val="both"/>
        <w:rPr>
          <w:rFonts w:asciiTheme="majorBidi" w:hAnsiTheme="majorBidi" w:cstheme="majorBidi"/>
          <w:sz w:val="24"/>
          <w:szCs w:val="24"/>
          <w:lang w:val="pt-BR"/>
        </w:rPr>
      </w:pPr>
      <w:r w:rsidRPr="00645DDB">
        <w:rPr>
          <w:rFonts w:asciiTheme="majorBidi" w:hAnsiTheme="majorBidi" w:cstheme="majorBidi"/>
          <w:sz w:val="24"/>
          <w:szCs w:val="24"/>
          <w:lang w:val="sv-SE"/>
        </w:rPr>
        <w:t xml:space="preserve">Uji autokorelasi bertujuan untuk menilai apakah ada hubungan antara data penelitian tahun t dengan data tahun sebelumnya (t-1). Proses uji autokorelasi dapat dilakukan dengan memeriksa nilai Durbin-Watson yang ada dalam output regresi linier berganda. Selain itu, uji autokorelasi juga dapat dilakukan melalui uji </w:t>
      </w:r>
      <w:r w:rsidRPr="004F6C85">
        <w:rPr>
          <w:rFonts w:asciiTheme="majorBidi" w:hAnsiTheme="majorBidi" w:cstheme="majorBidi"/>
          <w:i/>
          <w:iCs/>
          <w:sz w:val="24"/>
          <w:szCs w:val="24"/>
          <w:lang w:val="sv-SE"/>
        </w:rPr>
        <w:t>Breusch-Godfrey Serial Correlation LM Test</w:t>
      </w:r>
      <w:r w:rsidRPr="00645DDB">
        <w:rPr>
          <w:rFonts w:asciiTheme="majorBidi" w:hAnsiTheme="majorBidi" w:cstheme="majorBidi"/>
          <w:sz w:val="24"/>
          <w:szCs w:val="24"/>
          <w:lang w:val="sv-SE"/>
        </w:rPr>
        <w:t xml:space="preserve">, di mana jika nilai probabilitas Chi-square lebih besar dari tingkat kesalahan yang ditentukan, yaitu 5%, maka model regresi dianggap tidak mengalami autokorelasi. </w:t>
      </w:r>
      <w:r w:rsidRPr="00645DDB">
        <w:rPr>
          <w:rFonts w:asciiTheme="majorBidi" w:hAnsiTheme="majorBidi" w:cstheme="majorBidi"/>
          <w:sz w:val="24"/>
          <w:szCs w:val="24"/>
          <w:lang w:val="pt-BR"/>
        </w:rPr>
        <w:t>Hasil dari uji autokorelasi bisa dilihat pada tabel di bawah ini</w:t>
      </w:r>
      <w:r>
        <w:rPr>
          <w:rFonts w:asciiTheme="majorBidi" w:hAnsiTheme="majorBidi" w:cstheme="majorBidi"/>
          <w:sz w:val="24"/>
          <w:szCs w:val="24"/>
          <w:lang w:val="pt-BR"/>
        </w:rPr>
        <w:t xml:space="preserve"> </w:t>
      </w:r>
      <w:r w:rsidRPr="00645DDB">
        <w:rPr>
          <w:rFonts w:asciiTheme="majorBidi" w:hAnsiTheme="majorBidi" w:cstheme="majorBidi"/>
          <w:sz w:val="24"/>
          <w:szCs w:val="24"/>
          <w:lang w:val="pt-BR"/>
        </w:rPr>
        <w:t>:</w:t>
      </w:r>
    </w:p>
    <w:p w14:paraId="7FCEBB6D" w14:textId="77777777" w:rsidR="00756ED4" w:rsidRDefault="00756ED4" w:rsidP="0030061A">
      <w:pPr>
        <w:pStyle w:val="ListParagraph"/>
        <w:spacing w:line="360" w:lineRule="auto"/>
        <w:ind w:left="1080"/>
        <w:jc w:val="both"/>
        <w:rPr>
          <w:rFonts w:asciiTheme="majorBidi" w:hAnsiTheme="majorBidi" w:cstheme="majorBidi"/>
          <w:sz w:val="24"/>
          <w:szCs w:val="24"/>
          <w:lang w:val="pt-BR"/>
        </w:rPr>
      </w:pPr>
    </w:p>
    <w:p w14:paraId="4C83CD39" w14:textId="77777777" w:rsidR="00756ED4" w:rsidRDefault="00756ED4" w:rsidP="0030061A">
      <w:pPr>
        <w:pStyle w:val="ListParagraph"/>
        <w:spacing w:line="360" w:lineRule="auto"/>
        <w:ind w:left="1080"/>
        <w:jc w:val="both"/>
        <w:rPr>
          <w:rFonts w:asciiTheme="majorBidi" w:hAnsiTheme="majorBidi" w:cstheme="majorBidi"/>
          <w:sz w:val="24"/>
          <w:szCs w:val="24"/>
          <w:lang w:val="pt-BR"/>
        </w:rPr>
      </w:pPr>
    </w:p>
    <w:p w14:paraId="615AEF44" w14:textId="77777777" w:rsidR="00484DA9" w:rsidRDefault="00484DA9" w:rsidP="0030061A">
      <w:pPr>
        <w:pStyle w:val="ListParagraph"/>
        <w:spacing w:line="360" w:lineRule="auto"/>
        <w:ind w:left="1080"/>
        <w:jc w:val="both"/>
        <w:rPr>
          <w:rFonts w:asciiTheme="majorBidi" w:hAnsiTheme="majorBidi" w:cstheme="majorBidi"/>
          <w:sz w:val="24"/>
          <w:szCs w:val="24"/>
          <w:lang w:val="pt-BR"/>
        </w:rPr>
      </w:pPr>
    </w:p>
    <w:p w14:paraId="43955AFE" w14:textId="77777777" w:rsidR="00484DA9" w:rsidRDefault="00484DA9" w:rsidP="0030061A">
      <w:pPr>
        <w:pStyle w:val="ListParagraph"/>
        <w:spacing w:line="360" w:lineRule="auto"/>
        <w:ind w:left="1080"/>
        <w:jc w:val="both"/>
        <w:rPr>
          <w:rFonts w:asciiTheme="majorBidi" w:hAnsiTheme="majorBidi" w:cstheme="majorBidi"/>
          <w:sz w:val="24"/>
          <w:szCs w:val="24"/>
          <w:lang w:val="pt-BR"/>
        </w:rPr>
      </w:pPr>
    </w:p>
    <w:p w14:paraId="61F861A7" w14:textId="77777777" w:rsidR="00484DA9" w:rsidRDefault="00484DA9" w:rsidP="0030061A">
      <w:pPr>
        <w:pStyle w:val="ListParagraph"/>
        <w:spacing w:line="360" w:lineRule="auto"/>
        <w:ind w:left="1080"/>
        <w:jc w:val="both"/>
        <w:rPr>
          <w:rFonts w:asciiTheme="majorBidi" w:hAnsiTheme="majorBidi" w:cstheme="majorBidi"/>
          <w:sz w:val="24"/>
          <w:szCs w:val="24"/>
          <w:lang w:val="pt-BR"/>
        </w:rPr>
      </w:pPr>
    </w:p>
    <w:p w14:paraId="06B29FF7" w14:textId="77777777" w:rsidR="00484DA9" w:rsidRDefault="00484DA9" w:rsidP="0030061A">
      <w:pPr>
        <w:pStyle w:val="ListParagraph"/>
        <w:spacing w:line="360" w:lineRule="auto"/>
        <w:ind w:left="1080"/>
        <w:jc w:val="both"/>
        <w:rPr>
          <w:rFonts w:asciiTheme="majorBidi" w:hAnsiTheme="majorBidi" w:cstheme="majorBidi"/>
          <w:sz w:val="24"/>
          <w:szCs w:val="24"/>
          <w:lang w:val="pt-BR"/>
        </w:rPr>
      </w:pPr>
    </w:p>
    <w:p w14:paraId="3609A45C" w14:textId="77777777" w:rsidR="00645DDB" w:rsidRDefault="00645DDB" w:rsidP="0030061A">
      <w:pPr>
        <w:pStyle w:val="ListParagraph"/>
        <w:spacing w:line="360" w:lineRule="auto"/>
        <w:ind w:left="1080"/>
        <w:jc w:val="both"/>
        <w:rPr>
          <w:rFonts w:asciiTheme="majorBidi" w:hAnsiTheme="majorBidi" w:cstheme="majorBidi"/>
          <w:sz w:val="24"/>
          <w:szCs w:val="24"/>
          <w:lang w:val="pt-BR"/>
        </w:rPr>
      </w:pPr>
    </w:p>
    <w:p w14:paraId="07EA113A" w14:textId="77777777" w:rsidR="00484DA9" w:rsidRPr="0030061A" w:rsidRDefault="00484DA9" w:rsidP="0030061A">
      <w:pPr>
        <w:pStyle w:val="ListParagraph"/>
        <w:spacing w:line="360" w:lineRule="auto"/>
        <w:ind w:left="1080"/>
        <w:jc w:val="both"/>
        <w:rPr>
          <w:rFonts w:asciiTheme="majorBidi" w:hAnsiTheme="majorBidi" w:cstheme="majorBidi"/>
          <w:sz w:val="24"/>
          <w:szCs w:val="24"/>
          <w:lang w:val="pt-BR"/>
        </w:rPr>
      </w:pPr>
    </w:p>
    <w:p w14:paraId="15AA7BA7" w14:textId="00F393E5" w:rsidR="008B2471" w:rsidRPr="00D17A2E" w:rsidRDefault="008B2471" w:rsidP="004F6C85">
      <w:pPr>
        <w:pStyle w:val="Caption"/>
        <w:jc w:val="center"/>
        <w:rPr>
          <w:rFonts w:asciiTheme="majorBidi" w:hAnsiTheme="majorBidi" w:cstheme="majorBidi"/>
          <w:b/>
          <w:bCs/>
          <w:i w:val="0"/>
          <w:iCs w:val="0"/>
          <w:color w:val="auto"/>
          <w:sz w:val="24"/>
          <w:szCs w:val="24"/>
          <w:lang w:val="pt-BR"/>
        </w:rPr>
      </w:pPr>
      <w:bookmarkStart w:id="80" w:name="_Toc200572255"/>
      <w:r w:rsidRPr="00D17A2E">
        <w:rPr>
          <w:rFonts w:asciiTheme="majorBidi" w:hAnsiTheme="majorBidi" w:cstheme="majorBidi"/>
          <w:b/>
          <w:bCs/>
          <w:i w:val="0"/>
          <w:iCs w:val="0"/>
          <w:color w:val="auto"/>
          <w:sz w:val="24"/>
          <w:szCs w:val="24"/>
          <w:lang w:val="pt-BR"/>
        </w:rPr>
        <w:lastRenderedPageBreak/>
        <w:t xml:space="preserve">Tabel 4. </w:t>
      </w:r>
      <w:r w:rsidRPr="008B2471">
        <w:rPr>
          <w:rFonts w:asciiTheme="majorBidi" w:hAnsiTheme="majorBidi" w:cstheme="majorBidi"/>
          <w:b/>
          <w:bCs/>
          <w:i w:val="0"/>
          <w:iCs w:val="0"/>
          <w:color w:val="auto"/>
          <w:sz w:val="24"/>
          <w:szCs w:val="24"/>
        </w:rPr>
        <w:fldChar w:fldCharType="begin"/>
      </w:r>
      <w:r w:rsidRPr="00D17A2E">
        <w:rPr>
          <w:rFonts w:asciiTheme="majorBidi" w:hAnsiTheme="majorBidi" w:cstheme="majorBidi"/>
          <w:b/>
          <w:bCs/>
          <w:i w:val="0"/>
          <w:iCs w:val="0"/>
          <w:color w:val="auto"/>
          <w:sz w:val="24"/>
          <w:szCs w:val="24"/>
          <w:lang w:val="pt-BR"/>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pt-BR"/>
        </w:rPr>
        <w:t>6</w:t>
      </w:r>
      <w:r w:rsidRPr="008B2471">
        <w:rPr>
          <w:rFonts w:asciiTheme="majorBidi" w:hAnsiTheme="majorBidi" w:cstheme="majorBidi"/>
          <w:b/>
          <w:bCs/>
          <w:i w:val="0"/>
          <w:iCs w:val="0"/>
          <w:color w:val="auto"/>
          <w:sz w:val="24"/>
          <w:szCs w:val="24"/>
        </w:rPr>
        <w:fldChar w:fldCharType="end"/>
      </w:r>
      <w:r w:rsidRPr="00D17A2E">
        <w:rPr>
          <w:rFonts w:asciiTheme="majorBidi" w:hAnsiTheme="majorBidi" w:cstheme="majorBidi"/>
          <w:b/>
          <w:bCs/>
          <w:i w:val="0"/>
          <w:iCs w:val="0"/>
          <w:color w:val="auto"/>
          <w:sz w:val="24"/>
          <w:szCs w:val="24"/>
          <w:lang w:val="pt-BR"/>
        </w:rPr>
        <w:t xml:space="preserve"> </w:t>
      </w:r>
      <w:r w:rsidRPr="00D17A2E">
        <w:rPr>
          <w:rFonts w:asciiTheme="majorBidi" w:hAnsiTheme="majorBidi" w:cstheme="majorBidi"/>
          <w:b/>
          <w:bCs/>
          <w:i w:val="0"/>
          <w:iCs w:val="0"/>
          <w:color w:val="auto"/>
          <w:sz w:val="24"/>
          <w:szCs w:val="24"/>
          <w:lang w:val="pt-BR"/>
        </w:rPr>
        <w:br/>
        <w:t xml:space="preserve">Uji </w:t>
      </w:r>
      <w:bookmarkEnd w:id="80"/>
      <w:r w:rsidR="00BB72E7">
        <w:rPr>
          <w:rFonts w:asciiTheme="majorBidi" w:hAnsiTheme="majorBidi" w:cstheme="majorBidi"/>
          <w:b/>
          <w:bCs/>
          <w:i w:val="0"/>
          <w:iCs w:val="0"/>
          <w:color w:val="auto"/>
          <w:sz w:val="24"/>
          <w:szCs w:val="24"/>
          <w:lang w:val="pt-BR"/>
        </w:rPr>
        <w:t>Autokorelasi</w:t>
      </w:r>
    </w:p>
    <w:p w14:paraId="1BDDB519" w14:textId="0EACC912" w:rsidR="00756ED4" w:rsidRPr="00D17A2E" w:rsidRDefault="00756ED4" w:rsidP="008B2471">
      <w:pPr>
        <w:pStyle w:val="Caption"/>
        <w:rPr>
          <w:lang w:val="pt-BR"/>
        </w:rPr>
      </w:pPr>
      <w:r w:rsidRPr="00B9251A">
        <w:rPr>
          <w:rFonts w:asciiTheme="majorBidi" w:hAnsiTheme="majorBidi" w:cstheme="majorBidi"/>
          <w:noProof/>
          <w:sz w:val="24"/>
          <w:szCs w:val="24"/>
        </w:rPr>
        <w:drawing>
          <wp:anchor distT="0" distB="0" distL="114300" distR="114300" simplePos="0" relativeHeight="251759616" behindDoc="0" locked="0" layoutInCell="1" allowOverlap="1" wp14:anchorId="18611754" wp14:editId="6F0A06CC">
            <wp:simplePos x="0" y="0"/>
            <wp:positionH relativeFrom="column">
              <wp:posOffset>1028700</wp:posOffset>
            </wp:positionH>
            <wp:positionV relativeFrom="paragraph">
              <wp:posOffset>234315</wp:posOffset>
            </wp:positionV>
            <wp:extent cx="4000500" cy="4562475"/>
            <wp:effectExtent l="0" t="0" r="0" b="9525"/>
            <wp:wrapSquare wrapText="bothSides"/>
            <wp:docPr id="200906988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00500" cy="4562475"/>
                    </a:xfrm>
                    <a:prstGeom prst="rect">
                      <a:avLst/>
                    </a:prstGeom>
                    <a:noFill/>
                    <a:ln>
                      <a:noFill/>
                    </a:ln>
                  </pic:spPr>
                </pic:pic>
              </a:graphicData>
            </a:graphic>
          </wp:anchor>
        </w:drawing>
      </w:r>
    </w:p>
    <w:p w14:paraId="3280F454" w14:textId="77777777" w:rsidR="00737DBD" w:rsidRPr="00B17575" w:rsidRDefault="00737DBD" w:rsidP="00B51544">
      <w:pPr>
        <w:pStyle w:val="ListParagraph"/>
        <w:spacing w:line="360" w:lineRule="auto"/>
        <w:ind w:left="1440"/>
        <w:jc w:val="both"/>
        <w:rPr>
          <w:lang w:val="pt-BR"/>
        </w:rPr>
      </w:pPr>
    </w:p>
    <w:p w14:paraId="201CA716" w14:textId="77777777" w:rsidR="00737DBD" w:rsidRPr="00B17575" w:rsidRDefault="00737DBD" w:rsidP="00B51544">
      <w:pPr>
        <w:pStyle w:val="ListParagraph"/>
        <w:spacing w:line="360" w:lineRule="auto"/>
        <w:ind w:left="1440"/>
        <w:jc w:val="both"/>
        <w:rPr>
          <w:lang w:val="pt-BR"/>
        </w:rPr>
      </w:pPr>
    </w:p>
    <w:p w14:paraId="344793B4" w14:textId="77777777" w:rsidR="00737DBD" w:rsidRPr="00B17575" w:rsidRDefault="00737DBD" w:rsidP="00B51544">
      <w:pPr>
        <w:pStyle w:val="ListParagraph"/>
        <w:spacing w:line="360" w:lineRule="auto"/>
        <w:ind w:left="1440"/>
        <w:jc w:val="both"/>
        <w:rPr>
          <w:lang w:val="pt-BR"/>
        </w:rPr>
      </w:pPr>
    </w:p>
    <w:p w14:paraId="137A2CF3" w14:textId="77777777" w:rsidR="00737DBD" w:rsidRPr="00B17575" w:rsidRDefault="00737DBD" w:rsidP="00B51544">
      <w:pPr>
        <w:pStyle w:val="ListParagraph"/>
        <w:spacing w:line="360" w:lineRule="auto"/>
        <w:ind w:left="1440"/>
        <w:jc w:val="both"/>
        <w:rPr>
          <w:lang w:val="pt-BR"/>
        </w:rPr>
      </w:pPr>
    </w:p>
    <w:p w14:paraId="18D1861D" w14:textId="77777777" w:rsidR="00737DBD" w:rsidRPr="00B17575" w:rsidRDefault="00737DBD" w:rsidP="00B51544">
      <w:pPr>
        <w:pStyle w:val="ListParagraph"/>
        <w:spacing w:line="360" w:lineRule="auto"/>
        <w:ind w:left="1440"/>
        <w:jc w:val="both"/>
        <w:rPr>
          <w:lang w:val="pt-BR"/>
        </w:rPr>
      </w:pPr>
    </w:p>
    <w:p w14:paraId="211D383E" w14:textId="77777777" w:rsidR="00737DBD" w:rsidRPr="00B17575" w:rsidRDefault="00737DBD" w:rsidP="00B51544">
      <w:pPr>
        <w:pStyle w:val="ListParagraph"/>
        <w:spacing w:line="360" w:lineRule="auto"/>
        <w:ind w:left="1440"/>
        <w:jc w:val="both"/>
        <w:rPr>
          <w:lang w:val="pt-BR"/>
        </w:rPr>
      </w:pPr>
    </w:p>
    <w:p w14:paraId="13B02584" w14:textId="77777777" w:rsidR="00737DBD" w:rsidRPr="00B17575" w:rsidRDefault="00737DBD" w:rsidP="00B51544">
      <w:pPr>
        <w:pStyle w:val="ListParagraph"/>
        <w:spacing w:line="360" w:lineRule="auto"/>
        <w:ind w:left="1440"/>
        <w:jc w:val="both"/>
        <w:rPr>
          <w:lang w:val="pt-BR"/>
        </w:rPr>
      </w:pPr>
    </w:p>
    <w:p w14:paraId="639C0BB3" w14:textId="77777777" w:rsidR="00737DBD" w:rsidRPr="00B17575" w:rsidRDefault="00737DBD" w:rsidP="00B51544">
      <w:pPr>
        <w:pStyle w:val="ListParagraph"/>
        <w:spacing w:line="360" w:lineRule="auto"/>
        <w:ind w:left="1440"/>
        <w:jc w:val="both"/>
        <w:rPr>
          <w:lang w:val="pt-BR"/>
        </w:rPr>
      </w:pPr>
    </w:p>
    <w:p w14:paraId="7ED3C680" w14:textId="77777777" w:rsidR="00737DBD" w:rsidRDefault="00737DBD" w:rsidP="00B51544">
      <w:pPr>
        <w:pStyle w:val="ListParagraph"/>
        <w:spacing w:line="360" w:lineRule="auto"/>
        <w:ind w:left="1440"/>
        <w:jc w:val="both"/>
        <w:rPr>
          <w:rFonts w:asciiTheme="majorBidi" w:hAnsiTheme="majorBidi" w:cstheme="majorBidi"/>
          <w:sz w:val="24"/>
          <w:szCs w:val="24"/>
          <w:lang w:val="pt-BR"/>
        </w:rPr>
      </w:pPr>
    </w:p>
    <w:p w14:paraId="386C5EB1" w14:textId="77777777" w:rsidR="00132084" w:rsidRDefault="00132084" w:rsidP="00B51544">
      <w:pPr>
        <w:pStyle w:val="ListParagraph"/>
        <w:spacing w:line="360" w:lineRule="auto"/>
        <w:ind w:left="1440"/>
        <w:jc w:val="both"/>
        <w:rPr>
          <w:rFonts w:asciiTheme="majorBidi" w:hAnsiTheme="majorBidi" w:cstheme="majorBidi"/>
          <w:sz w:val="24"/>
          <w:szCs w:val="24"/>
          <w:lang w:val="pt-BR"/>
        </w:rPr>
      </w:pPr>
    </w:p>
    <w:p w14:paraId="1531D94F" w14:textId="77777777"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6FCC5347" w14:textId="77777777"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7E1A9F25" w14:textId="77777777"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7CCB01E4" w14:textId="77777777"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16622C6D" w14:textId="77777777"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26DB6C0F" w14:textId="77777777"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3D1DC54E" w14:textId="61E3E4CB"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r>
        <w:rPr>
          <w:rFonts w:asciiTheme="majorBidi" w:hAnsiTheme="majorBidi" w:cstheme="majorBidi"/>
          <w:noProof/>
          <w:kern w:val="0"/>
          <w:sz w:val="24"/>
          <w:szCs w:val="24"/>
        </w:rPr>
        <mc:AlternateContent>
          <mc:Choice Requires="wps">
            <w:drawing>
              <wp:anchor distT="0" distB="0" distL="114300" distR="114300" simplePos="0" relativeHeight="251761664" behindDoc="0" locked="0" layoutInCell="1" allowOverlap="1" wp14:anchorId="5E373871" wp14:editId="18B31F73">
                <wp:simplePos x="0" y="0"/>
                <wp:positionH relativeFrom="column">
                  <wp:posOffset>952500</wp:posOffset>
                </wp:positionH>
                <wp:positionV relativeFrom="paragraph">
                  <wp:posOffset>262890</wp:posOffset>
                </wp:positionV>
                <wp:extent cx="3981450" cy="276225"/>
                <wp:effectExtent l="0" t="0" r="0" b="9525"/>
                <wp:wrapNone/>
                <wp:docPr id="1867408226"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2BB51C" w14:textId="77777777" w:rsidR="00B9251A" w:rsidRPr="0030061A" w:rsidRDefault="00B9251A" w:rsidP="00B925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373871" id="_x0000_s1040" type="#_x0000_t202" style="position:absolute;left:0;text-align:left;margin-left:75pt;margin-top:20.7pt;width:313.5pt;height:21.75p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" filled="f" stroked="f">
                <v:textbox>
                  <w:txbxContent>
                    <w:p w14:paraId="772BB51C" w14:textId="77777777" w:rsidR="00B9251A" w:rsidRPr="0030061A" w:rsidRDefault="00B9251A" w:rsidP="00B925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p>
    <w:p w14:paraId="0716F85F" w14:textId="04D7B268"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01D583BE" w14:textId="77777777" w:rsidR="00B9251A" w:rsidRPr="00B17575" w:rsidRDefault="00B9251A" w:rsidP="00E0174F">
      <w:pPr>
        <w:pStyle w:val="ListParagraph"/>
        <w:spacing w:line="360" w:lineRule="auto"/>
        <w:ind w:left="1134" w:firstLine="306"/>
        <w:jc w:val="both"/>
        <w:rPr>
          <w:rFonts w:asciiTheme="majorBidi" w:hAnsiTheme="majorBidi" w:cstheme="majorBidi"/>
          <w:sz w:val="24"/>
          <w:szCs w:val="24"/>
          <w:lang w:val="pt-BR"/>
        </w:rPr>
      </w:pPr>
    </w:p>
    <w:p w14:paraId="17979599" w14:textId="26C6D365" w:rsidR="00645DDB" w:rsidRDefault="00645DDB" w:rsidP="00AA1961">
      <w:pPr>
        <w:pStyle w:val="ListParagraph"/>
        <w:spacing w:line="360" w:lineRule="auto"/>
        <w:ind w:left="1134" w:firstLine="306"/>
        <w:jc w:val="both"/>
        <w:rPr>
          <w:rFonts w:asciiTheme="majorBidi" w:hAnsiTheme="majorBidi" w:cstheme="majorBidi"/>
          <w:sz w:val="24"/>
          <w:szCs w:val="24"/>
          <w:lang w:val="sv-SE"/>
        </w:rPr>
      </w:pPr>
      <w:r w:rsidRPr="00645DDB">
        <w:rPr>
          <w:rFonts w:asciiTheme="majorBidi" w:hAnsiTheme="majorBidi" w:cstheme="majorBidi"/>
          <w:sz w:val="24"/>
          <w:szCs w:val="24"/>
          <w:lang w:val="pt-BR"/>
        </w:rPr>
        <w:t xml:space="preserve">Diketahui bahwa jumlah sampel N adalah 32 dan ada 3 variabel independen K. Dengan menggunakan tabel referensi Durbin Watson pada </w:t>
      </w:r>
      <w:r w:rsidRPr="00645DDB">
        <w:rPr>
          <w:rFonts w:asciiTheme="majorBidi" w:hAnsiTheme="majorBidi" w:cstheme="majorBidi"/>
          <w:sz w:val="24"/>
          <w:szCs w:val="24"/>
          <w:lang w:val="sv-SE"/>
        </w:rPr>
        <w:t>α</w:t>
      </w:r>
      <w:r w:rsidRPr="00645DDB">
        <w:rPr>
          <w:rFonts w:asciiTheme="majorBidi" w:hAnsiTheme="majorBidi" w:cstheme="majorBidi"/>
          <w:sz w:val="24"/>
          <w:szCs w:val="24"/>
          <w:lang w:val="pt-BR"/>
        </w:rPr>
        <w:t xml:space="preserve"> = 5%, diperoleh hasil dari uji Durbin-Watson yang menunjukkan nilai DW sebesar 1,973. </w:t>
      </w:r>
      <w:r w:rsidRPr="00645DDB">
        <w:rPr>
          <w:rFonts w:asciiTheme="majorBidi" w:hAnsiTheme="majorBidi" w:cstheme="majorBidi"/>
          <w:sz w:val="24"/>
          <w:szCs w:val="24"/>
          <w:lang w:val="sv-SE"/>
        </w:rPr>
        <w:t>Angka ini terletak antara nilai DU (1,6505) dan 4-DU (2,3495), serta di atas nilai DL (1,2437) dan di bawah nilai 4-DL (2,7563). Oleh karena itu, dapat disimpulkan bahwa tidak terdapat autokorelasi dalam model regresi yang digunakan, atau dengan kata lain, lolos dari uji autokorelasi.</w:t>
      </w:r>
    </w:p>
    <w:p w14:paraId="47F73C1A" w14:textId="77777777" w:rsidR="00D2760E" w:rsidRDefault="00D2760E" w:rsidP="00AA1961">
      <w:pPr>
        <w:pStyle w:val="ListParagraph"/>
        <w:spacing w:line="360" w:lineRule="auto"/>
        <w:ind w:left="1134" w:firstLine="306"/>
        <w:jc w:val="both"/>
        <w:rPr>
          <w:rFonts w:asciiTheme="majorBidi" w:hAnsiTheme="majorBidi" w:cstheme="majorBidi"/>
          <w:sz w:val="24"/>
          <w:szCs w:val="24"/>
          <w:lang w:val="sv-SE"/>
        </w:rPr>
      </w:pPr>
    </w:p>
    <w:p w14:paraId="0709D2AC" w14:textId="77777777" w:rsidR="00D2760E" w:rsidRDefault="00D2760E" w:rsidP="00AA1961">
      <w:pPr>
        <w:pStyle w:val="ListParagraph"/>
        <w:spacing w:line="360" w:lineRule="auto"/>
        <w:ind w:left="1134" w:firstLine="306"/>
        <w:jc w:val="both"/>
        <w:rPr>
          <w:rFonts w:asciiTheme="majorBidi" w:hAnsiTheme="majorBidi" w:cstheme="majorBidi"/>
          <w:sz w:val="24"/>
          <w:szCs w:val="24"/>
          <w:lang w:val="sv-SE"/>
        </w:rPr>
      </w:pPr>
    </w:p>
    <w:p w14:paraId="23E71A46" w14:textId="77777777" w:rsidR="00D2760E" w:rsidRDefault="00D2760E" w:rsidP="00AA1961">
      <w:pPr>
        <w:pStyle w:val="ListParagraph"/>
        <w:spacing w:line="360" w:lineRule="auto"/>
        <w:ind w:left="1134" w:firstLine="306"/>
        <w:jc w:val="both"/>
        <w:rPr>
          <w:rFonts w:asciiTheme="majorBidi" w:hAnsiTheme="majorBidi" w:cstheme="majorBidi"/>
          <w:sz w:val="24"/>
          <w:szCs w:val="24"/>
          <w:lang w:val="sv-SE"/>
        </w:rPr>
      </w:pPr>
    </w:p>
    <w:p w14:paraId="199AC1DC" w14:textId="77777777" w:rsidR="00D2760E" w:rsidRDefault="00D2760E" w:rsidP="00AA1961">
      <w:pPr>
        <w:pStyle w:val="ListParagraph"/>
        <w:spacing w:line="360" w:lineRule="auto"/>
        <w:ind w:left="1134" w:firstLine="306"/>
        <w:jc w:val="both"/>
        <w:rPr>
          <w:rFonts w:asciiTheme="majorBidi" w:hAnsiTheme="majorBidi" w:cstheme="majorBidi"/>
          <w:sz w:val="24"/>
          <w:szCs w:val="24"/>
          <w:lang w:val="sv-SE"/>
        </w:rPr>
      </w:pPr>
    </w:p>
    <w:p w14:paraId="1DB1B01B" w14:textId="77777777" w:rsidR="00D2760E" w:rsidRDefault="00D2760E" w:rsidP="00AA1961">
      <w:pPr>
        <w:pStyle w:val="ListParagraph"/>
        <w:spacing w:line="360" w:lineRule="auto"/>
        <w:ind w:left="1134" w:firstLine="306"/>
        <w:jc w:val="both"/>
        <w:rPr>
          <w:rFonts w:asciiTheme="majorBidi" w:hAnsiTheme="majorBidi" w:cstheme="majorBidi"/>
          <w:sz w:val="24"/>
          <w:szCs w:val="24"/>
          <w:lang w:val="sv-SE"/>
        </w:rPr>
      </w:pPr>
    </w:p>
    <w:p w14:paraId="3EF6F2CB" w14:textId="77777777" w:rsidR="00D2760E" w:rsidRPr="00645DDB" w:rsidRDefault="00D2760E" w:rsidP="00AA1961">
      <w:pPr>
        <w:pStyle w:val="ListParagraph"/>
        <w:spacing w:line="360" w:lineRule="auto"/>
        <w:ind w:left="1134" w:firstLine="306"/>
        <w:jc w:val="both"/>
        <w:rPr>
          <w:rFonts w:asciiTheme="majorBidi" w:hAnsiTheme="majorBidi" w:cstheme="majorBidi"/>
          <w:lang w:val="sv-SE"/>
        </w:rPr>
      </w:pPr>
    </w:p>
    <w:p w14:paraId="3FEF97DF" w14:textId="1C1448F6" w:rsidR="00A74B05" w:rsidRPr="00645DDB" w:rsidRDefault="000113F1">
      <w:pPr>
        <w:pStyle w:val="ListParagraph"/>
        <w:numPr>
          <w:ilvl w:val="0"/>
          <w:numId w:val="14"/>
        </w:numPr>
        <w:spacing w:line="360" w:lineRule="auto"/>
        <w:jc w:val="both"/>
        <w:rPr>
          <w:rFonts w:asciiTheme="majorBidi" w:hAnsiTheme="majorBidi" w:cstheme="majorBidi"/>
          <w:b/>
          <w:bCs/>
          <w:sz w:val="24"/>
          <w:szCs w:val="24"/>
          <w:lang w:val="sv-SE"/>
        </w:rPr>
      </w:pPr>
      <w:r w:rsidRPr="00645DDB">
        <w:rPr>
          <w:rFonts w:asciiTheme="majorBidi" w:hAnsiTheme="majorBidi" w:cstheme="majorBidi"/>
          <w:b/>
          <w:bCs/>
          <w:sz w:val="24"/>
          <w:szCs w:val="24"/>
          <w:lang w:val="sv-SE"/>
        </w:rPr>
        <w:lastRenderedPageBreak/>
        <w:t>Analisis Data</w:t>
      </w:r>
    </w:p>
    <w:p w14:paraId="5FD996DB" w14:textId="0109C3A0" w:rsidR="000113F1" w:rsidRPr="00B51544" w:rsidRDefault="000113F1">
      <w:pPr>
        <w:pStyle w:val="ListParagraph"/>
        <w:numPr>
          <w:ilvl w:val="0"/>
          <w:numId w:val="17"/>
        </w:num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Uji Regresi Linier Berganda</w:t>
      </w:r>
    </w:p>
    <w:p w14:paraId="41A1E72F" w14:textId="22CD191C" w:rsidR="0033621F" w:rsidRPr="00B9251A" w:rsidRDefault="00376CFE" w:rsidP="00D2760E">
      <w:pPr>
        <w:pStyle w:val="ListParagraph"/>
        <w:spacing w:line="360" w:lineRule="auto"/>
        <w:ind w:left="1080" w:firstLine="360"/>
        <w:jc w:val="both"/>
        <w:rPr>
          <w:rFonts w:asciiTheme="majorBidi" w:hAnsiTheme="majorBidi" w:cstheme="majorBidi"/>
          <w:sz w:val="24"/>
          <w:szCs w:val="24"/>
          <w:lang w:val="sv-SE"/>
        </w:rPr>
      </w:pPr>
      <w:r w:rsidRPr="00B51544">
        <w:rPr>
          <w:rFonts w:asciiTheme="majorBidi" w:hAnsiTheme="majorBidi" w:cstheme="majorBidi"/>
          <w:sz w:val="24"/>
          <w:szCs w:val="24"/>
          <w:lang w:val="sv-SE"/>
        </w:rPr>
        <w:t>Regresi linier berganda digunakan untuk menguji pengaruh lebih dari satu variabel independen terhadap variabel dependen. Tujuan dari analisis ini adalah untuk mengetahui besarnya pengaruh yang ditimbulkan antara risiko pembiayaan, risiko likuiditas dan nisbah bagi hasil terhadap deposito mudharabah. Hasil uji regresi dapat dilihat pada tabel berikut :</w:t>
      </w:r>
    </w:p>
    <w:p w14:paraId="6B9DBD0D" w14:textId="4FCBA5FA" w:rsidR="008B2471" w:rsidRPr="008B2471" w:rsidRDefault="008B2471" w:rsidP="004F6C85">
      <w:pPr>
        <w:pStyle w:val="Caption"/>
        <w:jc w:val="center"/>
        <w:rPr>
          <w:rFonts w:asciiTheme="majorBidi" w:hAnsiTheme="majorBidi" w:cstheme="majorBidi"/>
          <w:b/>
          <w:bCs/>
          <w:i w:val="0"/>
          <w:iCs w:val="0"/>
          <w:color w:val="auto"/>
          <w:sz w:val="24"/>
          <w:szCs w:val="24"/>
          <w:lang w:val="sv-SE"/>
        </w:rPr>
      </w:pPr>
      <w:bookmarkStart w:id="81" w:name="_Toc200572256"/>
      <w:r w:rsidRPr="008B2471">
        <w:rPr>
          <w:rFonts w:asciiTheme="majorBidi" w:hAnsiTheme="majorBidi" w:cstheme="majorBidi"/>
          <w:b/>
          <w:bCs/>
          <w:i w:val="0"/>
          <w:iCs w:val="0"/>
          <w:color w:val="auto"/>
          <w:sz w:val="24"/>
          <w:szCs w:val="24"/>
          <w:lang w:val="sv-SE"/>
        </w:rPr>
        <w:t xml:space="preserve">Tabel 4. </w:t>
      </w:r>
      <w:r w:rsidRPr="008B2471">
        <w:rPr>
          <w:rFonts w:asciiTheme="majorBidi" w:hAnsiTheme="majorBidi" w:cstheme="majorBidi"/>
          <w:b/>
          <w:bCs/>
          <w:i w:val="0"/>
          <w:iCs w:val="0"/>
          <w:color w:val="auto"/>
          <w:sz w:val="24"/>
          <w:szCs w:val="24"/>
        </w:rPr>
        <w:fldChar w:fldCharType="begin"/>
      </w:r>
      <w:r w:rsidRPr="008B2471">
        <w:rPr>
          <w:rFonts w:asciiTheme="majorBidi" w:hAnsiTheme="majorBidi" w:cstheme="majorBidi"/>
          <w:b/>
          <w:bCs/>
          <w:i w:val="0"/>
          <w:iCs w:val="0"/>
          <w:color w:val="auto"/>
          <w:sz w:val="24"/>
          <w:szCs w:val="24"/>
          <w:lang w:val="sv-SE"/>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7</w:t>
      </w:r>
      <w:r w:rsidRPr="008B2471">
        <w:rPr>
          <w:rFonts w:asciiTheme="majorBidi" w:hAnsiTheme="majorBidi" w:cstheme="majorBidi"/>
          <w:b/>
          <w:bCs/>
          <w:i w:val="0"/>
          <w:iCs w:val="0"/>
          <w:color w:val="auto"/>
          <w:sz w:val="24"/>
          <w:szCs w:val="24"/>
        </w:rPr>
        <w:fldChar w:fldCharType="end"/>
      </w:r>
      <w:r w:rsidRPr="008B2471">
        <w:rPr>
          <w:rFonts w:asciiTheme="majorBidi" w:hAnsiTheme="majorBidi" w:cstheme="majorBidi"/>
          <w:b/>
          <w:bCs/>
          <w:i w:val="0"/>
          <w:iCs w:val="0"/>
          <w:color w:val="auto"/>
          <w:sz w:val="24"/>
          <w:szCs w:val="24"/>
          <w:lang w:val="sv-SE"/>
        </w:rPr>
        <w:t xml:space="preserve"> </w:t>
      </w:r>
      <w:r>
        <w:rPr>
          <w:rFonts w:asciiTheme="majorBidi" w:hAnsiTheme="majorBidi" w:cstheme="majorBidi"/>
          <w:b/>
          <w:bCs/>
          <w:i w:val="0"/>
          <w:iCs w:val="0"/>
          <w:color w:val="auto"/>
          <w:sz w:val="24"/>
          <w:szCs w:val="24"/>
          <w:lang w:val="sv-SE"/>
        </w:rPr>
        <w:br/>
      </w:r>
      <w:r w:rsidRPr="008B2471">
        <w:rPr>
          <w:rFonts w:asciiTheme="majorBidi" w:hAnsiTheme="majorBidi" w:cstheme="majorBidi"/>
          <w:b/>
          <w:bCs/>
          <w:i w:val="0"/>
          <w:iCs w:val="0"/>
          <w:color w:val="auto"/>
          <w:sz w:val="24"/>
          <w:szCs w:val="24"/>
          <w:lang w:val="sv-SE"/>
        </w:rPr>
        <w:t>Uji Regresi Linier Berganda</w:t>
      </w:r>
      <w:bookmarkEnd w:id="81"/>
    </w:p>
    <w:p w14:paraId="28E0C84A" w14:textId="1997B23E" w:rsidR="00B9251A" w:rsidRDefault="007F7C0B" w:rsidP="0030061A">
      <w:pPr>
        <w:spacing w:line="360" w:lineRule="auto"/>
        <w:jc w:val="center"/>
        <w:rPr>
          <w:rFonts w:asciiTheme="majorBidi" w:hAnsiTheme="majorBidi" w:cstheme="majorBidi"/>
          <w:b/>
          <w:bCs/>
          <w:sz w:val="24"/>
          <w:szCs w:val="24"/>
          <w:lang w:val="sv-SE"/>
        </w:rPr>
      </w:pPr>
      <w:r w:rsidRPr="007F7C0B">
        <w:rPr>
          <w:rFonts w:asciiTheme="majorBidi" w:hAnsiTheme="majorBidi" w:cstheme="majorBidi"/>
          <w:b/>
          <w:bCs/>
          <w:i/>
          <w:iCs/>
          <w:noProof/>
          <w:sz w:val="24"/>
          <w:szCs w:val="24"/>
        </w:rPr>
        <w:drawing>
          <wp:anchor distT="0" distB="0" distL="114300" distR="114300" simplePos="0" relativeHeight="251762688" behindDoc="0" locked="0" layoutInCell="1" allowOverlap="1" wp14:anchorId="576283AC" wp14:editId="12CF0050">
            <wp:simplePos x="0" y="0"/>
            <wp:positionH relativeFrom="column">
              <wp:posOffset>866775</wp:posOffset>
            </wp:positionH>
            <wp:positionV relativeFrom="paragraph">
              <wp:posOffset>120650</wp:posOffset>
            </wp:positionV>
            <wp:extent cx="4467225" cy="3211195"/>
            <wp:effectExtent l="0" t="0" r="9525" b="8255"/>
            <wp:wrapSquare wrapText="bothSides"/>
            <wp:docPr id="15351188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67225" cy="3211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8EDAAD" w14:textId="77777777" w:rsidR="00B9251A" w:rsidRDefault="00B9251A" w:rsidP="0030061A">
      <w:pPr>
        <w:spacing w:line="360" w:lineRule="auto"/>
        <w:jc w:val="center"/>
        <w:rPr>
          <w:rFonts w:asciiTheme="majorBidi" w:hAnsiTheme="majorBidi" w:cstheme="majorBidi"/>
          <w:b/>
          <w:bCs/>
          <w:sz w:val="24"/>
          <w:szCs w:val="24"/>
          <w:lang w:val="sv-SE"/>
        </w:rPr>
      </w:pPr>
    </w:p>
    <w:p w14:paraId="502FBB8E" w14:textId="54EE807C" w:rsidR="0033621F" w:rsidRDefault="0033621F" w:rsidP="0030061A">
      <w:pPr>
        <w:spacing w:line="360" w:lineRule="auto"/>
        <w:jc w:val="center"/>
        <w:rPr>
          <w:rFonts w:asciiTheme="majorBidi" w:hAnsiTheme="majorBidi" w:cstheme="majorBidi"/>
          <w:b/>
          <w:bCs/>
          <w:sz w:val="24"/>
          <w:szCs w:val="24"/>
          <w:lang w:val="sv-SE"/>
        </w:rPr>
      </w:pPr>
    </w:p>
    <w:p w14:paraId="409B6421" w14:textId="77777777" w:rsidR="0033621F" w:rsidRDefault="0033621F" w:rsidP="0030061A">
      <w:pPr>
        <w:spacing w:line="360" w:lineRule="auto"/>
        <w:jc w:val="center"/>
        <w:rPr>
          <w:rFonts w:asciiTheme="majorBidi" w:hAnsiTheme="majorBidi" w:cstheme="majorBidi"/>
          <w:b/>
          <w:bCs/>
          <w:sz w:val="24"/>
          <w:szCs w:val="24"/>
          <w:lang w:val="sv-SE"/>
        </w:rPr>
      </w:pPr>
    </w:p>
    <w:p w14:paraId="241F13BE" w14:textId="77777777" w:rsidR="0033621F" w:rsidRDefault="0033621F" w:rsidP="0030061A">
      <w:pPr>
        <w:spacing w:line="360" w:lineRule="auto"/>
        <w:jc w:val="center"/>
        <w:rPr>
          <w:rFonts w:asciiTheme="majorBidi" w:hAnsiTheme="majorBidi" w:cstheme="majorBidi"/>
          <w:b/>
          <w:bCs/>
          <w:sz w:val="24"/>
          <w:szCs w:val="24"/>
          <w:lang w:val="sv-SE"/>
        </w:rPr>
      </w:pPr>
    </w:p>
    <w:p w14:paraId="104EE412" w14:textId="77777777" w:rsidR="0033621F" w:rsidRDefault="0033621F" w:rsidP="0030061A">
      <w:pPr>
        <w:spacing w:line="360" w:lineRule="auto"/>
        <w:jc w:val="center"/>
        <w:rPr>
          <w:rFonts w:asciiTheme="majorBidi" w:hAnsiTheme="majorBidi" w:cstheme="majorBidi"/>
          <w:b/>
          <w:bCs/>
          <w:sz w:val="24"/>
          <w:szCs w:val="24"/>
          <w:lang w:val="sv-SE"/>
        </w:rPr>
      </w:pPr>
    </w:p>
    <w:p w14:paraId="636A21F7" w14:textId="77777777" w:rsidR="0033621F" w:rsidRDefault="0033621F" w:rsidP="0030061A">
      <w:pPr>
        <w:spacing w:line="360" w:lineRule="auto"/>
        <w:jc w:val="center"/>
        <w:rPr>
          <w:rFonts w:asciiTheme="majorBidi" w:hAnsiTheme="majorBidi" w:cstheme="majorBidi"/>
          <w:b/>
          <w:bCs/>
          <w:sz w:val="24"/>
          <w:szCs w:val="24"/>
          <w:lang w:val="sv-SE"/>
        </w:rPr>
      </w:pPr>
    </w:p>
    <w:p w14:paraId="6D374842" w14:textId="77777777" w:rsidR="0033621F" w:rsidRDefault="0033621F" w:rsidP="0030061A">
      <w:pPr>
        <w:spacing w:line="360" w:lineRule="auto"/>
        <w:jc w:val="center"/>
        <w:rPr>
          <w:rFonts w:asciiTheme="majorBidi" w:hAnsiTheme="majorBidi" w:cstheme="majorBidi"/>
          <w:b/>
          <w:bCs/>
          <w:sz w:val="24"/>
          <w:szCs w:val="24"/>
          <w:lang w:val="sv-SE"/>
        </w:rPr>
      </w:pPr>
    </w:p>
    <w:p w14:paraId="356F4628" w14:textId="6CCEC497" w:rsidR="00CE4D97" w:rsidRDefault="00CE4D97" w:rsidP="00B9251A">
      <w:pPr>
        <w:spacing w:line="360" w:lineRule="auto"/>
        <w:jc w:val="center"/>
        <w:rPr>
          <w:rFonts w:asciiTheme="majorBidi" w:hAnsiTheme="majorBidi" w:cstheme="majorBidi"/>
          <w:b/>
          <w:bCs/>
          <w:sz w:val="24"/>
          <w:szCs w:val="24"/>
          <w:lang w:val="sv-SE"/>
        </w:rPr>
      </w:pPr>
    </w:p>
    <w:p w14:paraId="2341A8A7" w14:textId="5358CC84" w:rsidR="00B9251A" w:rsidRPr="00B9251A" w:rsidRDefault="007F7C0B" w:rsidP="00B9251A">
      <w:pPr>
        <w:spacing w:line="360" w:lineRule="auto"/>
        <w:jc w:val="center"/>
        <w:rPr>
          <w:rFonts w:asciiTheme="majorBidi" w:hAnsiTheme="majorBidi" w:cstheme="majorBidi"/>
          <w:b/>
          <w:bCs/>
          <w:sz w:val="24"/>
          <w:szCs w:val="24"/>
          <w:lang w:val="sv-SE"/>
        </w:rPr>
      </w:pPr>
      <w:r>
        <w:rPr>
          <w:rFonts w:asciiTheme="majorBidi" w:hAnsiTheme="majorBidi" w:cstheme="majorBidi"/>
          <w:noProof/>
          <w:kern w:val="0"/>
          <w:sz w:val="24"/>
          <w:szCs w:val="24"/>
        </w:rPr>
        <mc:AlternateContent>
          <mc:Choice Requires="wps">
            <w:drawing>
              <wp:anchor distT="0" distB="0" distL="114300" distR="114300" simplePos="0" relativeHeight="251734016" behindDoc="0" locked="0" layoutInCell="1" allowOverlap="1" wp14:anchorId="4C1AA2A2" wp14:editId="1619F115">
                <wp:simplePos x="0" y="0"/>
                <wp:positionH relativeFrom="column">
                  <wp:posOffset>923925</wp:posOffset>
                </wp:positionH>
                <wp:positionV relativeFrom="paragraph">
                  <wp:posOffset>24130</wp:posOffset>
                </wp:positionV>
                <wp:extent cx="3981450" cy="276225"/>
                <wp:effectExtent l="0" t="0" r="0" b="9525"/>
                <wp:wrapNone/>
                <wp:docPr id="1644060375"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70C7674" w14:textId="77777777" w:rsidR="0030061A" w:rsidRPr="0030061A" w:rsidRDefault="0030061A" w:rsidP="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1AA2A2" id="_x0000_s1041" type="#_x0000_t202" style="position:absolute;left:0;text-align:left;margin-left:72.75pt;margin-top:1.9pt;width:313.5pt;height:21.7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" filled="f" stroked="f">
                <v:textbox>
                  <w:txbxContent>
                    <w:p w14:paraId="070C7674" w14:textId="77777777" w:rsidR="0030061A" w:rsidRPr="0030061A" w:rsidRDefault="0030061A" w:rsidP="0030061A">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p>
    <w:p w14:paraId="0A0E8BEA" w14:textId="77777777" w:rsidR="0030061A" w:rsidRDefault="0030061A" w:rsidP="00B51544">
      <w:pPr>
        <w:spacing w:line="360" w:lineRule="auto"/>
        <w:jc w:val="both"/>
        <w:rPr>
          <w:rFonts w:asciiTheme="majorBidi" w:hAnsiTheme="majorBidi" w:cstheme="majorBidi"/>
          <w:sz w:val="24"/>
          <w:szCs w:val="24"/>
          <w:lang w:val="sv-SE"/>
        </w:rPr>
      </w:pPr>
    </w:p>
    <w:p w14:paraId="010F7E3E" w14:textId="04E23E36" w:rsidR="00CE4D97" w:rsidRPr="00B51544" w:rsidRDefault="00CE4D97" w:rsidP="00E17038">
      <w:pPr>
        <w:spacing w:after="0" w:line="360" w:lineRule="auto"/>
        <w:ind w:left="709"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Dilihat pada tabel 4.</w:t>
      </w:r>
      <w:r w:rsidR="00AA1961">
        <w:rPr>
          <w:rFonts w:asciiTheme="majorBidi" w:hAnsiTheme="majorBidi" w:cstheme="majorBidi"/>
          <w:sz w:val="24"/>
          <w:szCs w:val="24"/>
          <w:lang w:val="sv-SE"/>
        </w:rPr>
        <w:t>7</w:t>
      </w:r>
      <w:r w:rsidRPr="00B51544">
        <w:rPr>
          <w:rFonts w:asciiTheme="majorBidi" w:hAnsiTheme="majorBidi" w:cstheme="majorBidi"/>
          <w:sz w:val="24"/>
          <w:szCs w:val="24"/>
          <w:lang w:val="sv-SE"/>
        </w:rPr>
        <w:t>, maka didapatlah model regresi linier berganda pada penelitian ini sebagai berikut :</w:t>
      </w:r>
    </w:p>
    <w:p w14:paraId="2E168547" w14:textId="36DCC9C7" w:rsidR="00CE4D97" w:rsidRPr="00B51544" w:rsidRDefault="00CE4D97" w:rsidP="00E17038">
      <w:pPr>
        <w:spacing w:after="0" w:line="360" w:lineRule="auto"/>
        <w:jc w:val="center"/>
        <w:rPr>
          <w:rFonts w:asciiTheme="majorBidi" w:hAnsiTheme="majorBidi" w:cstheme="majorBidi"/>
          <w:sz w:val="24"/>
          <w:szCs w:val="24"/>
          <w:lang w:val="sv-SE"/>
        </w:rPr>
      </w:pPr>
      <w:r w:rsidRPr="00B51544">
        <w:rPr>
          <w:rFonts w:asciiTheme="majorBidi" w:hAnsiTheme="majorBidi" w:cstheme="majorBidi"/>
          <w:sz w:val="24"/>
          <w:szCs w:val="24"/>
          <w:lang w:val="sv-SE"/>
        </w:rPr>
        <w:t xml:space="preserve">Y = </w:t>
      </w:r>
      <w:r w:rsidRPr="00B51544">
        <w:rPr>
          <w:rFonts w:asciiTheme="majorBidi" w:hAnsiTheme="majorBidi" w:cstheme="majorBidi"/>
          <w:sz w:val="24"/>
          <w:szCs w:val="24"/>
          <w:lang w:val="en-US"/>
        </w:rPr>
        <w:t>α</w:t>
      </w:r>
      <w:r w:rsidRPr="00B51544">
        <w:rPr>
          <w:rFonts w:asciiTheme="majorBidi" w:hAnsiTheme="majorBidi" w:cstheme="majorBidi"/>
          <w:sz w:val="24"/>
          <w:szCs w:val="24"/>
          <w:lang w:val="sv-SE"/>
        </w:rPr>
        <w:t xml:space="preserve"> + </w:t>
      </w:r>
      <w:r w:rsidRPr="00B51544">
        <w:rPr>
          <w:rFonts w:asciiTheme="majorBidi" w:hAnsiTheme="majorBidi" w:cstheme="majorBidi"/>
          <w:sz w:val="24"/>
          <w:szCs w:val="24"/>
          <w:lang w:val="en-US"/>
        </w:rPr>
        <w:t>β</w:t>
      </w:r>
      <w:r w:rsidRPr="00B51544">
        <w:rPr>
          <w:rFonts w:asciiTheme="majorBidi" w:hAnsiTheme="majorBidi" w:cstheme="majorBidi"/>
          <w:sz w:val="24"/>
          <w:szCs w:val="24"/>
          <w:vertAlign w:val="subscript"/>
          <w:lang w:val="sv-SE"/>
        </w:rPr>
        <w:t>1</w:t>
      </w:r>
      <w:r w:rsidRPr="00B51544">
        <w:rPr>
          <w:rFonts w:asciiTheme="majorBidi" w:hAnsiTheme="majorBidi" w:cstheme="majorBidi"/>
          <w:sz w:val="24"/>
          <w:szCs w:val="24"/>
          <w:lang w:val="sv-SE"/>
        </w:rPr>
        <w:t>X</w:t>
      </w:r>
      <w:r w:rsidRPr="00B51544">
        <w:rPr>
          <w:rFonts w:asciiTheme="majorBidi" w:hAnsiTheme="majorBidi" w:cstheme="majorBidi"/>
          <w:sz w:val="24"/>
          <w:szCs w:val="24"/>
          <w:vertAlign w:val="subscript"/>
          <w:lang w:val="sv-SE"/>
        </w:rPr>
        <w:t>1</w:t>
      </w:r>
      <w:r w:rsidRPr="00B51544">
        <w:rPr>
          <w:rFonts w:asciiTheme="majorBidi" w:hAnsiTheme="majorBidi" w:cstheme="majorBidi"/>
          <w:sz w:val="24"/>
          <w:szCs w:val="24"/>
          <w:lang w:val="sv-SE"/>
        </w:rPr>
        <w:t xml:space="preserve"> + </w:t>
      </w:r>
      <w:r w:rsidRPr="00B51544">
        <w:rPr>
          <w:rFonts w:asciiTheme="majorBidi" w:hAnsiTheme="majorBidi" w:cstheme="majorBidi"/>
          <w:sz w:val="24"/>
          <w:szCs w:val="24"/>
          <w:lang w:val="en-US"/>
        </w:rPr>
        <w:t>β</w:t>
      </w:r>
      <w:r w:rsidRPr="00B51544">
        <w:rPr>
          <w:rFonts w:asciiTheme="majorBidi" w:hAnsiTheme="majorBidi" w:cstheme="majorBidi"/>
          <w:sz w:val="24"/>
          <w:szCs w:val="24"/>
          <w:vertAlign w:val="subscript"/>
          <w:lang w:val="sv-SE"/>
        </w:rPr>
        <w:t>2</w:t>
      </w:r>
      <w:r w:rsidRPr="00B51544">
        <w:rPr>
          <w:rFonts w:asciiTheme="majorBidi" w:hAnsiTheme="majorBidi" w:cstheme="majorBidi"/>
          <w:sz w:val="24"/>
          <w:szCs w:val="24"/>
          <w:lang w:val="sv-SE"/>
        </w:rPr>
        <w:t>X</w:t>
      </w:r>
      <w:r w:rsidRPr="00B51544">
        <w:rPr>
          <w:rFonts w:asciiTheme="majorBidi" w:hAnsiTheme="majorBidi" w:cstheme="majorBidi"/>
          <w:sz w:val="24"/>
          <w:szCs w:val="24"/>
          <w:vertAlign w:val="subscript"/>
          <w:lang w:val="sv-SE"/>
        </w:rPr>
        <w:t xml:space="preserve">2 </w:t>
      </w:r>
      <w:r w:rsidRPr="00B51544">
        <w:rPr>
          <w:rFonts w:asciiTheme="majorBidi" w:hAnsiTheme="majorBidi" w:cstheme="majorBidi"/>
          <w:sz w:val="24"/>
          <w:szCs w:val="24"/>
          <w:lang w:val="sv-SE"/>
        </w:rPr>
        <w:t xml:space="preserve">+ </w:t>
      </w:r>
      <w:r w:rsidRPr="00B51544">
        <w:rPr>
          <w:rFonts w:asciiTheme="majorBidi" w:hAnsiTheme="majorBidi" w:cstheme="majorBidi"/>
          <w:sz w:val="24"/>
          <w:szCs w:val="24"/>
          <w:lang w:val="en-US"/>
        </w:rPr>
        <w:t>β</w:t>
      </w:r>
      <w:r w:rsidRPr="00B51544">
        <w:rPr>
          <w:rFonts w:asciiTheme="majorBidi" w:hAnsiTheme="majorBidi" w:cstheme="majorBidi"/>
          <w:sz w:val="24"/>
          <w:szCs w:val="24"/>
          <w:vertAlign w:val="subscript"/>
          <w:lang w:val="sv-SE"/>
        </w:rPr>
        <w:t>3</w:t>
      </w:r>
      <w:r w:rsidRPr="00B51544">
        <w:rPr>
          <w:rFonts w:asciiTheme="majorBidi" w:hAnsiTheme="majorBidi" w:cstheme="majorBidi"/>
          <w:sz w:val="24"/>
          <w:szCs w:val="24"/>
          <w:lang w:val="sv-SE"/>
        </w:rPr>
        <w:t>X</w:t>
      </w:r>
      <w:r w:rsidRPr="00B51544">
        <w:rPr>
          <w:rFonts w:asciiTheme="majorBidi" w:hAnsiTheme="majorBidi" w:cstheme="majorBidi"/>
          <w:sz w:val="24"/>
          <w:szCs w:val="24"/>
          <w:vertAlign w:val="subscript"/>
          <w:lang w:val="sv-SE"/>
        </w:rPr>
        <w:t>3</w:t>
      </w:r>
      <w:r w:rsidRPr="00B51544">
        <w:rPr>
          <w:rFonts w:asciiTheme="majorBidi" w:hAnsiTheme="majorBidi" w:cstheme="majorBidi"/>
          <w:sz w:val="24"/>
          <w:szCs w:val="24"/>
          <w:lang w:val="sv-SE"/>
        </w:rPr>
        <w:t xml:space="preserve"> + e</w:t>
      </w:r>
    </w:p>
    <w:p w14:paraId="00E60ACC" w14:textId="77777777" w:rsidR="0030061A" w:rsidRDefault="00CE4D97" w:rsidP="00E17038">
      <w:pPr>
        <w:spacing w:after="0" w:line="360" w:lineRule="auto"/>
        <w:ind w:left="709"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Deposito Mudharabah = </w:t>
      </w:r>
      <w:r w:rsidR="00B406B1" w:rsidRPr="00B51544">
        <w:rPr>
          <w:rFonts w:asciiTheme="majorBidi" w:hAnsiTheme="majorBidi" w:cstheme="majorBidi"/>
          <w:sz w:val="24"/>
          <w:szCs w:val="24"/>
          <w:lang w:val="en-US"/>
        </w:rPr>
        <w:t>α</w:t>
      </w:r>
      <w:r w:rsidR="00B406B1" w:rsidRPr="00B51544">
        <w:rPr>
          <w:rFonts w:asciiTheme="majorBidi" w:hAnsiTheme="majorBidi" w:cstheme="majorBidi"/>
          <w:sz w:val="24"/>
          <w:szCs w:val="24"/>
          <w:lang w:val="sv-SE"/>
        </w:rPr>
        <w:t xml:space="preserve"> + </w:t>
      </w:r>
      <w:r w:rsidR="00B406B1" w:rsidRPr="00B51544">
        <w:rPr>
          <w:rFonts w:asciiTheme="majorBidi" w:hAnsiTheme="majorBidi" w:cstheme="majorBidi"/>
          <w:sz w:val="24"/>
          <w:szCs w:val="24"/>
          <w:lang w:val="en-US"/>
        </w:rPr>
        <w:t>β</w:t>
      </w:r>
      <w:r w:rsidR="00B406B1" w:rsidRPr="00B51544">
        <w:rPr>
          <w:rFonts w:asciiTheme="majorBidi" w:hAnsiTheme="majorBidi" w:cstheme="majorBidi"/>
          <w:sz w:val="24"/>
          <w:szCs w:val="24"/>
          <w:vertAlign w:val="subscript"/>
          <w:lang w:val="sv-SE"/>
        </w:rPr>
        <w:t>1</w:t>
      </w:r>
      <w:r w:rsidR="00B406B1" w:rsidRPr="00B51544">
        <w:rPr>
          <w:rFonts w:asciiTheme="majorBidi" w:hAnsiTheme="majorBidi" w:cstheme="majorBidi"/>
          <w:sz w:val="24"/>
          <w:szCs w:val="24"/>
          <w:lang w:val="sv-SE"/>
        </w:rPr>
        <w:t xml:space="preserve"> Risiko Pembiayaan + </w:t>
      </w:r>
      <w:r w:rsidR="00B406B1" w:rsidRPr="00B51544">
        <w:rPr>
          <w:rFonts w:asciiTheme="majorBidi" w:hAnsiTheme="majorBidi" w:cstheme="majorBidi"/>
          <w:sz w:val="24"/>
          <w:szCs w:val="24"/>
          <w:lang w:val="en-US"/>
        </w:rPr>
        <w:t>β</w:t>
      </w:r>
      <w:r w:rsidR="00B406B1" w:rsidRPr="00B51544">
        <w:rPr>
          <w:rFonts w:asciiTheme="majorBidi" w:hAnsiTheme="majorBidi" w:cstheme="majorBidi"/>
          <w:sz w:val="24"/>
          <w:szCs w:val="24"/>
          <w:vertAlign w:val="subscript"/>
          <w:lang w:val="sv-SE"/>
        </w:rPr>
        <w:t>2</w:t>
      </w:r>
      <w:r w:rsidR="00B406B1" w:rsidRPr="00B51544">
        <w:rPr>
          <w:rFonts w:asciiTheme="majorBidi" w:hAnsiTheme="majorBidi" w:cstheme="majorBidi"/>
          <w:sz w:val="24"/>
          <w:szCs w:val="24"/>
          <w:lang w:val="sv-SE"/>
        </w:rPr>
        <w:t xml:space="preserve"> Risiko Likuiditas</w:t>
      </w:r>
      <w:r w:rsidR="00B406B1" w:rsidRPr="00B51544">
        <w:rPr>
          <w:rFonts w:asciiTheme="majorBidi" w:hAnsiTheme="majorBidi" w:cstheme="majorBidi"/>
          <w:sz w:val="24"/>
          <w:szCs w:val="24"/>
          <w:vertAlign w:val="subscript"/>
          <w:lang w:val="sv-SE"/>
        </w:rPr>
        <w:t xml:space="preserve"> </w:t>
      </w:r>
      <w:r w:rsidR="00B406B1" w:rsidRPr="00B51544">
        <w:rPr>
          <w:rFonts w:asciiTheme="majorBidi" w:hAnsiTheme="majorBidi" w:cstheme="majorBidi"/>
          <w:sz w:val="24"/>
          <w:szCs w:val="24"/>
          <w:lang w:val="sv-SE"/>
        </w:rPr>
        <w:t xml:space="preserve">+ </w:t>
      </w:r>
      <w:r w:rsidR="00B406B1" w:rsidRPr="00B51544">
        <w:rPr>
          <w:rFonts w:asciiTheme="majorBidi" w:hAnsiTheme="majorBidi" w:cstheme="majorBidi"/>
          <w:sz w:val="24"/>
          <w:szCs w:val="24"/>
          <w:lang w:val="en-US"/>
        </w:rPr>
        <w:t>β</w:t>
      </w:r>
      <w:r w:rsidR="00B406B1" w:rsidRPr="00B51544">
        <w:rPr>
          <w:rFonts w:asciiTheme="majorBidi" w:hAnsiTheme="majorBidi" w:cstheme="majorBidi"/>
          <w:sz w:val="24"/>
          <w:szCs w:val="24"/>
          <w:vertAlign w:val="subscript"/>
          <w:lang w:val="sv-SE"/>
        </w:rPr>
        <w:t>3</w:t>
      </w:r>
      <w:r w:rsidR="00B406B1" w:rsidRPr="00B51544">
        <w:rPr>
          <w:rFonts w:asciiTheme="majorBidi" w:hAnsiTheme="majorBidi" w:cstheme="majorBidi"/>
          <w:sz w:val="24"/>
          <w:szCs w:val="24"/>
          <w:lang w:val="sv-SE"/>
        </w:rPr>
        <w:t xml:space="preserve"> Nisbah bagi Hasil + e</w:t>
      </w:r>
    </w:p>
    <w:p w14:paraId="2F72B91E" w14:textId="77777777" w:rsidR="0030061A" w:rsidRPr="0030061A" w:rsidRDefault="00B406B1" w:rsidP="00E17038">
      <w:pPr>
        <w:spacing w:after="0" w:line="360" w:lineRule="auto"/>
        <w:ind w:left="709" w:firstLine="709"/>
        <w:jc w:val="both"/>
        <w:rPr>
          <w:rFonts w:asciiTheme="majorBidi" w:hAnsiTheme="majorBidi" w:cstheme="majorBidi"/>
          <w:sz w:val="24"/>
          <w:szCs w:val="24"/>
          <w:lang w:val="pt-BR"/>
        </w:rPr>
      </w:pPr>
      <w:r w:rsidRPr="00B51544">
        <w:rPr>
          <w:rFonts w:asciiTheme="majorBidi" w:hAnsiTheme="majorBidi" w:cstheme="majorBidi"/>
          <w:sz w:val="24"/>
          <w:szCs w:val="24"/>
          <w:lang w:val="pt-BR"/>
        </w:rPr>
        <w:t xml:space="preserve">Maka, </w:t>
      </w:r>
    </w:p>
    <w:p w14:paraId="38451AA0" w14:textId="5583BE8F" w:rsidR="0030061A" w:rsidRDefault="00B406B1" w:rsidP="00E17038">
      <w:pPr>
        <w:spacing w:after="0" w:line="360" w:lineRule="auto"/>
        <w:ind w:left="709" w:firstLine="709"/>
        <w:jc w:val="both"/>
        <w:rPr>
          <w:rFonts w:asciiTheme="majorBidi" w:hAnsiTheme="majorBidi" w:cstheme="majorBidi"/>
          <w:sz w:val="24"/>
          <w:szCs w:val="24"/>
          <w:lang w:val="pt-BR"/>
        </w:rPr>
      </w:pPr>
      <w:r w:rsidRPr="00B51544">
        <w:rPr>
          <w:rFonts w:asciiTheme="majorBidi" w:hAnsiTheme="majorBidi" w:cstheme="majorBidi"/>
          <w:sz w:val="24"/>
          <w:szCs w:val="24"/>
          <w:lang w:val="pt-BR"/>
        </w:rPr>
        <w:t xml:space="preserve">Deposito Mudharabah = </w:t>
      </w:r>
      <w:r w:rsidRPr="00B51544">
        <w:rPr>
          <w:rFonts w:asciiTheme="majorBidi" w:hAnsiTheme="majorBidi" w:cstheme="majorBidi"/>
          <w:color w:val="000000"/>
          <w:kern w:val="0"/>
          <w:sz w:val="24"/>
          <w:szCs w:val="24"/>
          <w:lang w:val="pt-BR"/>
        </w:rPr>
        <w:t>3534273</w:t>
      </w:r>
      <w:r w:rsidR="0033621F">
        <w:rPr>
          <w:rFonts w:asciiTheme="majorBidi" w:hAnsiTheme="majorBidi" w:cstheme="majorBidi"/>
          <w:color w:val="000000"/>
          <w:kern w:val="0"/>
          <w:sz w:val="24"/>
          <w:szCs w:val="24"/>
          <w:lang w:val="pt-BR"/>
        </w:rPr>
        <w:t>1</w:t>
      </w:r>
      <w:r w:rsidRPr="00B51544">
        <w:rPr>
          <w:rFonts w:asciiTheme="majorBidi" w:hAnsiTheme="majorBidi" w:cstheme="majorBidi"/>
          <w:color w:val="000000"/>
          <w:kern w:val="0"/>
          <w:sz w:val="24"/>
          <w:szCs w:val="24"/>
          <w:lang w:val="pt-BR"/>
        </w:rPr>
        <w:t xml:space="preserve"> + 228493.</w:t>
      </w:r>
      <w:r w:rsidR="0033621F">
        <w:rPr>
          <w:rFonts w:asciiTheme="majorBidi" w:hAnsiTheme="majorBidi" w:cstheme="majorBidi"/>
          <w:color w:val="000000"/>
          <w:kern w:val="0"/>
          <w:sz w:val="24"/>
          <w:szCs w:val="24"/>
          <w:lang w:val="pt-BR"/>
        </w:rPr>
        <w:t>2</w:t>
      </w:r>
      <w:r w:rsidR="0033621F" w:rsidRPr="00B51544">
        <w:rPr>
          <w:rFonts w:asciiTheme="majorBidi" w:hAnsiTheme="majorBidi" w:cstheme="majorBidi"/>
          <w:color w:val="000000"/>
          <w:kern w:val="0"/>
          <w:sz w:val="24"/>
          <w:szCs w:val="24"/>
          <w:lang w:val="pt-BR"/>
        </w:rPr>
        <w:t xml:space="preserve"> </w:t>
      </w:r>
      <w:r w:rsidRPr="00B51544">
        <w:rPr>
          <w:rFonts w:asciiTheme="majorBidi" w:hAnsiTheme="majorBidi" w:cstheme="majorBidi"/>
          <w:color w:val="000000"/>
          <w:kern w:val="0"/>
          <w:sz w:val="24"/>
          <w:szCs w:val="24"/>
          <w:lang w:val="pt-BR"/>
        </w:rPr>
        <w:t>*NPF - 441447.6*FDR + 80376.41*NISBAH_BAGI_HASIL + e</w:t>
      </w:r>
    </w:p>
    <w:p w14:paraId="3F3DE802" w14:textId="4AC0CFF6" w:rsidR="00B406B1" w:rsidRPr="0030061A" w:rsidRDefault="00B406B1" w:rsidP="0030061A">
      <w:pPr>
        <w:spacing w:line="360" w:lineRule="auto"/>
        <w:ind w:left="709" w:firstLine="709"/>
        <w:jc w:val="both"/>
        <w:rPr>
          <w:rFonts w:asciiTheme="majorBidi" w:hAnsiTheme="majorBidi" w:cstheme="majorBidi"/>
          <w:sz w:val="24"/>
          <w:szCs w:val="24"/>
          <w:lang w:val="pt-BR"/>
        </w:rPr>
      </w:pPr>
      <w:r w:rsidRPr="00B51544">
        <w:rPr>
          <w:rFonts w:asciiTheme="majorBidi" w:hAnsiTheme="majorBidi" w:cstheme="majorBidi"/>
          <w:color w:val="000000"/>
          <w:kern w:val="0"/>
          <w:sz w:val="24"/>
          <w:szCs w:val="24"/>
          <w:lang w:val="pt-BR"/>
        </w:rPr>
        <w:t>Model persamaan regresi linier berganda diatas menunjukkan bahwa nilai konstanta sebesar 3534273</w:t>
      </w:r>
      <w:r w:rsidR="0033621F">
        <w:rPr>
          <w:rFonts w:asciiTheme="majorBidi" w:hAnsiTheme="majorBidi" w:cstheme="majorBidi"/>
          <w:color w:val="000000"/>
          <w:kern w:val="0"/>
          <w:sz w:val="24"/>
          <w:szCs w:val="24"/>
          <w:lang w:val="pt-BR"/>
        </w:rPr>
        <w:t>1</w:t>
      </w:r>
      <w:r w:rsidRPr="00B51544">
        <w:rPr>
          <w:rFonts w:asciiTheme="majorBidi" w:hAnsiTheme="majorBidi" w:cstheme="majorBidi"/>
          <w:color w:val="000000"/>
          <w:kern w:val="0"/>
          <w:sz w:val="24"/>
          <w:szCs w:val="24"/>
          <w:lang w:val="pt-BR"/>
        </w:rPr>
        <w:t>, nilai variabel risiko pembiayaan (NPF) sebesar 228493.</w:t>
      </w:r>
      <w:r w:rsidR="0033621F">
        <w:rPr>
          <w:rFonts w:asciiTheme="majorBidi" w:hAnsiTheme="majorBidi" w:cstheme="majorBidi"/>
          <w:color w:val="000000"/>
          <w:kern w:val="0"/>
          <w:sz w:val="24"/>
          <w:szCs w:val="24"/>
          <w:lang w:val="pt-BR"/>
        </w:rPr>
        <w:t>2</w:t>
      </w:r>
      <w:r w:rsidRPr="00B51544">
        <w:rPr>
          <w:rFonts w:asciiTheme="majorBidi" w:hAnsiTheme="majorBidi" w:cstheme="majorBidi"/>
          <w:color w:val="000000"/>
          <w:kern w:val="0"/>
          <w:sz w:val="24"/>
          <w:szCs w:val="24"/>
          <w:lang w:val="pt-BR"/>
        </w:rPr>
        <w:t xml:space="preserve">, nilai variabel </w:t>
      </w:r>
      <w:r w:rsidRPr="00B51544">
        <w:rPr>
          <w:rFonts w:asciiTheme="majorBidi" w:hAnsiTheme="majorBidi" w:cstheme="majorBidi"/>
          <w:color w:val="000000"/>
          <w:kern w:val="0"/>
          <w:sz w:val="24"/>
          <w:szCs w:val="24"/>
          <w:lang w:val="pt-BR"/>
        </w:rPr>
        <w:lastRenderedPageBreak/>
        <w:t>risiko likuiditas (FDR) sebesar -441447.6, dan nilai variabel nisbah bagi hasil sebesar 80376.41. Persamaan regresi linier berganda tersebut dapat dijelaskan sebagai berikut :</w:t>
      </w:r>
    </w:p>
    <w:p w14:paraId="59C0A607" w14:textId="05BE4999" w:rsidR="00B406B1" w:rsidRPr="00B51544" w:rsidRDefault="00B406B1">
      <w:pPr>
        <w:pStyle w:val="ListParagraph"/>
        <w:numPr>
          <w:ilvl w:val="0"/>
          <w:numId w:val="18"/>
        </w:num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jc w:val="both"/>
        <w:rPr>
          <w:rFonts w:asciiTheme="majorBidi" w:hAnsiTheme="majorBidi" w:cstheme="majorBidi"/>
          <w:color w:val="000000"/>
          <w:kern w:val="0"/>
          <w:sz w:val="24"/>
          <w:szCs w:val="24"/>
          <w:lang w:val="pt-BR"/>
        </w:rPr>
      </w:pPr>
      <w:r w:rsidRPr="00B51544">
        <w:rPr>
          <w:rFonts w:asciiTheme="majorBidi" w:hAnsiTheme="majorBidi" w:cstheme="majorBidi"/>
          <w:color w:val="000000"/>
          <w:kern w:val="0"/>
          <w:sz w:val="24"/>
          <w:szCs w:val="24"/>
          <w:lang w:val="pt-BR"/>
        </w:rPr>
        <w:t xml:space="preserve">Nilai konstanta </w:t>
      </w:r>
      <w:r w:rsidR="0058206F" w:rsidRPr="00B51544">
        <w:rPr>
          <w:rFonts w:asciiTheme="majorBidi" w:hAnsiTheme="majorBidi" w:cstheme="majorBidi"/>
          <w:color w:val="000000"/>
          <w:kern w:val="0"/>
          <w:sz w:val="24"/>
          <w:szCs w:val="24"/>
          <w:lang w:val="pt-BR"/>
        </w:rPr>
        <w:t xml:space="preserve">sebesar </w:t>
      </w:r>
      <w:r w:rsidRPr="00B51544">
        <w:rPr>
          <w:rFonts w:asciiTheme="majorBidi" w:hAnsiTheme="majorBidi" w:cstheme="majorBidi"/>
          <w:color w:val="000000"/>
          <w:kern w:val="0"/>
          <w:sz w:val="24"/>
          <w:szCs w:val="24"/>
          <w:lang w:val="pt-BR"/>
        </w:rPr>
        <w:t>3534273</w:t>
      </w:r>
      <w:r w:rsidR="0033621F">
        <w:rPr>
          <w:rFonts w:asciiTheme="majorBidi" w:hAnsiTheme="majorBidi" w:cstheme="majorBidi"/>
          <w:color w:val="000000"/>
          <w:kern w:val="0"/>
          <w:sz w:val="24"/>
          <w:szCs w:val="24"/>
          <w:lang w:val="pt-BR"/>
        </w:rPr>
        <w:t>1</w:t>
      </w:r>
      <w:r w:rsidRPr="00B51544">
        <w:rPr>
          <w:rFonts w:asciiTheme="majorBidi" w:hAnsiTheme="majorBidi" w:cstheme="majorBidi"/>
          <w:color w:val="000000"/>
          <w:kern w:val="0"/>
          <w:sz w:val="24"/>
          <w:szCs w:val="24"/>
          <w:lang w:val="pt-BR"/>
        </w:rPr>
        <w:t xml:space="preserve"> artinya apabila</w:t>
      </w:r>
      <w:r w:rsidR="00C215F2" w:rsidRPr="00B51544">
        <w:rPr>
          <w:rFonts w:asciiTheme="majorBidi" w:hAnsiTheme="majorBidi" w:cstheme="majorBidi"/>
          <w:color w:val="000000"/>
          <w:kern w:val="0"/>
          <w:sz w:val="24"/>
          <w:szCs w:val="24"/>
          <w:lang w:val="pt-BR"/>
        </w:rPr>
        <w:t xml:space="preserve"> nilai NPF, FDR dan Nisbah Bagi Hasil sama dengan nol maka Deposito Mudharabah Bank Muamalat Indonesia periode 2017-2024 sebesar </w:t>
      </w:r>
      <w:r w:rsidR="00D2760E">
        <w:rPr>
          <w:rFonts w:asciiTheme="majorBidi" w:hAnsiTheme="majorBidi" w:cstheme="majorBidi"/>
          <w:color w:val="000000"/>
          <w:kern w:val="0"/>
          <w:sz w:val="24"/>
          <w:szCs w:val="24"/>
          <w:lang w:val="pt-BR"/>
        </w:rPr>
        <w:t xml:space="preserve">Rp </w:t>
      </w:r>
      <w:r w:rsidR="00C215F2" w:rsidRPr="00B51544">
        <w:rPr>
          <w:rFonts w:asciiTheme="majorBidi" w:hAnsiTheme="majorBidi" w:cstheme="majorBidi"/>
          <w:color w:val="000000"/>
          <w:kern w:val="0"/>
          <w:sz w:val="24"/>
          <w:szCs w:val="24"/>
          <w:lang w:val="pt-BR"/>
        </w:rPr>
        <w:t>35,34</w:t>
      </w:r>
      <w:r w:rsidR="00D2760E">
        <w:rPr>
          <w:rFonts w:asciiTheme="majorBidi" w:hAnsiTheme="majorBidi" w:cstheme="majorBidi"/>
          <w:color w:val="000000"/>
          <w:kern w:val="0"/>
          <w:sz w:val="24"/>
          <w:szCs w:val="24"/>
          <w:lang w:val="pt-BR"/>
        </w:rPr>
        <w:t xml:space="preserve"> Miliar</w:t>
      </w:r>
      <w:r w:rsidR="00C215F2" w:rsidRPr="00B51544">
        <w:rPr>
          <w:rFonts w:asciiTheme="majorBidi" w:hAnsiTheme="majorBidi" w:cstheme="majorBidi"/>
          <w:color w:val="000000"/>
          <w:kern w:val="0"/>
          <w:sz w:val="24"/>
          <w:szCs w:val="24"/>
          <w:lang w:val="pt-BR"/>
        </w:rPr>
        <w:t>.</w:t>
      </w:r>
    </w:p>
    <w:p w14:paraId="38556011" w14:textId="76AEA99D" w:rsidR="00C215F2" w:rsidRPr="00B51544" w:rsidRDefault="00C215F2">
      <w:pPr>
        <w:pStyle w:val="ListParagraph"/>
        <w:numPr>
          <w:ilvl w:val="0"/>
          <w:numId w:val="18"/>
        </w:num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jc w:val="both"/>
        <w:rPr>
          <w:rFonts w:asciiTheme="majorBidi" w:hAnsiTheme="majorBidi" w:cstheme="majorBidi"/>
          <w:color w:val="000000"/>
          <w:kern w:val="0"/>
          <w:sz w:val="24"/>
          <w:szCs w:val="24"/>
          <w:lang w:val="pt-BR"/>
        </w:rPr>
      </w:pPr>
      <w:r w:rsidRPr="00B51544">
        <w:rPr>
          <w:rFonts w:asciiTheme="majorBidi" w:hAnsiTheme="majorBidi" w:cstheme="majorBidi"/>
          <w:color w:val="000000"/>
          <w:kern w:val="0"/>
          <w:sz w:val="24"/>
          <w:szCs w:val="24"/>
          <w:lang w:val="pt-BR"/>
        </w:rPr>
        <w:t>Nilai koefisien NPF sebesar 228493.</w:t>
      </w:r>
      <w:r w:rsidR="0033621F">
        <w:rPr>
          <w:rFonts w:asciiTheme="majorBidi" w:hAnsiTheme="majorBidi" w:cstheme="majorBidi"/>
          <w:color w:val="000000"/>
          <w:kern w:val="0"/>
          <w:sz w:val="24"/>
          <w:szCs w:val="24"/>
          <w:lang w:val="pt-BR"/>
        </w:rPr>
        <w:t>2</w:t>
      </w:r>
      <w:r w:rsidR="0093131A" w:rsidRPr="00B51544">
        <w:rPr>
          <w:rFonts w:asciiTheme="majorBidi" w:hAnsiTheme="majorBidi" w:cstheme="majorBidi"/>
          <w:color w:val="000000"/>
          <w:kern w:val="0"/>
          <w:sz w:val="24"/>
          <w:szCs w:val="24"/>
          <w:lang w:val="pt-BR"/>
        </w:rPr>
        <w:t xml:space="preserve"> yang bernilai positif</w:t>
      </w:r>
      <w:r w:rsidRPr="00B51544">
        <w:rPr>
          <w:rFonts w:asciiTheme="majorBidi" w:hAnsiTheme="majorBidi" w:cstheme="majorBidi"/>
          <w:color w:val="000000"/>
          <w:kern w:val="0"/>
          <w:sz w:val="24"/>
          <w:szCs w:val="24"/>
          <w:lang w:val="pt-BR"/>
        </w:rPr>
        <w:t xml:space="preserve">, artinya </w:t>
      </w:r>
      <w:r w:rsidR="0093131A" w:rsidRPr="00B51544">
        <w:rPr>
          <w:rFonts w:asciiTheme="majorBidi" w:hAnsiTheme="majorBidi" w:cstheme="majorBidi"/>
          <w:color w:val="000000"/>
          <w:kern w:val="0"/>
          <w:sz w:val="24"/>
          <w:szCs w:val="24"/>
          <w:lang w:val="pt-BR"/>
        </w:rPr>
        <w:t xml:space="preserve">variabel NPF berpengaruh positif terhadap deposito mudharabah, sehingga apabila NPF meningkat 1% maka </w:t>
      </w:r>
      <w:r w:rsidR="006D7276" w:rsidRPr="00B51544">
        <w:rPr>
          <w:rFonts w:asciiTheme="majorBidi" w:hAnsiTheme="majorBidi" w:cstheme="majorBidi"/>
          <w:color w:val="000000"/>
          <w:kern w:val="0"/>
          <w:sz w:val="24"/>
          <w:szCs w:val="24"/>
          <w:lang w:val="pt-BR"/>
        </w:rPr>
        <w:t>deposito mudharabah</w:t>
      </w:r>
      <w:r w:rsidRPr="00B51544">
        <w:rPr>
          <w:rFonts w:asciiTheme="majorBidi" w:hAnsiTheme="majorBidi" w:cstheme="majorBidi"/>
          <w:color w:val="000000"/>
          <w:kern w:val="0"/>
          <w:sz w:val="24"/>
          <w:szCs w:val="24"/>
          <w:lang w:val="pt-BR"/>
        </w:rPr>
        <w:t xml:space="preserve"> </w:t>
      </w:r>
      <w:r w:rsidR="006D7276" w:rsidRPr="00B51544">
        <w:rPr>
          <w:rFonts w:asciiTheme="majorBidi" w:hAnsiTheme="majorBidi" w:cstheme="majorBidi"/>
          <w:color w:val="000000"/>
          <w:kern w:val="0"/>
          <w:sz w:val="24"/>
          <w:szCs w:val="24"/>
          <w:lang w:val="pt-BR"/>
        </w:rPr>
        <w:t xml:space="preserve">Bank Muamalat Indonesia periode 2017-2024 </w:t>
      </w:r>
      <w:r w:rsidRPr="00B51544">
        <w:rPr>
          <w:rFonts w:asciiTheme="majorBidi" w:hAnsiTheme="majorBidi" w:cstheme="majorBidi"/>
          <w:color w:val="000000"/>
          <w:kern w:val="0"/>
          <w:sz w:val="24"/>
          <w:szCs w:val="24"/>
          <w:lang w:val="pt-BR"/>
        </w:rPr>
        <w:t xml:space="preserve">meningkat sebesar </w:t>
      </w:r>
      <w:r w:rsidR="00D2760E">
        <w:rPr>
          <w:rFonts w:asciiTheme="majorBidi" w:hAnsiTheme="majorBidi" w:cstheme="majorBidi"/>
          <w:color w:val="000000"/>
          <w:kern w:val="0"/>
          <w:sz w:val="24"/>
          <w:szCs w:val="24"/>
          <w:lang w:val="pt-BR"/>
        </w:rPr>
        <w:t xml:space="preserve">Rp </w:t>
      </w:r>
      <w:r w:rsidRPr="00B51544">
        <w:rPr>
          <w:rFonts w:asciiTheme="majorBidi" w:hAnsiTheme="majorBidi" w:cstheme="majorBidi"/>
          <w:color w:val="000000"/>
          <w:kern w:val="0"/>
          <w:sz w:val="24"/>
          <w:szCs w:val="24"/>
          <w:lang w:val="pt-BR"/>
        </w:rPr>
        <w:t>22,84</w:t>
      </w:r>
      <w:r w:rsidR="00D2760E">
        <w:rPr>
          <w:rFonts w:asciiTheme="majorBidi" w:hAnsiTheme="majorBidi" w:cstheme="majorBidi"/>
          <w:color w:val="000000"/>
          <w:kern w:val="0"/>
          <w:sz w:val="24"/>
          <w:szCs w:val="24"/>
          <w:lang w:val="pt-BR"/>
        </w:rPr>
        <w:t xml:space="preserve"> Miliar</w:t>
      </w:r>
      <w:r w:rsidRPr="00B51544">
        <w:rPr>
          <w:rFonts w:asciiTheme="majorBidi" w:hAnsiTheme="majorBidi" w:cstheme="majorBidi"/>
          <w:color w:val="000000"/>
          <w:kern w:val="0"/>
          <w:sz w:val="24"/>
          <w:szCs w:val="24"/>
          <w:lang w:val="pt-BR"/>
        </w:rPr>
        <w:t>.</w:t>
      </w:r>
      <w:r w:rsidR="006D7276" w:rsidRPr="00B51544">
        <w:rPr>
          <w:rFonts w:asciiTheme="majorBidi" w:hAnsiTheme="majorBidi" w:cstheme="majorBidi"/>
          <w:color w:val="000000"/>
          <w:kern w:val="0"/>
          <w:sz w:val="24"/>
          <w:szCs w:val="24"/>
          <w:lang w:val="pt-BR"/>
        </w:rPr>
        <w:t xml:space="preserve"> </w:t>
      </w:r>
    </w:p>
    <w:p w14:paraId="2B045742" w14:textId="0A99BD4E" w:rsidR="00C215F2" w:rsidRPr="00B51544" w:rsidRDefault="00C215F2">
      <w:pPr>
        <w:pStyle w:val="ListParagraph"/>
        <w:numPr>
          <w:ilvl w:val="0"/>
          <w:numId w:val="18"/>
        </w:num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jc w:val="both"/>
        <w:rPr>
          <w:rFonts w:asciiTheme="majorBidi" w:hAnsiTheme="majorBidi" w:cstheme="majorBidi"/>
          <w:color w:val="000000"/>
          <w:kern w:val="0"/>
          <w:sz w:val="24"/>
          <w:szCs w:val="24"/>
          <w:lang w:val="pt-BR"/>
        </w:rPr>
      </w:pPr>
      <w:r w:rsidRPr="00B51544">
        <w:rPr>
          <w:rFonts w:asciiTheme="majorBidi" w:hAnsiTheme="majorBidi" w:cstheme="majorBidi"/>
          <w:color w:val="000000"/>
          <w:kern w:val="0"/>
          <w:sz w:val="24"/>
          <w:szCs w:val="24"/>
          <w:lang w:val="pt-BR"/>
        </w:rPr>
        <w:t>Nilai koefisien FDR sebesar -441447.6</w:t>
      </w:r>
      <w:r w:rsidR="0033621F">
        <w:rPr>
          <w:rFonts w:asciiTheme="majorBidi" w:hAnsiTheme="majorBidi" w:cstheme="majorBidi"/>
          <w:color w:val="000000"/>
          <w:kern w:val="0"/>
          <w:sz w:val="24"/>
          <w:szCs w:val="24"/>
          <w:lang w:val="pt-BR"/>
        </w:rPr>
        <w:t xml:space="preserve"> </w:t>
      </w:r>
      <w:r w:rsidR="0093131A" w:rsidRPr="00B51544">
        <w:rPr>
          <w:rFonts w:asciiTheme="majorBidi" w:hAnsiTheme="majorBidi" w:cstheme="majorBidi"/>
          <w:color w:val="000000"/>
          <w:kern w:val="0"/>
          <w:sz w:val="24"/>
          <w:szCs w:val="24"/>
          <w:lang w:val="pt-BR"/>
        </w:rPr>
        <w:t>yang bernilai negatif</w:t>
      </w:r>
      <w:r w:rsidRPr="00B51544">
        <w:rPr>
          <w:rFonts w:asciiTheme="majorBidi" w:hAnsiTheme="majorBidi" w:cstheme="majorBidi"/>
          <w:color w:val="000000"/>
          <w:kern w:val="0"/>
          <w:sz w:val="24"/>
          <w:szCs w:val="24"/>
          <w:lang w:val="pt-BR"/>
        </w:rPr>
        <w:t xml:space="preserve">, artinya </w:t>
      </w:r>
      <w:r w:rsidR="0093131A" w:rsidRPr="00B51544">
        <w:rPr>
          <w:rFonts w:asciiTheme="majorBidi" w:hAnsiTheme="majorBidi" w:cstheme="majorBidi"/>
          <w:color w:val="000000"/>
          <w:kern w:val="0"/>
          <w:sz w:val="24"/>
          <w:szCs w:val="24"/>
          <w:lang w:val="pt-BR"/>
        </w:rPr>
        <w:t xml:space="preserve">variabel FDR berpengaruh negatif terhadap deposito mudharabah, sehingga apabila FDR meningkat 1% maka deposito mudharabah Bank Muamalat Indonesia periode 2017-2024 menurun sebesar </w:t>
      </w:r>
      <w:r w:rsidR="00D2760E">
        <w:rPr>
          <w:rFonts w:asciiTheme="majorBidi" w:hAnsiTheme="majorBidi" w:cstheme="majorBidi"/>
          <w:color w:val="000000"/>
          <w:kern w:val="0"/>
          <w:sz w:val="24"/>
          <w:szCs w:val="24"/>
          <w:lang w:val="pt-BR"/>
        </w:rPr>
        <w:t xml:space="preserve">Rp </w:t>
      </w:r>
      <w:r w:rsidR="0093131A" w:rsidRPr="00B51544">
        <w:rPr>
          <w:rFonts w:asciiTheme="majorBidi" w:hAnsiTheme="majorBidi" w:cstheme="majorBidi"/>
          <w:color w:val="000000"/>
          <w:kern w:val="0"/>
          <w:sz w:val="24"/>
          <w:szCs w:val="24"/>
          <w:lang w:val="pt-BR"/>
        </w:rPr>
        <w:t>44,14</w:t>
      </w:r>
      <w:r w:rsidR="00D2760E">
        <w:rPr>
          <w:rFonts w:asciiTheme="majorBidi" w:hAnsiTheme="majorBidi" w:cstheme="majorBidi"/>
          <w:color w:val="000000"/>
          <w:kern w:val="0"/>
          <w:sz w:val="24"/>
          <w:szCs w:val="24"/>
          <w:lang w:val="pt-BR"/>
        </w:rPr>
        <w:t xml:space="preserve"> Miliar</w:t>
      </w:r>
      <w:r w:rsidR="0093131A" w:rsidRPr="00B51544">
        <w:rPr>
          <w:rFonts w:asciiTheme="majorBidi" w:hAnsiTheme="majorBidi" w:cstheme="majorBidi"/>
          <w:color w:val="000000"/>
          <w:kern w:val="0"/>
          <w:sz w:val="24"/>
          <w:szCs w:val="24"/>
          <w:lang w:val="pt-BR"/>
        </w:rPr>
        <w:t xml:space="preserve">. </w:t>
      </w:r>
    </w:p>
    <w:p w14:paraId="1E6421F9" w14:textId="17E81FA3" w:rsidR="000113F1" w:rsidRPr="00B51544" w:rsidRDefault="00C215F2">
      <w:pPr>
        <w:pStyle w:val="ListParagraph"/>
        <w:numPr>
          <w:ilvl w:val="0"/>
          <w:numId w:val="18"/>
        </w:num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jc w:val="both"/>
        <w:rPr>
          <w:rFonts w:asciiTheme="majorBidi" w:hAnsiTheme="majorBidi" w:cstheme="majorBidi"/>
          <w:sz w:val="24"/>
          <w:szCs w:val="24"/>
          <w:lang w:val="pt-BR"/>
        </w:rPr>
      </w:pPr>
      <w:r w:rsidRPr="00B51544">
        <w:rPr>
          <w:rFonts w:asciiTheme="majorBidi" w:hAnsiTheme="majorBidi" w:cstheme="majorBidi"/>
          <w:color w:val="000000"/>
          <w:kern w:val="0"/>
          <w:sz w:val="24"/>
          <w:szCs w:val="24"/>
          <w:lang w:val="pt-BR"/>
        </w:rPr>
        <w:t>Nilai koefisien Nisbah Bagi Hasil sebesar 80376.41</w:t>
      </w:r>
      <w:r w:rsidR="0033621F">
        <w:rPr>
          <w:rFonts w:asciiTheme="majorBidi" w:hAnsiTheme="majorBidi" w:cstheme="majorBidi"/>
          <w:color w:val="000000"/>
          <w:kern w:val="0"/>
          <w:sz w:val="24"/>
          <w:szCs w:val="24"/>
          <w:lang w:val="pt-BR"/>
        </w:rPr>
        <w:t xml:space="preserve"> </w:t>
      </w:r>
      <w:r w:rsidR="0093131A" w:rsidRPr="00B51544">
        <w:rPr>
          <w:rFonts w:asciiTheme="majorBidi" w:hAnsiTheme="majorBidi" w:cstheme="majorBidi"/>
          <w:color w:val="000000"/>
          <w:kern w:val="0"/>
          <w:sz w:val="24"/>
          <w:szCs w:val="24"/>
          <w:lang w:val="pt-BR"/>
        </w:rPr>
        <w:t xml:space="preserve">yang bernilai positif, artinya variabel Nisbah Bagi Hasil berpengaruh positif terhadap deposito mudharabah, sehingga apabila Nisbah Bagi Hasil meningkat 1% maka deposito mudharabah Bank Muamalat Indonesia periode 2017-2024 meningkat </w:t>
      </w:r>
      <w:r w:rsidRPr="00B51544">
        <w:rPr>
          <w:rFonts w:asciiTheme="majorBidi" w:hAnsiTheme="majorBidi" w:cstheme="majorBidi"/>
          <w:color w:val="000000"/>
          <w:kern w:val="0"/>
          <w:sz w:val="24"/>
          <w:szCs w:val="24"/>
          <w:lang w:val="pt-BR"/>
        </w:rPr>
        <w:t xml:space="preserve">sebesar </w:t>
      </w:r>
      <w:r w:rsidR="00D2760E">
        <w:rPr>
          <w:rFonts w:asciiTheme="majorBidi" w:hAnsiTheme="majorBidi" w:cstheme="majorBidi"/>
          <w:color w:val="000000"/>
          <w:kern w:val="0"/>
          <w:sz w:val="24"/>
          <w:szCs w:val="24"/>
          <w:lang w:val="pt-BR"/>
        </w:rPr>
        <w:t xml:space="preserve">Rp </w:t>
      </w:r>
      <w:r w:rsidRPr="00B51544">
        <w:rPr>
          <w:rFonts w:asciiTheme="majorBidi" w:hAnsiTheme="majorBidi" w:cstheme="majorBidi"/>
          <w:color w:val="000000"/>
          <w:kern w:val="0"/>
          <w:sz w:val="24"/>
          <w:szCs w:val="24"/>
          <w:lang w:val="pt-BR"/>
        </w:rPr>
        <w:t>80,37</w:t>
      </w:r>
      <w:r w:rsidR="00D2760E">
        <w:rPr>
          <w:rFonts w:asciiTheme="majorBidi" w:hAnsiTheme="majorBidi" w:cstheme="majorBidi"/>
          <w:color w:val="000000"/>
          <w:kern w:val="0"/>
          <w:sz w:val="24"/>
          <w:szCs w:val="24"/>
          <w:lang w:val="pt-BR"/>
        </w:rPr>
        <w:t xml:space="preserve"> Miliar</w:t>
      </w:r>
      <w:r w:rsidRPr="00B51544">
        <w:rPr>
          <w:rFonts w:asciiTheme="majorBidi" w:hAnsiTheme="majorBidi" w:cstheme="majorBidi"/>
          <w:color w:val="000000"/>
          <w:kern w:val="0"/>
          <w:sz w:val="24"/>
          <w:szCs w:val="24"/>
          <w:lang w:val="pt-BR"/>
        </w:rPr>
        <w:t>.</w:t>
      </w:r>
      <w:r w:rsidR="00131912" w:rsidRPr="00B51544">
        <w:rPr>
          <w:rFonts w:asciiTheme="majorBidi" w:hAnsiTheme="majorBidi" w:cstheme="majorBidi"/>
          <w:color w:val="000000"/>
          <w:kern w:val="0"/>
          <w:sz w:val="24"/>
          <w:szCs w:val="24"/>
          <w:lang w:val="pt-BR"/>
        </w:rPr>
        <w:t xml:space="preserve"> </w:t>
      </w:r>
    </w:p>
    <w:p w14:paraId="0899D7EC" w14:textId="77777777" w:rsidR="0030061A" w:rsidRPr="0033621F" w:rsidRDefault="0030061A" w:rsidP="0033621F">
      <w:p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jc w:val="both"/>
        <w:rPr>
          <w:rFonts w:asciiTheme="majorBidi" w:hAnsiTheme="majorBidi" w:cstheme="majorBidi"/>
          <w:sz w:val="24"/>
          <w:szCs w:val="24"/>
          <w:lang w:val="pt-BR"/>
        </w:rPr>
      </w:pPr>
    </w:p>
    <w:p w14:paraId="3280028C" w14:textId="7F8AFA0B" w:rsidR="000113F1" w:rsidRDefault="000113F1">
      <w:pPr>
        <w:pStyle w:val="ListParagraph"/>
        <w:numPr>
          <w:ilvl w:val="0"/>
          <w:numId w:val="14"/>
        </w:numPr>
        <w:spacing w:line="360" w:lineRule="auto"/>
        <w:jc w:val="both"/>
        <w:rPr>
          <w:rFonts w:asciiTheme="majorBidi" w:hAnsiTheme="majorBidi" w:cstheme="majorBidi"/>
          <w:b/>
          <w:bCs/>
          <w:sz w:val="24"/>
          <w:szCs w:val="24"/>
          <w:lang w:val="pt-BR"/>
        </w:rPr>
      </w:pPr>
      <w:r w:rsidRPr="00B51544">
        <w:rPr>
          <w:rFonts w:asciiTheme="majorBidi" w:hAnsiTheme="majorBidi" w:cstheme="majorBidi"/>
          <w:b/>
          <w:bCs/>
          <w:sz w:val="24"/>
          <w:szCs w:val="24"/>
          <w:lang w:val="pt-BR"/>
        </w:rPr>
        <w:t>Uji Hipotesis</w:t>
      </w:r>
    </w:p>
    <w:p w14:paraId="4F5234E4" w14:textId="77777777" w:rsidR="0033621F" w:rsidRPr="002D64AD" w:rsidRDefault="0033621F">
      <w:pPr>
        <w:pStyle w:val="ListParagraph"/>
        <w:numPr>
          <w:ilvl w:val="0"/>
          <w:numId w:val="25"/>
        </w:numPr>
        <w:spacing w:line="360" w:lineRule="auto"/>
        <w:jc w:val="both"/>
        <w:rPr>
          <w:rFonts w:asciiTheme="majorBidi" w:hAnsiTheme="majorBidi" w:cstheme="majorBidi"/>
          <w:sz w:val="24"/>
          <w:szCs w:val="24"/>
          <w:lang w:val="pt-BR"/>
        </w:rPr>
      </w:pPr>
      <w:r w:rsidRPr="002D64AD">
        <w:rPr>
          <w:rFonts w:asciiTheme="majorBidi" w:hAnsiTheme="majorBidi" w:cstheme="majorBidi"/>
          <w:sz w:val="24"/>
          <w:szCs w:val="24"/>
          <w:lang w:val="pt-BR"/>
        </w:rPr>
        <w:t>Uji Parsial (Uji t)</w:t>
      </w:r>
    </w:p>
    <w:p w14:paraId="1FC3EB5E" w14:textId="3BABA3DF" w:rsidR="0033621F" w:rsidRPr="00B51544" w:rsidRDefault="00A70F50" w:rsidP="0033621F">
      <w:pPr>
        <w:pStyle w:val="ListParagraph"/>
        <w:spacing w:line="360" w:lineRule="auto"/>
        <w:ind w:left="1080" w:firstLine="360"/>
        <w:jc w:val="both"/>
        <w:rPr>
          <w:rFonts w:asciiTheme="majorBidi" w:hAnsiTheme="majorBidi" w:cstheme="majorBidi"/>
          <w:sz w:val="24"/>
          <w:szCs w:val="24"/>
          <w:lang w:val="sv-SE"/>
        </w:rPr>
      </w:pPr>
      <w:r w:rsidRPr="00A70F50">
        <w:rPr>
          <w:rFonts w:asciiTheme="majorBidi" w:hAnsiTheme="majorBidi" w:cstheme="majorBidi"/>
          <w:sz w:val="24"/>
          <w:szCs w:val="24"/>
          <w:lang w:val="pt-BR"/>
        </w:rPr>
        <w:t xml:space="preserve">Uji parsial diterapkan untuk memahami dampak setiap variabel independen terhadap variabel dependen secara terpisah. </w:t>
      </w:r>
      <w:r w:rsidRPr="00A70F50">
        <w:rPr>
          <w:rFonts w:asciiTheme="majorBidi" w:hAnsiTheme="majorBidi" w:cstheme="majorBidi"/>
          <w:sz w:val="24"/>
          <w:szCs w:val="24"/>
          <w:lang w:val="sv-SE"/>
        </w:rPr>
        <w:t>Tingkat kesalahan yang diterapkan dalam penelitian ini adalah 5%, dengan proses uji t – statistik sebagai berikut</w:t>
      </w:r>
      <w:r>
        <w:rPr>
          <w:rFonts w:asciiTheme="majorBidi" w:hAnsiTheme="majorBidi" w:cstheme="majorBidi"/>
          <w:sz w:val="24"/>
          <w:szCs w:val="24"/>
          <w:lang w:val="sv-SE"/>
        </w:rPr>
        <w:t xml:space="preserve"> </w:t>
      </w:r>
      <w:r w:rsidR="0033621F" w:rsidRPr="00B51544">
        <w:rPr>
          <w:rFonts w:asciiTheme="majorBidi" w:hAnsiTheme="majorBidi" w:cstheme="majorBidi"/>
          <w:sz w:val="24"/>
          <w:szCs w:val="24"/>
          <w:lang w:val="sv-SE"/>
        </w:rPr>
        <w:t>:</w:t>
      </w:r>
    </w:p>
    <w:p w14:paraId="3A293523" w14:textId="77777777" w:rsidR="0033621F" w:rsidRPr="00B51544" w:rsidRDefault="0033621F">
      <w:pPr>
        <w:pStyle w:val="ListParagraph"/>
        <w:numPr>
          <w:ilvl w:val="0"/>
          <w:numId w:val="19"/>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Apabila nilai probability &lt; 0,05 maka dapat dijelaskan bahwa secara individu variabel independen berpengaruh secara signifikan pada variabel dependen.</w:t>
      </w:r>
    </w:p>
    <w:p w14:paraId="59E85E33" w14:textId="44AE2F68" w:rsidR="0033621F" w:rsidRDefault="0033621F">
      <w:pPr>
        <w:pStyle w:val="ListParagraph"/>
        <w:numPr>
          <w:ilvl w:val="0"/>
          <w:numId w:val="19"/>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Apabila nilai probability &gt; 0,05 maka dapat dijelaskan bahwa secara individu variabel independen berpengaruh </w:t>
      </w:r>
      <w:r w:rsidR="00D2760E">
        <w:rPr>
          <w:rFonts w:asciiTheme="majorBidi" w:hAnsiTheme="majorBidi" w:cstheme="majorBidi"/>
          <w:sz w:val="24"/>
          <w:szCs w:val="24"/>
          <w:lang w:val="sv-SE"/>
        </w:rPr>
        <w:t>tidak</w:t>
      </w:r>
      <w:r w:rsidRPr="00B51544">
        <w:rPr>
          <w:rFonts w:asciiTheme="majorBidi" w:hAnsiTheme="majorBidi" w:cstheme="majorBidi"/>
          <w:sz w:val="24"/>
          <w:szCs w:val="24"/>
          <w:lang w:val="sv-SE"/>
        </w:rPr>
        <w:t xml:space="preserve"> signifikan pada variabel dependen.</w:t>
      </w:r>
    </w:p>
    <w:p w14:paraId="27E02153" w14:textId="77777777" w:rsidR="007F7C0B" w:rsidRDefault="007F7C0B" w:rsidP="007F7C0B">
      <w:pPr>
        <w:spacing w:line="360" w:lineRule="auto"/>
        <w:jc w:val="both"/>
        <w:rPr>
          <w:rFonts w:asciiTheme="majorBidi" w:hAnsiTheme="majorBidi" w:cstheme="majorBidi"/>
          <w:sz w:val="24"/>
          <w:szCs w:val="24"/>
          <w:lang w:val="sv-SE"/>
        </w:rPr>
      </w:pPr>
    </w:p>
    <w:p w14:paraId="0D3C9ACA" w14:textId="77777777" w:rsidR="00484DA9" w:rsidRDefault="00484DA9" w:rsidP="007F7C0B">
      <w:pPr>
        <w:spacing w:line="360" w:lineRule="auto"/>
        <w:jc w:val="both"/>
        <w:rPr>
          <w:rFonts w:asciiTheme="majorBidi" w:hAnsiTheme="majorBidi" w:cstheme="majorBidi"/>
          <w:sz w:val="24"/>
          <w:szCs w:val="24"/>
          <w:lang w:val="sv-SE"/>
        </w:rPr>
      </w:pPr>
    </w:p>
    <w:p w14:paraId="186CA8EC" w14:textId="77777777" w:rsidR="00484DA9" w:rsidRDefault="00484DA9" w:rsidP="007F7C0B">
      <w:pPr>
        <w:spacing w:line="360" w:lineRule="auto"/>
        <w:jc w:val="both"/>
        <w:rPr>
          <w:rFonts w:asciiTheme="majorBidi" w:hAnsiTheme="majorBidi" w:cstheme="majorBidi"/>
          <w:sz w:val="24"/>
          <w:szCs w:val="24"/>
          <w:lang w:val="sv-SE"/>
        </w:rPr>
      </w:pPr>
    </w:p>
    <w:p w14:paraId="0FA01CEA" w14:textId="77777777" w:rsidR="007F7C0B" w:rsidRDefault="007F7C0B" w:rsidP="007F7C0B">
      <w:pPr>
        <w:spacing w:line="360" w:lineRule="auto"/>
        <w:jc w:val="both"/>
        <w:rPr>
          <w:rFonts w:asciiTheme="majorBidi" w:hAnsiTheme="majorBidi" w:cstheme="majorBidi"/>
          <w:sz w:val="24"/>
          <w:szCs w:val="24"/>
          <w:lang w:val="sv-SE"/>
        </w:rPr>
      </w:pPr>
    </w:p>
    <w:p w14:paraId="1C4B93CA" w14:textId="77777777" w:rsidR="004F6C85" w:rsidRPr="007F7C0B" w:rsidRDefault="004F6C85" w:rsidP="007F7C0B">
      <w:pPr>
        <w:spacing w:line="360" w:lineRule="auto"/>
        <w:jc w:val="both"/>
        <w:rPr>
          <w:rFonts w:asciiTheme="majorBidi" w:hAnsiTheme="majorBidi" w:cstheme="majorBidi"/>
          <w:sz w:val="24"/>
          <w:szCs w:val="24"/>
          <w:lang w:val="sv-SE"/>
        </w:rPr>
      </w:pPr>
    </w:p>
    <w:p w14:paraId="43605896" w14:textId="5B7AC4A3" w:rsidR="0033621F" w:rsidRPr="00D17A2E" w:rsidRDefault="008B2471" w:rsidP="004F6C85">
      <w:pPr>
        <w:pStyle w:val="Caption"/>
        <w:jc w:val="center"/>
        <w:rPr>
          <w:rFonts w:asciiTheme="majorBidi" w:hAnsiTheme="majorBidi" w:cstheme="majorBidi"/>
          <w:b/>
          <w:bCs/>
          <w:i w:val="0"/>
          <w:iCs w:val="0"/>
          <w:color w:val="auto"/>
          <w:sz w:val="24"/>
          <w:szCs w:val="24"/>
          <w:lang w:val="sv-SE"/>
        </w:rPr>
      </w:pPr>
      <w:bookmarkStart w:id="82" w:name="_Toc200572257"/>
      <w:r w:rsidRPr="00D17A2E">
        <w:rPr>
          <w:rFonts w:asciiTheme="majorBidi" w:hAnsiTheme="majorBidi" w:cstheme="majorBidi"/>
          <w:b/>
          <w:bCs/>
          <w:i w:val="0"/>
          <w:iCs w:val="0"/>
          <w:color w:val="auto"/>
          <w:sz w:val="24"/>
          <w:szCs w:val="24"/>
          <w:lang w:val="sv-SE"/>
        </w:rPr>
        <w:lastRenderedPageBreak/>
        <w:t xml:space="preserve">Tabel 4. </w:t>
      </w:r>
      <w:r w:rsidRPr="008B2471">
        <w:rPr>
          <w:rFonts w:asciiTheme="majorBidi" w:hAnsiTheme="majorBidi" w:cstheme="majorBidi"/>
          <w:b/>
          <w:bCs/>
          <w:i w:val="0"/>
          <w:iCs w:val="0"/>
          <w:color w:val="auto"/>
          <w:sz w:val="24"/>
          <w:szCs w:val="24"/>
        </w:rPr>
        <w:fldChar w:fldCharType="begin"/>
      </w:r>
      <w:r w:rsidRPr="00D17A2E">
        <w:rPr>
          <w:rFonts w:asciiTheme="majorBidi" w:hAnsiTheme="majorBidi" w:cstheme="majorBidi"/>
          <w:b/>
          <w:bCs/>
          <w:i w:val="0"/>
          <w:iCs w:val="0"/>
          <w:color w:val="auto"/>
          <w:sz w:val="24"/>
          <w:szCs w:val="24"/>
          <w:lang w:val="sv-SE"/>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lang w:val="sv-SE"/>
        </w:rPr>
        <w:t>8</w:t>
      </w:r>
      <w:r w:rsidRPr="008B2471">
        <w:rPr>
          <w:rFonts w:asciiTheme="majorBidi" w:hAnsiTheme="majorBidi" w:cstheme="majorBidi"/>
          <w:b/>
          <w:bCs/>
          <w:i w:val="0"/>
          <w:iCs w:val="0"/>
          <w:color w:val="auto"/>
          <w:sz w:val="24"/>
          <w:szCs w:val="24"/>
        </w:rPr>
        <w:fldChar w:fldCharType="end"/>
      </w:r>
      <w:r w:rsidRPr="00D17A2E">
        <w:rPr>
          <w:rFonts w:asciiTheme="majorBidi" w:hAnsiTheme="majorBidi" w:cstheme="majorBidi"/>
          <w:b/>
          <w:bCs/>
          <w:i w:val="0"/>
          <w:iCs w:val="0"/>
          <w:color w:val="auto"/>
          <w:sz w:val="24"/>
          <w:szCs w:val="24"/>
          <w:lang w:val="sv-SE"/>
        </w:rPr>
        <w:t xml:space="preserve"> </w:t>
      </w:r>
      <w:r w:rsidRPr="00D17A2E">
        <w:rPr>
          <w:rFonts w:asciiTheme="majorBidi" w:hAnsiTheme="majorBidi" w:cstheme="majorBidi"/>
          <w:b/>
          <w:bCs/>
          <w:i w:val="0"/>
          <w:iCs w:val="0"/>
          <w:color w:val="auto"/>
          <w:sz w:val="24"/>
          <w:szCs w:val="24"/>
          <w:lang w:val="sv-SE"/>
        </w:rPr>
        <w:br/>
        <w:t>Uji t</w:t>
      </w:r>
      <w:bookmarkEnd w:id="82"/>
    </w:p>
    <w:p w14:paraId="02D3CD0A" w14:textId="31FE2B11" w:rsidR="008B2471" w:rsidRPr="00D17A2E" w:rsidRDefault="008B2471" w:rsidP="008B2471">
      <w:pPr>
        <w:rPr>
          <w:lang w:val="sv-SE"/>
        </w:rPr>
      </w:pPr>
      <w:r w:rsidRPr="008B2471">
        <w:rPr>
          <w:rFonts w:asciiTheme="majorBidi" w:hAnsiTheme="majorBidi" w:cstheme="majorBidi"/>
          <w:b/>
          <w:bCs/>
          <w:i/>
          <w:iCs/>
          <w:noProof/>
          <w:sz w:val="24"/>
          <w:szCs w:val="24"/>
        </w:rPr>
        <w:drawing>
          <wp:anchor distT="0" distB="0" distL="114300" distR="114300" simplePos="0" relativeHeight="251763712" behindDoc="0" locked="0" layoutInCell="1" allowOverlap="1" wp14:anchorId="39122DD3" wp14:editId="6A6E1E40">
            <wp:simplePos x="0" y="0"/>
            <wp:positionH relativeFrom="column">
              <wp:posOffset>1238250</wp:posOffset>
            </wp:positionH>
            <wp:positionV relativeFrom="paragraph">
              <wp:posOffset>35560</wp:posOffset>
            </wp:positionV>
            <wp:extent cx="4000500" cy="1847850"/>
            <wp:effectExtent l="0" t="0" r="0" b="0"/>
            <wp:wrapSquare wrapText="bothSides"/>
            <wp:docPr id="19230957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00500" cy="1847850"/>
                    </a:xfrm>
                    <a:prstGeom prst="rect">
                      <a:avLst/>
                    </a:prstGeom>
                    <a:noFill/>
                    <a:ln>
                      <a:noFill/>
                    </a:ln>
                  </pic:spPr>
                </pic:pic>
              </a:graphicData>
            </a:graphic>
          </wp:anchor>
        </w:drawing>
      </w:r>
    </w:p>
    <w:p w14:paraId="623357F1" w14:textId="42F2BAEB" w:rsidR="0033621F" w:rsidRPr="007F7C0B" w:rsidRDefault="007F7C0B" w:rsidP="0033621F">
      <w:pPr>
        <w:spacing w:line="360" w:lineRule="auto"/>
        <w:jc w:val="both"/>
        <w:rPr>
          <w:rFonts w:asciiTheme="majorBidi" w:hAnsiTheme="majorBidi" w:cstheme="majorBidi"/>
          <w:b/>
          <w:bCs/>
          <w:sz w:val="24"/>
          <w:szCs w:val="24"/>
          <w:lang w:val="sv-SE"/>
        </w:rPr>
      </w:pPr>
      <w:r>
        <w:rPr>
          <w:rFonts w:asciiTheme="majorBidi" w:hAnsiTheme="majorBidi" w:cstheme="majorBidi"/>
          <w:noProof/>
          <w:kern w:val="0"/>
          <w:sz w:val="24"/>
          <w:szCs w:val="24"/>
        </w:rPr>
        <mc:AlternateContent>
          <mc:Choice Requires="wps">
            <w:drawing>
              <wp:anchor distT="0" distB="0" distL="114300" distR="114300" simplePos="0" relativeHeight="251751424" behindDoc="0" locked="0" layoutInCell="1" allowOverlap="1" wp14:anchorId="5426F0CC" wp14:editId="7103CB3E">
                <wp:simplePos x="0" y="0"/>
                <wp:positionH relativeFrom="column">
                  <wp:posOffset>1238250</wp:posOffset>
                </wp:positionH>
                <wp:positionV relativeFrom="paragraph">
                  <wp:posOffset>1547495</wp:posOffset>
                </wp:positionV>
                <wp:extent cx="3981450" cy="276225"/>
                <wp:effectExtent l="0" t="0" r="0" b="9525"/>
                <wp:wrapNone/>
                <wp:docPr id="1532880359"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F6A51B" w14:textId="77777777" w:rsidR="0033621F" w:rsidRPr="0030061A" w:rsidRDefault="0033621F" w:rsidP="0033621F">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6F0CC" id="_x0000_s1042" type="#_x0000_t202" style="position:absolute;left:0;text-align:left;margin-left:97.5pt;margin-top:121.85pt;width:313.5pt;height:21.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" filled="f" stroked="f">
                <v:textbox>
                  <w:txbxContent>
                    <w:p w14:paraId="21F6A51B" w14:textId="77777777" w:rsidR="0033621F" w:rsidRPr="0030061A" w:rsidRDefault="0033621F" w:rsidP="0033621F">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r w:rsidR="00B9251A" w:rsidRPr="007F7C0B">
        <w:rPr>
          <w:rFonts w:asciiTheme="majorBidi" w:hAnsiTheme="majorBidi" w:cstheme="majorBidi"/>
          <w:b/>
          <w:bCs/>
          <w:sz w:val="24"/>
          <w:szCs w:val="24"/>
          <w:lang w:val="sv-SE"/>
        </w:rPr>
        <w:br w:type="textWrapping" w:clear="all"/>
      </w:r>
    </w:p>
    <w:p w14:paraId="22D572C4" w14:textId="77777777" w:rsidR="007F7C0B" w:rsidRPr="007F7C0B" w:rsidRDefault="007F7C0B" w:rsidP="0033621F">
      <w:pPr>
        <w:spacing w:line="360" w:lineRule="auto"/>
        <w:jc w:val="both"/>
        <w:rPr>
          <w:rFonts w:asciiTheme="majorBidi" w:hAnsiTheme="majorBidi" w:cstheme="majorBidi"/>
          <w:b/>
          <w:bCs/>
          <w:sz w:val="24"/>
          <w:szCs w:val="24"/>
          <w:lang w:val="sv-SE"/>
        </w:rPr>
      </w:pPr>
    </w:p>
    <w:p w14:paraId="563B92F8" w14:textId="007F0E72" w:rsidR="00645DDB" w:rsidRPr="00D17A2E" w:rsidRDefault="00645DDB" w:rsidP="0033621F">
      <w:pPr>
        <w:spacing w:line="360" w:lineRule="auto"/>
        <w:ind w:left="1134" w:firstLine="284"/>
        <w:jc w:val="both"/>
        <w:rPr>
          <w:rFonts w:asciiTheme="majorBidi" w:hAnsiTheme="majorBidi" w:cstheme="majorBidi"/>
          <w:sz w:val="24"/>
          <w:szCs w:val="24"/>
          <w:lang w:val="sv-SE"/>
        </w:rPr>
      </w:pPr>
      <w:r w:rsidRPr="00645DDB">
        <w:rPr>
          <w:rFonts w:asciiTheme="majorBidi" w:hAnsiTheme="majorBidi" w:cstheme="majorBidi"/>
          <w:sz w:val="24"/>
          <w:szCs w:val="24"/>
          <w:lang w:val="sv-SE"/>
        </w:rPr>
        <w:t>Jumlah pengamatan dalam penelitian ini adalah 32 (n=32) dengan total variabel sebanyak 4 (k=4), sehingga nilai derajat kebebasan (df) dapat dihitung dengan rumus n-k = 32 – 4 = 28. Nilai alpha ditetapkan sebesar 5%, yang menghasilkan nilai ttabel sebesar 1,70113. Berdasarkan hasil uji parsial (uji t) yang ditunjukkan pada tabel 4. 6, keputusan hipotesis dapat disimpulkan sebagai berikut</w:t>
      </w:r>
      <w:r>
        <w:rPr>
          <w:rFonts w:asciiTheme="majorBidi" w:hAnsiTheme="majorBidi" w:cstheme="majorBidi"/>
          <w:sz w:val="24"/>
          <w:szCs w:val="24"/>
          <w:lang w:val="sv-SE"/>
        </w:rPr>
        <w:t xml:space="preserve"> </w:t>
      </w:r>
      <w:r w:rsidRPr="00645DDB">
        <w:rPr>
          <w:rFonts w:asciiTheme="majorBidi" w:hAnsiTheme="majorBidi" w:cstheme="majorBidi"/>
          <w:sz w:val="24"/>
          <w:szCs w:val="24"/>
          <w:lang w:val="sv-SE"/>
        </w:rPr>
        <w:t>:</w:t>
      </w:r>
    </w:p>
    <w:p w14:paraId="40F8E005" w14:textId="77777777" w:rsidR="0033621F" w:rsidRPr="002D64AD" w:rsidRDefault="0033621F">
      <w:pPr>
        <w:pStyle w:val="ListParagraph"/>
        <w:numPr>
          <w:ilvl w:val="1"/>
          <w:numId w:val="25"/>
        </w:numPr>
        <w:spacing w:line="360" w:lineRule="auto"/>
        <w:ind w:left="1418"/>
        <w:jc w:val="both"/>
        <w:rPr>
          <w:rFonts w:asciiTheme="majorBidi" w:hAnsiTheme="majorBidi" w:cstheme="majorBidi"/>
          <w:sz w:val="24"/>
          <w:szCs w:val="24"/>
          <w:lang w:val="pt-BR"/>
        </w:rPr>
      </w:pPr>
      <w:r w:rsidRPr="002D64AD">
        <w:rPr>
          <w:rFonts w:asciiTheme="majorBidi" w:hAnsiTheme="majorBidi" w:cstheme="majorBidi"/>
          <w:sz w:val="24"/>
          <w:szCs w:val="24"/>
          <w:lang w:val="sv-SE"/>
        </w:rPr>
        <w:t>Variabel NPF</w:t>
      </w:r>
    </w:p>
    <w:p w14:paraId="26B6EC65" w14:textId="3D4C22E4" w:rsidR="0033621F" w:rsidRDefault="0033621F" w:rsidP="0033621F">
      <w:pPr>
        <w:pStyle w:val="ListParagraph"/>
        <w:spacing w:line="360" w:lineRule="auto"/>
        <w:ind w:left="1418" w:firstLine="283"/>
        <w:jc w:val="both"/>
        <w:rPr>
          <w:rFonts w:asciiTheme="majorBidi" w:hAnsiTheme="majorBidi" w:cstheme="majorBidi"/>
          <w:sz w:val="24"/>
          <w:szCs w:val="24"/>
          <w:lang w:val="pt-BR"/>
        </w:rPr>
      </w:pPr>
      <w:r w:rsidRPr="002D64AD">
        <w:rPr>
          <w:rFonts w:asciiTheme="majorBidi" w:hAnsiTheme="majorBidi" w:cstheme="majorBidi"/>
          <w:sz w:val="24"/>
          <w:szCs w:val="24"/>
          <w:lang w:val="pt-BR"/>
        </w:rPr>
        <w:t>Nilai probability pada variabel NPF sebesar 0,8145 &gt; 0,05 sedangkan nilai t</w:t>
      </w:r>
      <w:r w:rsidRPr="002D64AD">
        <w:rPr>
          <w:rFonts w:asciiTheme="majorBidi" w:hAnsiTheme="majorBidi" w:cstheme="majorBidi"/>
          <w:sz w:val="24"/>
          <w:szCs w:val="24"/>
          <w:vertAlign w:val="subscript"/>
          <w:lang w:val="pt-BR"/>
        </w:rPr>
        <w:t>hitung</w:t>
      </w:r>
      <w:r w:rsidRPr="002D64AD">
        <w:rPr>
          <w:rFonts w:asciiTheme="majorBidi" w:hAnsiTheme="majorBidi" w:cstheme="majorBidi"/>
          <w:sz w:val="24"/>
          <w:szCs w:val="24"/>
          <w:lang w:val="pt-BR"/>
        </w:rPr>
        <w:t xml:space="preserve"> sebesar 0,236910 sehingga t</w:t>
      </w:r>
      <w:r w:rsidRPr="002D64AD">
        <w:rPr>
          <w:rFonts w:asciiTheme="majorBidi" w:hAnsiTheme="majorBidi" w:cstheme="majorBidi"/>
          <w:sz w:val="24"/>
          <w:szCs w:val="24"/>
          <w:vertAlign w:val="subscript"/>
          <w:lang w:val="pt-BR"/>
        </w:rPr>
        <w:t>hitung</w:t>
      </w:r>
      <w:r w:rsidRPr="002D64AD">
        <w:rPr>
          <w:rFonts w:asciiTheme="majorBidi" w:hAnsiTheme="majorBidi" w:cstheme="majorBidi"/>
          <w:sz w:val="24"/>
          <w:szCs w:val="24"/>
          <w:lang w:val="pt-BR"/>
        </w:rPr>
        <w:t xml:space="preserve"> &lt; t</w:t>
      </w:r>
      <w:r w:rsidRPr="002D64AD">
        <w:rPr>
          <w:rFonts w:asciiTheme="majorBidi" w:hAnsiTheme="majorBidi" w:cstheme="majorBidi"/>
          <w:sz w:val="24"/>
          <w:szCs w:val="24"/>
          <w:vertAlign w:val="subscript"/>
          <w:lang w:val="pt-BR"/>
        </w:rPr>
        <w:t>tabel</w:t>
      </w:r>
      <w:r w:rsidRPr="002D64AD">
        <w:rPr>
          <w:rFonts w:asciiTheme="majorBidi" w:hAnsiTheme="majorBidi" w:cstheme="majorBidi"/>
          <w:sz w:val="24"/>
          <w:szCs w:val="24"/>
          <w:lang w:val="pt-BR"/>
        </w:rPr>
        <w:t xml:space="preserve"> (0,236910 &lt; 1,70113) sehingga dapat disimpulkan bahwa variabel NPF (risiko pembiayaan) berpengaruh </w:t>
      </w:r>
      <w:r w:rsidR="00D2760E">
        <w:rPr>
          <w:rFonts w:asciiTheme="majorBidi" w:hAnsiTheme="majorBidi" w:cstheme="majorBidi"/>
          <w:sz w:val="24"/>
          <w:szCs w:val="24"/>
          <w:lang w:val="pt-BR"/>
        </w:rPr>
        <w:t xml:space="preserve">positif tetapi tidak </w:t>
      </w:r>
      <w:r w:rsidRPr="002D64AD">
        <w:rPr>
          <w:rFonts w:asciiTheme="majorBidi" w:hAnsiTheme="majorBidi" w:cstheme="majorBidi"/>
          <w:sz w:val="24"/>
          <w:szCs w:val="24"/>
          <w:lang w:val="pt-BR"/>
        </w:rPr>
        <w:t>signifikan terhadap variabel deposito mudharabah.</w:t>
      </w:r>
    </w:p>
    <w:p w14:paraId="5297AA98" w14:textId="77777777" w:rsidR="0033621F" w:rsidRPr="002D64AD" w:rsidRDefault="0033621F">
      <w:pPr>
        <w:pStyle w:val="ListParagraph"/>
        <w:numPr>
          <w:ilvl w:val="1"/>
          <w:numId w:val="25"/>
        </w:numPr>
        <w:spacing w:line="360" w:lineRule="auto"/>
        <w:ind w:left="1418"/>
        <w:jc w:val="both"/>
        <w:rPr>
          <w:rFonts w:asciiTheme="majorBidi" w:hAnsiTheme="majorBidi" w:cstheme="majorBidi"/>
          <w:sz w:val="24"/>
          <w:szCs w:val="24"/>
          <w:lang w:val="pt-BR"/>
        </w:rPr>
      </w:pPr>
      <w:r w:rsidRPr="002D64AD">
        <w:rPr>
          <w:rFonts w:asciiTheme="majorBidi" w:hAnsiTheme="majorBidi" w:cstheme="majorBidi"/>
          <w:sz w:val="24"/>
          <w:szCs w:val="24"/>
          <w:lang w:val="sv-SE"/>
        </w:rPr>
        <w:t>Variabel FDR</w:t>
      </w:r>
    </w:p>
    <w:p w14:paraId="622FF30A" w14:textId="60D24FEC" w:rsidR="00B17575" w:rsidRPr="00AA1961" w:rsidRDefault="0033621F" w:rsidP="00AA1961">
      <w:pPr>
        <w:pStyle w:val="ListParagraph"/>
        <w:spacing w:line="360" w:lineRule="auto"/>
        <w:ind w:left="1418" w:firstLine="283"/>
        <w:jc w:val="both"/>
        <w:rPr>
          <w:rFonts w:asciiTheme="majorBidi" w:hAnsiTheme="majorBidi" w:cstheme="majorBidi"/>
          <w:sz w:val="24"/>
          <w:szCs w:val="24"/>
          <w:lang w:val="pt-BR"/>
        </w:rPr>
      </w:pPr>
      <w:r w:rsidRPr="002D64AD">
        <w:rPr>
          <w:rFonts w:asciiTheme="majorBidi" w:hAnsiTheme="majorBidi" w:cstheme="majorBidi"/>
          <w:sz w:val="24"/>
          <w:szCs w:val="24"/>
          <w:lang w:val="pt-BR"/>
        </w:rPr>
        <w:t>Nilai probability pada variabel FDR sebesar 0,0004 &lt; 0,05 sedangkan nilai t</w:t>
      </w:r>
      <w:r w:rsidRPr="002D64AD">
        <w:rPr>
          <w:rFonts w:asciiTheme="majorBidi" w:hAnsiTheme="majorBidi" w:cstheme="majorBidi"/>
          <w:sz w:val="24"/>
          <w:szCs w:val="24"/>
          <w:vertAlign w:val="subscript"/>
          <w:lang w:val="pt-BR"/>
        </w:rPr>
        <w:t>hitung</w:t>
      </w:r>
      <w:r w:rsidRPr="002D64AD">
        <w:rPr>
          <w:rFonts w:asciiTheme="majorBidi" w:hAnsiTheme="majorBidi" w:cstheme="majorBidi"/>
          <w:sz w:val="24"/>
          <w:szCs w:val="24"/>
          <w:lang w:val="pt-BR"/>
        </w:rPr>
        <w:t xml:space="preserve"> sebesar -4,043836 sehingga nilai t</w:t>
      </w:r>
      <w:r w:rsidRPr="002D64AD">
        <w:rPr>
          <w:rFonts w:asciiTheme="majorBidi" w:hAnsiTheme="majorBidi" w:cstheme="majorBidi"/>
          <w:sz w:val="24"/>
          <w:szCs w:val="24"/>
          <w:vertAlign w:val="subscript"/>
          <w:lang w:val="pt-BR"/>
        </w:rPr>
        <w:t>hitung</w:t>
      </w:r>
      <w:r w:rsidRPr="002D64AD">
        <w:rPr>
          <w:rFonts w:asciiTheme="majorBidi" w:hAnsiTheme="majorBidi" w:cstheme="majorBidi"/>
          <w:sz w:val="24"/>
          <w:szCs w:val="24"/>
          <w:lang w:val="pt-BR"/>
        </w:rPr>
        <w:t xml:space="preserve"> &lt; t</w:t>
      </w:r>
      <w:r w:rsidRPr="002D64AD">
        <w:rPr>
          <w:rFonts w:asciiTheme="majorBidi" w:hAnsiTheme="majorBidi" w:cstheme="majorBidi"/>
          <w:sz w:val="24"/>
          <w:szCs w:val="24"/>
          <w:vertAlign w:val="subscript"/>
          <w:lang w:val="pt-BR"/>
        </w:rPr>
        <w:t>tabel</w:t>
      </w:r>
      <w:r w:rsidRPr="002D64AD">
        <w:rPr>
          <w:rFonts w:asciiTheme="majorBidi" w:hAnsiTheme="majorBidi" w:cstheme="majorBidi"/>
          <w:sz w:val="24"/>
          <w:szCs w:val="24"/>
          <w:lang w:val="pt-BR"/>
        </w:rPr>
        <w:t xml:space="preserve"> (-4,043836 &lt; 1,70113) sehingga dapat disimpulkan bahwa variabel FDR (risiko likuiditas) berpengaruh negatif secara signifikan terhadap variabel deposito mudharabah.</w:t>
      </w:r>
    </w:p>
    <w:p w14:paraId="687FE7FD" w14:textId="77777777" w:rsidR="0033621F" w:rsidRPr="002D64AD" w:rsidRDefault="0033621F">
      <w:pPr>
        <w:pStyle w:val="ListParagraph"/>
        <w:numPr>
          <w:ilvl w:val="1"/>
          <w:numId w:val="25"/>
        </w:numPr>
        <w:spacing w:line="360" w:lineRule="auto"/>
        <w:ind w:left="1418"/>
        <w:jc w:val="both"/>
        <w:rPr>
          <w:rFonts w:asciiTheme="majorBidi" w:hAnsiTheme="majorBidi" w:cstheme="majorBidi"/>
          <w:sz w:val="24"/>
          <w:szCs w:val="24"/>
          <w:lang w:val="pt-BR"/>
        </w:rPr>
      </w:pPr>
      <w:r w:rsidRPr="002D64AD">
        <w:rPr>
          <w:rFonts w:asciiTheme="majorBidi" w:hAnsiTheme="majorBidi" w:cstheme="majorBidi"/>
          <w:sz w:val="24"/>
          <w:szCs w:val="24"/>
          <w:lang w:val="sv-SE"/>
        </w:rPr>
        <w:t>Variabel Nisbah Bagi Hasil</w:t>
      </w:r>
    </w:p>
    <w:p w14:paraId="0DF3D08C" w14:textId="39C9D0C9" w:rsidR="0033621F" w:rsidRDefault="0033621F" w:rsidP="0033621F">
      <w:pPr>
        <w:pStyle w:val="ListParagraph"/>
        <w:spacing w:line="360" w:lineRule="auto"/>
        <w:ind w:left="1418" w:firstLine="283"/>
        <w:jc w:val="both"/>
        <w:rPr>
          <w:rFonts w:asciiTheme="majorBidi" w:hAnsiTheme="majorBidi" w:cstheme="majorBidi"/>
          <w:sz w:val="24"/>
          <w:szCs w:val="24"/>
          <w:lang w:val="pt-BR"/>
        </w:rPr>
      </w:pPr>
      <w:r w:rsidRPr="002D64AD">
        <w:rPr>
          <w:rFonts w:asciiTheme="majorBidi" w:hAnsiTheme="majorBidi" w:cstheme="majorBidi"/>
          <w:sz w:val="24"/>
          <w:szCs w:val="24"/>
          <w:lang w:val="pt-BR"/>
        </w:rPr>
        <w:t>Nilai probability variabel Nisbah Bagi Hasil sebesar 0,7223 &gt; 0,05 sedangkan nilai t</w:t>
      </w:r>
      <w:r w:rsidRPr="002D64AD">
        <w:rPr>
          <w:rFonts w:asciiTheme="majorBidi" w:hAnsiTheme="majorBidi" w:cstheme="majorBidi"/>
          <w:sz w:val="24"/>
          <w:szCs w:val="24"/>
          <w:vertAlign w:val="subscript"/>
          <w:lang w:val="pt-BR"/>
        </w:rPr>
        <w:t>hitung</w:t>
      </w:r>
      <w:r w:rsidRPr="002D64AD">
        <w:rPr>
          <w:rFonts w:asciiTheme="majorBidi" w:hAnsiTheme="majorBidi" w:cstheme="majorBidi"/>
          <w:sz w:val="24"/>
          <w:szCs w:val="24"/>
          <w:lang w:val="pt-BR"/>
        </w:rPr>
        <w:t xml:space="preserve"> sebesar 0,358952 sehingga nilai t</w:t>
      </w:r>
      <w:r w:rsidRPr="002D64AD">
        <w:rPr>
          <w:rFonts w:asciiTheme="majorBidi" w:hAnsiTheme="majorBidi" w:cstheme="majorBidi"/>
          <w:sz w:val="24"/>
          <w:szCs w:val="24"/>
          <w:vertAlign w:val="subscript"/>
          <w:lang w:val="pt-BR"/>
        </w:rPr>
        <w:t>hitung</w:t>
      </w:r>
      <w:r w:rsidRPr="002D64AD">
        <w:rPr>
          <w:rFonts w:asciiTheme="majorBidi" w:hAnsiTheme="majorBidi" w:cstheme="majorBidi"/>
          <w:sz w:val="24"/>
          <w:szCs w:val="24"/>
          <w:lang w:val="pt-BR"/>
        </w:rPr>
        <w:t xml:space="preserve"> &lt; t</w:t>
      </w:r>
      <w:r w:rsidRPr="002D64AD">
        <w:rPr>
          <w:rFonts w:asciiTheme="majorBidi" w:hAnsiTheme="majorBidi" w:cstheme="majorBidi"/>
          <w:sz w:val="24"/>
          <w:szCs w:val="24"/>
          <w:vertAlign w:val="subscript"/>
          <w:lang w:val="pt-BR"/>
        </w:rPr>
        <w:t>tabel</w:t>
      </w:r>
      <w:r w:rsidRPr="002D64AD">
        <w:rPr>
          <w:rFonts w:asciiTheme="majorBidi" w:hAnsiTheme="majorBidi" w:cstheme="majorBidi"/>
          <w:sz w:val="24"/>
          <w:szCs w:val="24"/>
          <w:lang w:val="pt-BR"/>
        </w:rPr>
        <w:t xml:space="preserve"> (0,358952 &lt; 1,70113) sehingga dapat disimpulkan bahwa variabel nisbah bagi hasil berpengaruh </w:t>
      </w:r>
      <w:r w:rsidR="00D2760E">
        <w:rPr>
          <w:rFonts w:asciiTheme="majorBidi" w:hAnsiTheme="majorBidi" w:cstheme="majorBidi"/>
          <w:sz w:val="24"/>
          <w:szCs w:val="24"/>
          <w:lang w:val="pt-BR"/>
        </w:rPr>
        <w:t>positif tetapi tidak</w:t>
      </w:r>
      <w:r w:rsidRPr="002D64AD">
        <w:rPr>
          <w:rFonts w:asciiTheme="majorBidi" w:hAnsiTheme="majorBidi" w:cstheme="majorBidi"/>
          <w:sz w:val="24"/>
          <w:szCs w:val="24"/>
          <w:lang w:val="pt-BR"/>
        </w:rPr>
        <w:t xml:space="preserve"> signifikan terhadap deposito mudharabah.</w:t>
      </w:r>
    </w:p>
    <w:p w14:paraId="615A5782" w14:textId="77777777" w:rsidR="00AA1961" w:rsidRDefault="00AA1961" w:rsidP="0033621F">
      <w:pPr>
        <w:pStyle w:val="ListParagraph"/>
        <w:spacing w:line="360" w:lineRule="auto"/>
        <w:ind w:left="1418" w:firstLine="283"/>
        <w:jc w:val="both"/>
        <w:rPr>
          <w:rFonts w:asciiTheme="majorBidi" w:hAnsiTheme="majorBidi" w:cstheme="majorBidi"/>
          <w:sz w:val="24"/>
          <w:szCs w:val="24"/>
          <w:lang w:val="pt-BR"/>
        </w:rPr>
      </w:pPr>
    </w:p>
    <w:p w14:paraId="5EF8354B" w14:textId="77777777" w:rsidR="00484DA9" w:rsidRDefault="00484DA9" w:rsidP="0033621F">
      <w:pPr>
        <w:pStyle w:val="ListParagraph"/>
        <w:spacing w:line="360" w:lineRule="auto"/>
        <w:ind w:left="1418" w:firstLine="283"/>
        <w:jc w:val="both"/>
        <w:rPr>
          <w:rFonts w:asciiTheme="majorBidi" w:hAnsiTheme="majorBidi" w:cstheme="majorBidi"/>
          <w:sz w:val="24"/>
          <w:szCs w:val="24"/>
          <w:lang w:val="pt-BR"/>
        </w:rPr>
      </w:pPr>
    </w:p>
    <w:p w14:paraId="60DE39EE" w14:textId="77777777" w:rsidR="00484DA9" w:rsidRPr="002D64AD" w:rsidRDefault="00484DA9" w:rsidP="0033621F">
      <w:pPr>
        <w:pStyle w:val="ListParagraph"/>
        <w:spacing w:line="360" w:lineRule="auto"/>
        <w:ind w:left="1418" w:firstLine="283"/>
        <w:jc w:val="both"/>
        <w:rPr>
          <w:rFonts w:asciiTheme="majorBidi" w:hAnsiTheme="majorBidi" w:cstheme="majorBidi"/>
          <w:sz w:val="24"/>
          <w:szCs w:val="24"/>
          <w:lang w:val="pt-BR"/>
        </w:rPr>
      </w:pPr>
    </w:p>
    <w:p w14:paraId="2A393636" w14:textId="77777777" w:rsidR="0033621F" w:rsidRPr="00B51544" w:rsidRDefault="0033621F">
      <w:pPr>
        <w:pStyle w:val="ListParagraph"/>
        <w:numPr>
          <w:ilvl w:val="0"/>
          <w:numId w:val="25"/>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Uji Simultan (Uji f)</w:t>
      </w:r>
    </w:p>
    <w:p w14:paraId="1E6532E6" w14:textId="4DF596E6" w:rsidR="00645DDB" w:rsidRPr="00B51544" w:rsidRDefault="00645DDB" w:rsidP="0033621F">
      <w:pPr>
        <w:pStyle w:val="ListParagraph"/>
        <w:spacing w:line="360" w:lineRule="auto"/>
        <w:ind w:left="1080" w:firstLine="360"/>
        <w:jc w:val="both"/>
        <w:rPr>
          <w:rFonts w:asciiTheme="majorBidi" w:hAnsiTheme="majorBidi" w:cstheme="majorBidi"/>
          <w:sz w:val="24"/>
          <w:szCs w:val="24"/>
          <w:lang w:val="sv-SE"/>
        </w:rPr>
      </w:pPr>
      <w:r w:rsidRPr="00645DDB">
        <w:rPr>
          <w:rFonts w:asciiTheme="majorBidi" w:hAnsiTheme="majorBidi" w:cstheme="majorBidi"/>
          <w:sz w:val="24"/>
          <w:szCs w:val="24"/>
          <w:lang w:val="sv-SE"/>
        </w:rPr>
        <w:t>Uji simultan memiliki tujuan untuk mengenali pengaruh total dari variabel independen terhadap variabel dependen. Dengan kata lain, dalam kajian ini, uji simultan dilakukan untuk menilai efek dari variabel risiko pembiayaan (NPF), risiko likuiditas (FDR), serta nisbah bagi hasil terhadap deposito mudharabah. Dengan tingkat signifikansi yang ditetapkan sebesar 5%, hasil dari pengujian hipotesis simultan (f-statistik) bisa diperoleh melalui kriteria berikut ini</w:t>
      </w:r>
      <w:r>
        <w:rPr>
          <w:rFonts w:asciiTheme="majorBidi" w:hAnsiTheme="majorBidi" w:cstheme="majorBidi"/>
          <w:sz w:val="24"/>
          <w:szCs w:val="24"/>
          <w:lang w:val="sv-SE"/>
        </w:rPr>
        <w:t xml:space="preserve"> </w:t>
      </w:r>
      <w:r w:rsidRPr="00645DDB">
        <w:rPr>
          <w:rFonts w:asciiTheme="majorBidi" w:hAnsiTheme="majorBidi" w:cstheme="majorBidi"/>
          <w:sz w:val="24"/>
          <w:szCs w:val="24"/>
          <w:lang w:val="sv-SE"/>
        </w:rPr>
        <w:t>:</w:t>
      </w:r>
    </w:p>
    <w:p w14:paraId="3B045048" w14:textId="77777777" w:rsidR="0033621F" w:rsidRPr="00645DDB" w:rsidRDefault="0033621F">
      <w:pPr>
        <w:pStyle w:val="ListParagraph"/>
        <w:numPr>
          <w:ilvl w:val="0"/>
          <w:numId w:val="20"/>
        </w:numPr>
        <w:spacing w:line="360" w:lineRule="auto"/>
        <w:jc w:val="both"/>
        <w:rPr>
          <w:rFonts w:asciiTheme="majorBidi" w:hAnsiTheme="majorBidi" w:cstheme="majorBidi"/>
          <w:sz w:val="24"/>
          <w:szCs w:val="24"/>
          <w:lang w:val="sv-SE"/>
        </w:rPr>
      </w:pPr>
      <w:r w:rsidRPr="00645DDB">
        <w:rPr>
          <w:rFonts w:asciiTheme="majorBidi" w:hAnsiTheme="majorBidi" w:cstheme="majorBidi"/>
          <w:sz w:val="24"/>
          <w:szCs w:val="24"/>
          <w:lang w:val="sv-SE"/>
        </w:rPr>
        <w:t>Apabila nilai probability f- statistic &lt; 0,05 maka variable independent secara simultan berpengaruh terhadap variabel dependen.</w:t>
      </w:r>
    </w:p>
    <w:p w14:paraId="7254DA64" w14:textId="062BB546" w:rsidR="007F7C0B" w:rsidRDefault="0033621F">
      <w:pPr>
        <w:pStyle w:val="ListParagraph"/>
        <w:numPr>
          <w:ilvl w:val="0"/>
          <w:numId w:val="20"/>
        </w:numPr>
        <w:spacing w:line="360" w:lineRule="auto"/>
        <w:jc w:val="both"/>
        <w:rPr>
          <w:rFonts w:asciiTheme="majorBidi" w:hAnsiTheme="majorBidi" w:cstheme="majorBidi"/>
          <w:sz w:val="24"/>
          <w:szCs w:val="24"/>
        </w:rPr>
      </w:pPr>
      <w:r w:rsidRPr="00B51544">
        <w:rPr>
          <w:rFonts w:asciiTheme="majorBidi" w:hAnsiTheme="majorBidi" w:cstheme="majorBidi"/>
          <w:sz w:val="24"/>
          <w:szCs w:val="24"/>
        </w:rPr>
        <w:t>Apabila nilai probability f- statistic &gt; 0,05 maka variable independent secara simultan tidak berpengaruh terhadap variable dependen.</w:t>
      </w:r>
    </w:p>
    <w:p w14:paraId="3AB308CF" w14:textId="77777777" w:rsidR="008B2471" w:rsidRPr="007F7C0B" w:rsidRDefault="008B2471" w:rsidP="008B2471">
      <w:pPr>
        <w:pStyle w:val="ListParagraph"/>
        <w:spacing w:line="360" w:lineRule="auto"/>
        <w:ind w:left="1440"/>
        <w:jc w:val="both"/>
        <w:rPr>
          <w:rFonts w:asciiTheme="majorBidi" w:hAnsiTheme="majorBidi" w:cstheme="majorBidi"/>
          <w:sz w:val="24"/>
          <w:szCs w:val="24"/>
        </w:rPr>
      </w:pPr>
    </w:p>
    <w:p w14:paraId="1DC62447" w14:textId="26381FE4" w:rsidR="008B2471" w:rsidRPr="008B2471" w:rsidRDefault="008B2471" w:rsidP="004F6C85">
      <w:pPr>
        <w:pStyle w:val="Caption"/>
        <w:jc w:val="center"/>
        <w:rPr>
          <w:rFonts w:asciiTheme="majorBidi" w:hAnsiTheme="majorBidi" w:cstheme="majorBidi"/>
          <w:b/>
          <w:bCs/>
          <w:i w:val="0"/>
          <w:iCs w:val="0"/>
          <w:color w:val="auto"/>
          <w:sz w:val="24"/>
          <w:szCs w:val="24"/>
        </w:rPr>
      </w:pPr>
      <w:bookmarkStart w:id="83" w:name="_Toc200572258"/>
      <w:r w:rsidRPr="008B2471">
        <w:rPr>
          <w:rFonts w:asciiTheme="majorBidi" w:hAnsiTheme="majorBidi" w:cstheme="majorBidi"/>
          <w:b/>
          <w:bCs/>
          <w:i w:val="0"/>
          <w:iCs w:val="0"/>
          <w:color w:val="auto"/>
          <w:sz w:val="24"/>
          <w:szCs w:val="24"/>
        </w:rPr>
        <w:t xml:space="preserve">Tabel 4. </w:t>
      </w:r>
      <w:r w:rsidRPr="008B2471">
        <w:rPr>
          <w:rFonts w:asciiTheme="majorBidi" w:hAnsiTheme="majorBidi" w:cstheme="majorBidi"/>
          <w:b/>
          <w:bCs/>
          <w:i w:val="0"/>
          <w:iCs w:val="0"/>
          <w:color w:val="auto"/>
          <w:sz w:val="24"/>
          <w:szCs w:val="24"/>
        </w:rPr>
        <w:fldChar w:fldCharType="begin"/>
      </w:r>
      <w:r w:rsidRPr="008B2471">
        <w:rPr>
          <w:rFonts w:asciiTheme="majorBidi" w:hAnsiTheme="majorBidi" w:cstheme="majorBidi"/>
          <w:b/>
          <w:bCs/>
          <w:i w:val="0"/>
          <w:iCs w:val="0"/>
          <w:color w:val="auto"/>
          <w:sz w:val="24"/>
          <w:szCs w:val="24"/>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rPr>
        <w:t>9</w:t>
      </w:r>
      <w:r w:rsidRPr="008B2471">
        <w:rPr>
          <w:rFonts w:asciiTheme="majorBidi" w:hAnsiTheme="majorBidi" w:cstheme="majorBidi"/>
          <w:b/>
          <w:bCs/>
          <w:i w:val="0"/>
          <w:iCs w:val="0"/>
          <w:color w:val="auto"/>
          <w:sz w:val="24"/>
          <w:szCs w:val="24"/>
        </w:rPr>
        <w:fldChar w:fldCharType="end"/>
      </w:r>
      <w:r w:rsidRPr="008B2471">
        <w:rPr>
          <w:rFonts w:asciiTheme="majorBidi" w:hAnsiTheme="majorBidi" w:cstheme="majorBidi"/>
          <w:b/>
          <w:bCs/>
          <w:i w:val="0"/>
          <w:iCs w:val="0"/>
          <w:color w:val="auto"/>
          <w:sz w:val="24"/>
          <w:szCs w:val="24"/>
          <w:lang w:val="en-US"/>
        </w:rPr>
        <w:t xml:space="preserve"> </w:t>
      </w:r>
      <w:r>
        <w:rPr>
          <w:rFonts w:asciiTheme="majorBidi" w:hAnsiTheme="majorBidi" w:cstheme="majorBidi"/>
          <w:b/>
          <w:bCs/>
          <w:i w:val="0"/>
          <w:iCs w:val="0"/>
          <w:color w:val="auto"/>
          <w:sz w:val="24"/>
          <w:szCs w:val="24"/>
          <w:lang w:val="en-US"/>
        </w:rPr>
        <w:br/>
      </w:r>
      <w:r w:rsidRPr="008B2471">
        <w:rPr>
          <w:rFonts w:asciiTheme="majorBidi" w:hAnsiTheme="majorBidi" w:cstheme="majorBidi"/>
          <w:b/>
          <w:bCs/>
          <w:i w:val="0"/>
          <w:iCs w:val="0"/>
          <w:color w:val="auto"/>
          <w:sz w:val="24"/>
          <w:szCs w:val="24"/>
          <w:lang w:val="en-US"/>
        </w:rPr>
        <w:t>Uji Simultan (Uji f)</w:t>
      </w:r>
      <w:bookmarkEnd w:id="83"/>
    </w:p>
    <w:p w14:paraId="0CED349A" w14:textId="38833CF4" w:rsidR="007F7C0B" w:rsidRPr="007F7C0B" w:rsidRDefault="007F7C0B" w:rsidP="007F7C0B">
      <w:r w:rsidRPr="007F7C0B">
        <w:rPr>
          <w:rFonts w:asciiTheme="majorBidi" w:hAnsiTheme="majorBidi" w:cstheme="majorBidi"/>
          <w:b/>
          <w:bCs/>
          <w:i/>
          <w:iCs/>
          <w:noProof/>
          <w:sz w:val="24"/>
          <w:szCs w:val="24"/>
        </w:rPr>
        <w:drawing>
          <wp:anchor distT="0" distB="0" distL="114300" distR="114300" simplePos="0" relativeHeight="251764736" behindDoc="0" locked="0" layoutInCell="1" allowOverlap="1" wp14:anchorId="3EDC1435" wp14:editId="03196455">
            <wp:simplePos x="0" y="0"/>
            <wp:positionH relativeFrom="column">
              <wp:posOffset>1037590</wp:posOffset>
            </wp:positionH>
            <wp:positionV relativeFrom="paragraph">
              <wp:posOffset>139065</wp:posOffset>
            </wp:positionV>
            <wp:extent cx="4048125" cy="1133475"/>
            <wp:effectExtent l="0" t="0" r="9525" b="9525"/>
            <wp:wrapSquare wrapText="bothSides"/>
            <wp:docPr id="17204207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48125" cy="1133475"/>
                    </a:xfrm>
                    <a:prstGeom prst="rect">
                      <a:avLst/>
                    </a:prstGeom>
                    <a:noFill/>
                    <a:ln>
                      <a:noFill/>
                    </a:ln>
                  </pic:spPr>
                </pic:pic>
              </a:graphicData>
            </a:graphic>
            <wp14:sizeRelH relativeFrom="margin">
              <wp14:pctWidth>0</wp14:pctWidth>
            </wp14:sizeRelH>
          </wp:anchor>
        </w:drawing>
      </w:r>
    </w:p>
    <w:p w14:paraId="412CA4D6" w14:textId="4FEA5412" w:rsidR="0033621F" w:rsidRPr="00B51544" w:rsidRDefault="0033621F" w:rsidP="0033621F">
      <w:pPr>
        <w:spacing w:line="360" w:lineRule="auto"/>
        <w:jc w:val="both"/>
        <w:rPr>
          <w:rFonts w:asciiTheme="majorBidi" w:hAnsiTheme="majorBidi" w:cstheme="majorBidi"/>
          <w:sz w:val="24"/>
          <w:szCs w:val="24"/>
        </w:rPr>
      </w:pPr>
      <w:r w:rsidRPr="00B51544">
        <w:rPr>
          <w:rFonts w:asciiTheme="majorBidi" w:hAnsiTheme="majorBidi" w:cstheme="majorBidi"/>
          <w:sz w:val="24"/>
          <w:szCs w:val="24"/>
        </w:rPr>
        <w:br/>
      </w:r>
    </w:p>
    <w:p w14:paraId="68BC7949" w14:textId="77777777" w:rsidR="0033621F" w:rsidRPr="00B51544" w:rsidRDefault="0033621F" w:rsidP="0033621F">
      <w:pPr>
        <w:spacing w:line="360" w:lineRule="auto"/>
        <w:jc w:val="both"/>
        <w:rPr>
          <w:rFonts w:asciiTheme="majorBidi" w:hAnsiTheme="majorBidi" w:cstheme="majorBidi"/>
          <w:sz w:val="24"/>
          <w:szCs w:val="24"/>
        </w:rPr>
      </w:pPr>
    </w:p>
    <w:p w14:paraId="0C4789CF" w14:textId="77777777" w:rsidR="0033621F" w:rsidRPr="00B51544" w:rsidRDefault="0033621F" w:rsidP="0033621F">
      <w:pPr>
        <w:spacing w:line="360" w:lineRule="auto"/>
        <w:jc w:val="both"/>
        <w:rPr>
          <w:rFonts w:asciiTheme="majorBidi" w:hAnsiTheme="majorBidi" w:cstheme="majorBidi"/>
          <w:sz w:val="24"/>
          <w:szCs w:val="24"/>
        </w:rPr>
      </w:pPr>
      <w:r>
        <w:rPr>
          <w:rFonts w:asciiTheme="majorBidi" w:hAnsiTheme="majorBidi" w:cstheme="majorBidi"/>
          <w:noProof/>
          <w:kern w:val="0"/>
          <w:sz w:val="24"/>
          <w:szCs w:val="24"/>
        </w:rPr>
        <mc:AlternateContent>
          <mc:Choice Requires="wps">
            <w:drawing>
              <wp:anchor distT="0" distB="0" distL="114300" distR="114300" simplePos="0" relativeHeight="251753472" behindDoc="0" locked="0" layoutInCell="1" allowOverlap="1" wp14:anchorId="02998BAE" wp14:editId="180D20F4">
                <wp:simplePos x="0" y="0"/>
                <wp:positionH relativeFrom="column">
                  <wp:posOffset>1057275</wp:posOffset>
                </wp:positionH>
                <wp:positionV relativeFrom="paragraph">
                  <wp:posOffset>285750</wp:posOffset>
                </wp:positionV>
                <wp:extent cx="3981450" cy="276225"/>
                <wp:effectExtent l="0" t="0" r="0" b="9525"/>
                <wp:wrapNone/>
                <wp:docPr id="713680557" name="Text Box 10"/>
                <wp:cNvGraphicFramePr/>
                <a:graphic xmlns:a="http://schemas.openxmlformats.org/drawingml/2006/main">
                  <a:graphicData uri="http://schemas.microsoft.com/office/word/2010/wordprocessingShape">
                    <wps:wsp>
                      <wps:cNvSpPr txBox="1"/>
                      <wps:spPr>
                        <a:xfrm>
                          <a:off x="0" y="0"/>
                          <a:ext cx="3981450"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5CB527" w14:textId="77777777" w:rsidR="0033621F" w:rsidRPr="0030061A" w:rsidRDefault="0033621F" w:rsidP="0033621F">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98BAE" id="_x0000_s1043" type="#_x0000_t202" style="position:absolute;left:0;text-align:left;margin-left:83.25pt;margin-top:22.5pt;width:313.5pt;height:21.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" filled="f" stroked="f">
                <v:textbox>
                  <w:txbxContent>
                    <w:p w14:paraId="375CB527" w14:textId="77777777" w:rsidR="0033621F" w:rsidRPr="0030061A" w:rsidRDefault="0033621F" w:rsidP="0033621F">
                      <w:pPr>
                        <w:rPr>
                          <w:rFonts w:asciiTheme="majorBidi" w:hAnsiTheme="majorBidi" w:cstheme="majorBidi"/>
                          <w:sz w:val="24"/>
                          <w:szCs w:val="24"/>
                          <w:lang w:val="sv-SE"/>
                        </w:rPr>
                      </w:pPr>
                      <w:r w:rsidRPr="0030061A">
                        <w:rPr>
                          <w:rFonts w:asciiTheme="majorBidi" w:hAnsiTheme="majorBidi" w:cstheme="majorBidi"/>
                          <w:sz w:val="24"/>
                          <w:szCs w:val="24"/>
                          <w:lang w:val="sv-SE"/>
                        </w:rPr>
                        <w:t>Sumber : Data Sekunder yang diuji menggunakan Eviews12</w:t>
                      </w:r>
                    </w:p>
                  </w:txbxContent>
                </v:textbox>
              </v:shape>
            </w:pict>
          </mc:Fallback>
        </mc:AlternateContent>
      </w:r>
    </w:p>
    <w:p w14:paraId="2F7E80D3" w14:textId="77777777" w:rsidR="0033621F" w:rsidRPr="00B51544" w:rsidRDefault="0033621F" w:rsidP="0033621F">
      <w:pPr>
        <w:spacing w:line="360" w:lineRule="auto"/>
        <w:jc w:val="both"/>
        <w:rPr>
          <w:rFonts w:asciiTheme="majorBidi" w:hAnsiTheme="majorBidi" w:cstheme="majorBidi"/>
          <w:sz w:val="24"/>
          <w:szCs w:val="24"/>
        </w:rPr>
      </w:pPr>
    </w:p>
    <w:p w14:paraId="10F55984" w14:textId="77777777" w:rsidR="00645DDB" w:rsidRDefault="00645DDB" w:rsidP="00D2760E">
      <w:pPr>
        <w:pStyle w:val="ListParagraph"/>
        <w:spacing w:line="360" w:lineRule="auto"/>
        <w:ind w:left="1080" w:firstLine="360"/>
        <w:jc w:val="both"/>
        <w:rPr>
          <w:rFonts w:asciiTheme="majorBidi" w:hAnsiTheme="majorBidi" w:cstheme="majorBidi"/>
          <w:sz w:val="24"/>
          <w:szCs w:val="24"/>
        </w:rPr>
      </w:pPr>
      <w:r w:rsidRPr="00645DDB">
        <w:rPr>
          <w:rFonts w:asciiTheme="majorBidi" w:hAnsiTheme="majorBidi" w:cstheme="majorBidi"/>
          <w:sz w:val="24"/>
          <w:szCs w:val="24"/>
        </w:rPr>
        <w:t>Dengan total 32 observasi dan 4 variabel dalam studi ini, diperoleh nilai derajat kebebasan (df) penyebut = n – k = 32 – 4 = 28, sementara nilai df pembilang = k – 1 = 4 – 1 = 3. Nilai alpha ditetapkan sebesar 0,05 sehingga Ftabel yang didapatkan adalah 2,95. Berdasarkan tabel 4. 8, dapat ditarik kesimpulan sebagai berikut:</w:t>
      </w:r>
    </w:p>
    <w:p w14:paraId="659F0E5B" w14:textId="12BDA87C" w:rsidR="0033621F" w:rsidRPr="00645DDB" w:rsidRDefault="00645DDB" w:rsidP="00D2760E">
      <w:pPr>
        <w:pStyle w:val="ListParagraph"/>
        <w:spacing w:line="360" w:lineRule="auto"/>
        <w:ind w:left="1080" w:firstLine="360"/>
        <w:jc w:val="both"/>
        <w:rPr>
          <w:rFonts w:asciiTheme="majorBidi" w:hAnsiTheme="majorBidi" w:cstheme="majorBidi"/>
          <w:sz w:val="24"/>
          <w:szCs w:val="24"/>
        </w:rPr>
      </w:pPr>
      <w:r w:rsidRPr="00645DDB">
        <w:rPr>
          <w:rFonts w:asciiTheme="majorBidi" w:hAnsiTheme="majorBidi" w:cstheme="majorBidi"/>
          <w:sz w:val="24"/>
          <w:szCs w:val="24"/>
        </w:rPr>
        <w:t>Nilai probabilitas (F-statistik) yang tercatat adalah 0,000003, yang jauh lebih kecil dibandingkan alpha 5% (0,000003 &lt; 2,95). Hal ini menunjukkan bahwa variabel risiko pembiayaan, risiko likuiditas, dan Nisbah bagi hasil memiliki pengaruh yang signifikan secara bersamaan terhadap deposito mudharabah di PT. Bank Muamalat Indonesia pada periode 2017 – 2024.</w:t>
      </w:r>
    </w:p>
    <w:p w14:paraId="57F3AD35" w14:textId="77777777" w:rsidR="00484DA9" w:rsidRDefault="00484DA9" w:rsidP="0033621F">
      <w:pPr>
        <w:pStyle w:val="ListParagraph"/>
        <w:spacing w:line="360" w:lineRule="auto"/>
        <w:ind w:left="1080"/>
        <w:jc w:val="both"/>
        <w:rPr>
          <w:rFonts w:asciiTheme="majorBidi" w:hAnsiTheme="majorBidi" w:cstheme="majorBidi"/>
          <w:sz w:val="24"/>
          <w:szCs w:val="24"/>
          <w:lang w:val="pt-BR"/>
        </w:rPr>
      </w:pPr>
    </w:p>
    <w:p w14:paraId="25DF56F7" w14:textId="77777777" w:rsidR="00645DDB" w:rsidRDefault="00645DDB" w:rsidP="0033621F">
      <w:pPr>
        <w:pStyle w:val="ListParagraph"/>
        <w:spacing w:line="360" w:lineRule="auto"/>
        <w:ind w:left="1080"/>
        <w:jc w:val="both"/>
        <w:rPr>
          <w:rFonts w:asciiTheme="majorBidi" w:hAnsiTheme="majorBidi" w:cstheme="majorBidi"/>
          <w:sz w:val="24"/>
          <w:szCs w:val="24"/>
          <w:lang w:val="pt-BR"/>
        </w:rPr>
      </w:pPr>
    </w:p>
    <w:p w14:paraId="0078C500" w14:textId="77777777" w:rsidR="007F7C0B" w:rsidRDefault="007F7C0B" w:rsidP="0033621F">
      <w:pPr>
        <w:pStyle w:val="ListParagraph"/>
        <w:spacing w:line="360" w:lineRule="auto"/>
        <w:ind w:left="1080"/>
        <w:jc w:val="both"/>
        <w:rPr>
          <w:rFonts w:asciiTheme="majorBidi" w:hAnsiTheme="majorBidi" w:cstheme="majorBidi"/>
          <w:sz w:val="24"/>
          <w:szCs w:val="24"/>
          <w:lang w:val="pt-BR"/>
        </w:rPr>
      </w:pPr>
    </w:p>
    <w:p w14:paraId="457EFF19" w14:textId="77777777" w:rsidR="004F6C85" w:rsidRDefault="004F6C85" w:rsidP="0033621F">
      <w:pPr>
        <w:pStyle w:val="ListParagraph"/>
        <w:spacing w:line="360" w:lineRule="auto"/>
        <w:ind w:left="1080"/>
        <w:jc w:val="both"/>
        <w:rPr>
          <w:rFonts w:asciiTheme="majorBidi" w:hAnsiTheme="majorBidi" w:cstheme="majorBidi"/>
          <w:sz w:val="24"/>
          <w:szCs w:val="24"/>
          <w:lang w:val="pt-BR"/>
        </w:rPr>
      </w:pPr>
    </w:p>
    <w:p w14:paraId="79003294" w14:textId="77777777" w:rsidR="004F6C85" w:rsidRPr="0033621F" w:rsidRDefault="004F6C85" w:rsidP="0033621F">
      <w:pPr>
        <w:pStyle w:val="ListParagraph"/>
        <w:spacing w:line="360" w:lineRule="auto"/>
        <w:ind w:left="1080"/>
        <w:jc w:val="both"/>
        <w:rPr>
          <w:rFonts w:asciiTheme="majorBidi" w:hAnsiTheme="majorBidi" w:cstheme="majorBidi"/>
          <w:sz w:val="24"/>
          <w:szCs w:val="24"/>
          <w:lang w:val="pt-BR"/>
        </w:rPr>
      </w:pPr>
    </w:p>
    <w:p w14:paraId="54132D14" w14:textId="62F17EEC" w:rsidR="002D64AD" w:rsidRPr="00B51544" w:rsidRDefault="002D64AD">
      <w:pPr>
        <w:pStyle w:val="ListParagraph"/>
        <w:numPr>
          <w:ilvl w:val="0"/>
          <w:numId w:val="25"/>
        </w:numPr>
        <w:spacing w:line="360" w:lineRule="auto"/>
        <w:jc w:val="both"/>
        <w:rPr>
          <w:rFonts w:asciiTheme="majorBidi" w:hAnsiTheme="majorBidi" w:cstheme="majorBidi"/>
          <w:sz w:val="24"/>
          <w:szCs w:val="24"/>
        </w:rPr>
      </w:pPr>
      <w:r w:rsidRPr="00B51544">
        <w:rPr>
          <w:rFonts w:asciiTheme="majorBidi" w:hAnsiTheme="majorBidi" w:cstheme="majorBidi"/>
          <w:sz w:val="24"/>
          <w:szCs w:val="24"/>
        </w:rPr>
        <w:lastRenderedPageBreak/>
        <w:t>Koefisien Determinasi (R</w:t>
      </w:r>
      <w:r w:rsidRPr="00B51544">
        <w:rPr>
          <w:rFonts w:asciiTheme="majorBidi" w:hAnsiTheme="majorBidi" w:cstheme="majorBidi"/>
          <w:sz w:val="24"/>
          <w:szCs w:val="24"/>
          <w:vertAlign w:val="superscript"/>
        </w:rPr>
        <w:t>2)</w:t>
      </w:r>
    </w:p>
    <w:p w14:paraId="0A455E3A" w14:textId="77777777" w:rsidR="0005736F" w:rsidRDefault="0005736F" w:rsidP="00D2760E">
      <w:pPr>
        <w:pStyle w:val="ListParagraph"/>
        <w:spacing w:line="360" w:lineRule="auto"/>
        <w:ind w:left="1080" w:firstLine="360"/>
        <w:jc w:val="both"/>
        <w:rPr>
          <w:rFonts w:asciiTheme="majorBidi" w:hAnsiTheme="majorBidi" w:cstheme="majorBidi"/>
          <w:sz w:val="24"/>
          <w:szCs w:val="24"/>
          <w:lang w:val="sv-SE"/>
        </w:rPr>
      </w:pPr>
      <w:r w:rsidRPr="0005736F">
        <w:rPr>
          <w:rFonts w:asciiTheme="majorBidi" w:hAnsiTheme="majorBidi" w:cstheme="majorBidi"/>
          <w:sz w:val="24"/>
          <w:szCs w:val="24"/>
          <w:lang w:val="sv-SE"/>
        </w:rPr>
        <w:t>Uji koefisien determinasi dilakukan untuk menilai sejauh mana variabel independen mampu menjelaskan variasi pada variabel dependen. Nilai koefisien determinasi berkisar antara nol hingga satu; jika angka tersebut mendekati satu, berarti variabel-variabel independen dalam penelitian ini hampir sepenuhnya dapat memprediksi perubahan pada variabel dependen. Dalam kajian ini, karena melibatkan lebih dari dua variabel, nilai yang digunakan adalah adjusted R Square untuk koefisien determinasi.</w:t>
      </w:r>
    </w:p>
    <w:p w14:paraId="46A6607B" w14:textId="07134B88" w:rsidR="0005736F" w:rsidRPr="0005736F" w:rsidRDefault="0005736F" w:rsidP="00D2760E">
      <w:pPr>
        <w:pStyle w:val="ListParagraph"/>
        <w:spacing w:line="360" w:lineRule="auto"/>
        <w:ind w:left="1080" w:firstLine="360"/>
        <w:jc w:val="both"/>
        <w:rPr>
          <w:rFonts w:asciiTheme="majorBidi" w:hAnsiTheme="majorBidi" w:cstheme="majorBidi"/>
          <w:sz w:val="24"/>
          <w:szCs w:val="24"/>
          <w:lang w:val="sv-SE"/>
        </w:rPr>
      </w:pPr>
      <w:r w:rsidRPr="0005736F">
        <w:rPr>
          <w:rFonts w:asciiTheme="majorBidi" w:hAnsiTheme="majorBidi" w:cstheme="majorBidi"/>
          <w:sz w:val="24"/>
          <w:szCs w:val="24"/>
          <w:lang w:val="sv-SE"/>
        </w:rPr>
        <w:t>Pada tabel 4. 8, diperoleh nilai Adjusted R-Squared atau koefisien determinasi sebesar 0,593169, yang setara dengan 59,31%. Hal ini menunjukkan bahwa variabel risiko pembiayaan (X1), risiko likuiditas (X2), dan nisbah bagi hasil (X3) mampu menjelaskan variabel deposito mudharabah (Y) sebesar 59,31%, dengan sisa 40,69% dijelaskan oleh faktor lain yang tidak termasuk dalam model penelitian ini.</w:t>
      </w:r>
    </w:p>
    <w:p w14:paraId="35ACCCBE" w14:textId="0D8D8C57" w:rsidR="00DD4BAC" w:rsidRPr="00B17575" w:rsidRDefault="00DD4BAC" w:rsidP="00B51544">
      <w:pPr>
        <w:pStyle w:val="Heading2"/>
        <w:spacing w:line="360" w:lineRule="auto"/>
        <w:jc w:val="both"/>
        <w:rPr>
          <w:rFonts w:asciiTheme="majorBidi" w:hAnsiTheme="majorBidi"/>
          <w:b/>
          <w:bCs/>
          <w:color w:val="auto"/>
          <w:sz w:val="24"/>
          <w:szCs w:val="24"/>
          <w:lang w:val="sv-SE"/>
        </w:rPr>
      </w:pPr>
      <w:bookmarkStart w:id="84" w:name="_Toc201063336"/>
      <w:r w:rsidRPr="00B17575">
        <w:rPr>
          <w:rFonts w:asciiTheme="majorBidi" w:hAnsiTheme="majorBidi"/>
          <w:b/>
          <w:bCs/>
          <w:color w:val="auto"/>
          <w:sz w:val="24"/>
          <w:szCs w:val="24"/>
          <w:lang w:val="sv-SE"/>
        </w:rPr>
        <w:t>4.3 Pembahasan Hasil Penelitian</w:t>
      </w:r>
      <w:bookmarkEnd w:id="84"/>
    </w:p>
    <w:p w14:paraId="37F3038E" w14:textId="383DE9AC" w:rsidR="00DD4BAC" w:rsidRPr="00B17575" w:rsidRDefault="00DD4BAC" w:rsidP="005A46E0">
      <w:pPr>
        <w:pStyle w:val="ListParagraph"/>
        <w:spacing w:line="360" w:lineRule="auto"/>
        <w:ind w:left="426"/>
        <w:jc w:val="both"/>
        <w:rPr>
          <w:rFonts w:asciiTheme="majorBidi" w:hAnsiTheme="majorBidi" w:cstheme="majorBidi"/>
          <w:sz w:val="24"/>
          <w:szCs w:val="24"/>
          <w:lang w:val="sv-SE"/>
        </w:rPr>
      </w:pPr>
      <w:r w:rsidRPr="00B17575">
        <w:rPr>
          <w:rFonts w:asciiTheme="majorBidi" w:hAnsiTheme="majorBidi" w:cstheme="majorBidi"/>
          <w:sz w:val="24"/>
          <w:szCs w:val="24"/>
          <w:lang w:val="sv-SE"/>
        </w:rPr>
        <w:t>Hipotesis Sebelumnya :</w:t>
      </w:r>
    </w:p>
    <w:p w14:paraId="7D34B1C9" w14:textId="77777777" w:rsidR="005A46E0" w:rsidRPr="00B17575" w:rsidRDefault="00DD4BAC" w:rsidP="005A46E0">
      <w:pPr>
        <w:pStyle w:val="ListParagraph"/>
        <w:spacing w:line="360" w:lineRule="auto"/>
        <w:ind w:left="426"/>
        <w:jc w:val="both"/>
        <w:rPr>
          <w:rFonts w:asciiTheme="majorBidi" w:hAnsiTheme="majorBidi" w:cstheme="majorBidi"/>
          <w:sz w:val="24"/>
          <w:szCs w:val="24"/>
          <w:lang w:val="sv-SE"/>
        </w:rPr>
      </w:pPr>
      <w:r w:rsidRPr="00B17575">
        <w:rPr>
          <w:rFonts w:asciiTheme="majorBidi" w:hAnsiTheme="majorBidi" w:cstheme="majorBidi"/>
          <w:sz w:val="24"/>
          <w:szCs w:val="24"/>
          <w:lang w:val="sv-SE"/>
        </w:rPr>
        <w:t>H1</w:t>
      </w:r>
      <w:r w:rsidRPr="00B17575">
        <w:rPr>
          <w:rFonts w:asciiTheme="majorBidi" w:hAnsiTheme="majorBidi" w:cstheme="majorBidi"/>
          <w:sz w:val="24"/>
          <w:szCs w:val="24"/>
          <w:lang w:val="sv-SE"/>
        </w:rPr>
        <w:tab/>
        <w:t>: NPF berpengaruh negatif terhadap deposito mudharabah.</w:t>
      </w:r>
    </w:p>
    <w:p w14:paraId="1EBB4522" w14:textId="77777777" w:rsidR="005A46E0" w:rsidRDefault="00DD4BAC" w:rsidP="005A46E0">
      <w:pPr>
        <w:pStyle w:val="ListParagraph"/>
        <w:spacing w:line="360" w:lineRule="auto"/>
        <w:ind w:left="426"/>
        <w:jc w:val="both"/>
        <w:rPr>
          <w:rFonts w:asciiTheme="majorBidi" w:hAnsiTheme="majorBidi" w:cstheme="majorBidi"/>
          <w:sz w:val="24"/>
          <w:szCs w:val="24"/>
          <w:lang w:val="pt-BR"/>
        </w:rPr>
      </w:pPr>
      <w:r w:rsidRPr="005A46E0">
        <w:rPr>
          <w:rFonts w:asciiTheme="majorBidi" w:hAnsiTheme="majorBidi" w:cstheme="majorBidi"/>
          <w:sz w:val="24"/>
          <w:szCs w:val="24"/>
          <w:lang w:val="pt-BR"/>
        </w:rPr>
        <w:t>H2</w:t>
      </w:r>
      <w:r w:rsidRPr="005A46E0">
        <w:rPr>
          <w:rFonts w:asciiTheme="majorBidi" w:hAnsiTheme="majorBidi" w:cstheme="majorBidi"/>
          <w:sz w:val="24"/>
          <w:szCs w:val="24"/>
          <w:lang w:val="pt-BR"/>
        </w:rPr>
        <w:tab/>
        <w:t>: FDR berpengaruh positif terhadap deposito mudharabah.</w:t>
      </w:r>
    </w:p>
    <w:p w14:paraId="2783AE38" w14:textId="6C128D15" w:rsidR="00DD4BAC" w:rsidRPr="005A46E0" w:rsidRDefault="00DD4BAC" w:rsidP="005A46E0">
      <w:pPr>
        <w:pStyle w:val="ListParagraph"/>
        <w:spacing w:line="360" w:lineRule="auto"/>
        <w:ind w:left="426"/>
        <w:jc w:val="both"/>
        <w:rPr>
          <w:rFonts w:asciiTheme="majorBidi" w:hAnsiTheme="majorBidi" w:cstheme="majorBidi"/>
          <w:sz w:val="24"/>
          <w:szCs w:val="24"/>
          <w:lang w:val="pt-BR"/>
        </w:rPr>
      </w:pPr>
      <w:r w:rsidRPr="005A46E0">
        <w:rPr>
          <w:rFonts w:asciiTheme="majorBidi" w:hAnsiTheme="majorBidi" w:cstheme="majorBidi"/>
          <w:sz w:val="24"/>
          <w:szCs w:val="24"/>
          <w:lang w:val="pt-BR"/>
        </w:rPr>
        <w:t>H3</w:t>
      </w:r>
      <w:r w:rsidRPr="005A46E0">
        <w:rPr>
          <w:rFonts w:asciiTheme="majorBidi" w:hAnsiTheme="majorBidi" w:cstheme="majorBidi"/>
          <w:sz w:val="24"/>
          <w:szCs w:val="24"/>
          <w:lang w:val="pt-BR"/>
        </w:rPr>
        <w:tab/>
        <w:t xml:space="preserve">: Nisbah Bagi Hasil berpengaruh positif </w:t>
      </w:r>
      <w:r w:rsidR="00950249" w:rsidRPr="005A46E0">
        <w:rPr>
          <w:rFonts w:asciiTheme="majorBidi" w:hAnsiTheme="majorBidi" w:cstheme="majorBidi"/>
          <w:sz w:val="24"/>
          <w:szCs w:val="24"/>
          <w:lang w:val="pt-BR"/>
        </w:rPr>
        <w:t>terhadap deposito mudharabah.</w:t>
      </w:r>
    </w:p>
    <w:p w14:paraId="2C7BA24E" w14:textId="4DBBBA74" w:rsidR="008B2471" w:rsidRPr="00484DA9" w:rsidRDefault="00950249" w:rsidP="00484DA9">
      <w:pPr>
        <w:pStyle w:val="ListParagraph"/>
        <w:spacing w:line="360" w:lineRule="auto"/>
        <w:ind w:left="426" w:firstLine="708"/>
        <w:jc w:val="both"/>
        <w:rPr>
          <w:rFonts w:asciiTheme="majorBidi" w:hAnsiTheme="majorBidi" w:cstheme="majorBidi"/>
          <w:sz w:val="24"/>
          <w:szCs w:val="24"/>
          <w:lang w:val="pt-BR"/>
        </w:rPr>
      </w:pPr>
      <w:r w:rsidRPr="00B51544">
        <w:rPr>
          <w:rFonts w:asciiTheme="majorBidi" w:hAnsiTheme="majorBidi" w:cstheme="majorBidi"/>
          <w:sz w:val="24"/>
          <w:szCs w:val="24"/>
          <w:lang w:val="pt-BR"/>
        </w:rPr>
        <w:t xml:space="preserve">Setelah melakukan penelitian sesuai dengan prosedur dan kaidah yang ada dapat menghasilkan penelitian sebagai berikut : </w:t>
      </w:r>
    </w:p>
    <w:p w14:paraId="34F1F0AB" w14:textId="33198C7C" w:rsidR="00950249" w:rsidRPr="008B2471" w:rsidRDefault="008B2471" w:rsidP="004F6C85">
      <w:pPr>
        <w:pStyle w:val="Caption"/>
        <w:jc w:val="center"/>
        <w:rPr>
          <w:rFonts w:asciiTheme="majorBidi" w:hAnsiTheme="majorBidi" w:cstheme="majorBidi"/>
          <w:b/>
          <w:bCs/>
          <w:i w:val="0"/>
          <w:iCs w:val="0"/>
          <w:color w:val="auto"/>
          <w:sz w:val="24"/>
          <w:szCs w:val="24"/>
          <w:lang w:val="en-US"/>
        </w:rPr>
      </w:pPr>
      <w:bookmarkStart w:id="85" w:name="_Toc200572259"/>
      <w:r w:rsidRPr="008B2471">
        <w:rPr>
          <w:rFonts w:asciiTheme="majorBidi" w:hAnsiTheme="majorBidi" w:cstheme="majorBidi"/>
          <w:b/>
          <w:bCs/>
          <w:i w:val="0"/>
          <w:iCs w:val="0"/>
          <w:color w:val="auto"/>
          <w:sz w:val="24"/>
          <w:szCs w:val="24"/>
        </w:rPr>
        <w:t xml:space="preserve">Tabel 4. </w:t>
      </w:r>
      <w:r w:rsidRPr="008B2471">
        <w:rPr>
          <w:rFonts w:asciiTheme="majorBidi" w:hAnsiTheme="majorBidi" w:cstheme="majorBidi"/>
          <w:b/>
          <w:bCs/>
          <w:i w:val="0"/>
          <w:iCs w:val="0"/>
          <w:color w:val="auto"/>
          <w:sz w:val="24"/>
          <w:szCs w:val="24"/>
        </w:rPr>
        <w:fldChar w:fldCharType="begin"/>
      </w:r>
      <w:r w:rsidRPr="008B2471">
        <w:rPr>
          <w:rFonts w:asciiTheme="majorBidi" w:hAnsiTheme="majorBidi" w:cstheme="majorBidi"/>
          <w:b/>
          <w:bCs/>
          <w:i w:val="0"/>
          <w:iCs w:val="0"/>
          <w:color w:val="auto"/>
          <w:sz w:val="24"/>
          <w:szCs w:val="24"/>
        </w:rPr>
        <w:instrText xml:space="preserve"> SEQ Tabel_4. \* ARABIC </w:instrText>
      </w:r>
      <w:r w:rsidRPr="008B2471">
        <w:rPr>
          <w:rFonts w:asciiTheme="majorBidi" w:hAnsiTheme="majorBidi" w:cstheme="majorBidi"/>
          <w:b/>
          <w:bCs/>
          <w:i w:val="0"/>
          <w:iCs w:val="0"/>
          <w:color w:val="auto"/>
          <w:sz w:val="24"/>
          <w:szCs w:val="24"/>
        </w:rPr>
        <w:fldChar w:fldCharType="separate"/>
      </w:r>
      <w:r w:rsidR="00B8276F">
        <w:rPr>
          <w:rFonts w:asciiTheme="majorBidi" w:hAnsiTheme="majorBidi" w:cstheme="majorBidi"/>
          <w:b/>
          <w:bCs/>
          <w:i w:val="0"/>
          <w:iCs w:val="0"/>
          <w:noProof/>
          <w:color w:val="auto"/>
          <w:sz w:val="24"/>
          <w:szCs w:val="24"/>
        </w:rPr>
        <w:t>10</w:t>
      </w:r>
      <w:r w:rsidRPr="008B2471">
        <w:rPr>
          <w:rFonts w:asciiTheme="majorBidi" w:hAnsiTheme="majorBidi" w:cstheme="majorBidi"/>
          <w:b/>
          <w:bCs/>
          <w:i w:val="0"/>
          <w:iCs w:val="0"/>
          <w:color w:val="auto"/>
          <w:sz w:val="24"/>
          <w:szCs w:val="24"/>
        </w:rPr>
        <w:fldChar w:fldCharType="end"/>
      </w:r>
      <w:r w:rsidRPr="008B2471">
        <w:rPr>
          <w:rFonts w:asciiTheme="majorBidi" w:hAnsiTheme="majorBidi" w:cstheme="majorBidi"/>
          <w:b/>
          <w:bCs/>
          <w:i w:val="0"/>
          <w:iCs w:val="0"/>
          <w:color w:val="auto"/>
          <w:sz w:val="24"/>
          <w:szCs w:val="24"/>
          <w:lang w:val="en-US"/>
        </w:rPr>
        <w:t xml:space="preserve"> </w:t>
      </w:r>
      <w:r>
        <w:rPr>
          <w:rFonts w:asciiTheme="majorBidi" w:hAnsiTheme="majorBidi" w:cstheme="majorBidi"/>
          <w:b/>
          <w:bCs/>
          <w:i w:val="0"/>
          <w:iCs w:val="0"/>
          <w:color w:val="auto"/>
          <w:sz w:val="24"/>
          <w:szCs w:val="24"/>
          <w:lang w:val="en-US"/>
        </w:rPr>
        <w:br/>
      </w:r>
      <w:r w:rsidRPr="008B2471">
        <w:rPr>
          <w:rFonts w:asciiTheme="majorBidi" w:hAnsiTheme="majorBidi" w:cstheme="majorBidi"/>
          <w:b/>
          <w:bCs/>
          <w:i w:val="0"/>
          <w:iCs w:val="0"/>
          <w:color w:val="auto"/>
          <w:sz w:val="24"/>
          <w:szCs w:val="24"/>
          <w:lang w:val="en-US"/>
        </w:rPr>
        <w:t>Hubungan Varibel Independen Terhadap Deposito Mudharabah</w:t>
      </w:r>
      <w:bookmarkEnd w:id="85"/>
    </w:p>
    <w:p w14:paraId="2661D25C" w14:textId="77777777" w:rsidR="008B2471" w:rsidRPr="008B2471" w:rsidRDefault="008B2471" w:rsidP="008B2471">
      <w:pPr>
        <w:rPr>
          <w:lang w:val="en-US"/>
        </w:rPr>
      </w:pPr>
    </w:p>
    <w:tbl>
      <w:tblPr>
        <w:tblStyle w:val="TableGrid"/>
        <w:tblW w:w="9016" w:type="dxa"/>
        <w:tblInd w:w="565" w:type="dxa"/>
        <w:tblLook w:val="04A0" w:firstRow="1" w:lastRow="0" w:firstColumn="1" w:lastColumn="0" w:noHBand="0" w:noVBand="1"/>
      </w:tblPr>
      <w:tblGrid>
        <w:gridCol w:w="4508"/>
        <w:gridCol w:w="4508"/>
      </w:tblGrid>
      <w:tr w:rsidR="006F4D2C" w:rsidRPr="00B51544" w14:paraId="13E7EC9D" w14:textId="77777777" w:rsidTr="007F7C0B">
        <w:trPr>
          <w:trHeight w:val="349"/>
        </w:trPr>
        <w:tc>
          <w:tcPr>
            <w:tcW w:w="4508" w:type="dxa"/>
          </w:tcPr>
          <w:p w14:paraId="32476FFE" w14:textId="36390D73" w:rsidR="006F4D2C" w:rsidRPr="00B51544" w:rsidRDefault="006F4D2C" w:rsidP="00B51544">
            <w:pPr>
              <w:spacing w:line="360" w:lineRule="auto"/>
              <w:jc w:val="both"/>
              <w:rPr>
                <w:rFonts w:asciiTheme="majorBidi" w:hAnsiTheme="majorBidi" w:cstheme="majorBidi"/>
                <w:b/>
                <w:bCs/>
                <w:sz w:val="24"/>
                <w:szCs w:val="24"/>
                <w:lang w:val="pt-BR"/>
              </w:rPr>
            </w:pPr>
            <w:r w:rsidRPr="00B51544">
              <w:rPr>
                <w:rFonts w:asciiTheme="majorBidi" w:hAnsiTheme="majorBidi" w:cstheme="majorBidi"/>
                <w:b/>
                <w:bCs/>
                <w:sz w:val="24"/>
                <w:szCs w:val="24"/>
                <w:lang w:val="pt-BR"/>
              </w:rPr>
              <w:t>Variabel</w:t>
            </w:r>
          </w:p>
        </w:tc>
        <w:tc>
          <w:tcPr>
            <w:tcW w:w="4508" w:type="dxa"/>
          </w:tcPr>
          <w:p w14:paraId="79A040EE" w14:textId="500DD770" w:rsidR="006F4D2C" w:rsidRPr="00B51544" w:rsidRDefault="006F4D2C" w:rsidP="00B51544">
            <w:pPr>
              <w:spacing w:line="360" w:lineRule="auto"/>
              <w:jc w:val="both"/>
              <w:rPr>
                <w:rFonts w:asciiTheme="majorBidi" w:hAnsiTheme="majorBidi" w:cstheme="majorBidi"/>
                <w:b/>
                <w:bCs/>
                <w:sz w:val="24"/>
                <w:szCs w:val="24"/>
                <w:lang w:val="pt-BR"/>
              </w:rPr>
            </w:pPr>
            <w:r w:rsidRPr="00B51544">
              <w:rPr>
                <w:rFonts w:asciiTheme="majorBidi" w:hAnsiTheme="majorBidi" w:cstheme="majorBidi"/>
                <w:b/>
                <w:bCs/>
                <w:sz w:val="24"/>
                <w:szCs w:val="24"/>
                <w:lang w:val="pt-BR"/>
              </w:rPr>
              <w:t>Hubungan yang ditemukan</w:t>
            </w:r>
          </w:p>
        </w:tc>
      </w:tr>
      <w:tr w:rsidR="006F4D2C" w:rsidRPr="0031036E" w14:paraId="0F2E3016" w14:textId="77777777" w:rsidTr="007F7C0B">
        <w:trPr>
          <w:trHeight w:val="411"/>
        </w:trPr>
        <w:tc>
          <w:tcPr>
            <w:tcW w:w="4508" w:type="dxa"/>
          </w:tcPr>
          <w:p w14:paraId="436D0A24" w14:textId="1532B323" w:rsidR="006F4D2C" w:rsidRPr="00B51544" w:rsidRDefault="006F4D2C" w:rsidP="00B51544">
            <w:p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Risiko Pembiayaan (NPF)</w:t>
            </w:r>
          </w:p>
        </w:tc>
        <w:tc>
          <w:tcPr>
            <w:tcW w:w="4508" w:type="dxa"/>
          </w:tcPr>
          <w:p w14:paraId="492AEF61" w14:textId="4534A079" w:rsidR="006F4D2C" w:rsidRPr="00735C88" w:rsidRDefault="00735C88" w:rsidP="00B51544">
            <w:pPr>
              <w:spacing w:line="360" w:lineRule="auto"/>
              <w:jc w:val="both"/>
              <w:rPr>
                <w:rFonts w:asciiTheme="majorBidi" w:hAnsiTheme="majorBidi" w:cstheme="majorBidi"/>
                <w:sz w:val="24"/>
                <w:szCs w:val="24"/>
                <w:lang w:val="sv-SE"/>
              </w:rPr>
            </w:pPr>
            <w:r w:rsidRPr="00735C88">
              <w:rPr>
                <w:rFonts w:asciiTheme="majorBidi" w:hAnsiTheme="majorBidi" w:cstheme="majorBidi"/>
                <w:sz w:val="24"/>
                <w:szCs w:val="24"/>
                <w:lang w:val="sv-SE"/>
              </w:rPr>
              <w:t>B</w:t>
            </w:r>
            <w:r w:rsidR="0039280C" w:rsidRPr="00735C88">
              <w:rPr>
                <w:rFonts w:asciiTheme="majorBidi" w:hAnsiTheme="majorBidi" w:cstheme="majorBidi"/>
                <w:sz w:val="24"/>
                <w:szCs w:val="24"/>
                <w:lang w:val="sv-SE"/>
              </w:rPr>
              <w:t xml:space="preserve">erpengaruh </w:t>
            </w:r>
            <w:r w:rsidRPr="00735C88">
              <w:rPr>
                <w:rFonts w:asciiTheme="majorBidi" w:hAnsiTheme="majorBidi" w:cstheme="majorBidi"/>
                <w:sz w:val="24"/>
                <w:szCs w:val="24"/>
                <w:lang w:val="sv-SE"/>
              </w:rPr>
              <w:t>positif tetapi tidak signifikan</w:t>
            </w:r>
          </w:p>
        </w:tc>
      </w:tr>
      <w:tr w:rsidR="006F4D2C" w:rsidRPr="00B51544" w14:paraId="36F6D9D8" w14:textId="77777777" w:rsidTr="007F7C0B">
        <w:trPr>
          <w:trHeight w:val="417"/>
        </w:trPr>
        <w:tc>
          <w:tcPr>
            <w:tcW w:w="4508" w:type="dxa"/>
          </w:tcPr>
          <w:p w14:paraId="79F77948" w14:textId="5956F708" w:rsidR="006F4D2C" w:rsidRPr="00B51544" w:rsidRDefault="006F4D2C" w:rsidP="00B51544">
            <w:p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Risiko Likuiditas (FDR)</w:t>
            </w:r>
          </w:p>
        </w:tc>
        <w:tc>
          <w:tcPr>
            <w:tcW w:w="4508" w:type="dxa"/>
          </w:tcPr>
          <w:p w14:paraId="25F4AF53" w14:textId="6E5755A9" w:rsidR="006F4D2C" w:rsidRPr="00B51544" w:rsidRDefault="0039280C" w:rsidP="00B51544">
            <w:p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Berpengaruh negatif</w:t>
            </w:r>
            <w:r w:rsidR="00735C88">
              <w:rPr>
                <w:rFonts w:asciiTheme="majorBidi" w:hAnsiTheme="majorBidi" w:cstheme="majorBidi"/>
                <w:sz w:val="24"/>
                <w:szCs w:val="24"/>
                <w:lang w:val="pt-BR"/>
              </w:rPr>
              <w:t xml:space="preserve"> signifikan</w:t>
            </w:r>
          </w:p>
        </w:tc>
      </w:tr>
      <w:tr w:rsidR="006F4D2C" w:rsidRPr="0031036E" w14:paraId="487AD40B" w14:textId="77777777" w:rsidTr="007F7C0B">
        <w:trPr>
          <w:trHeight w:val="423"/>
        </w:trPr>
        <w:tc>
          <w:tcPr>
            <w:tcW w:w="4508" w:type="dxa"/>
          </w:tcPr>
          <w:p w14:paraId="37101361" w14:textId="61EFB674" w:rsidR="006F4D2C" w:rsidRPr="00B51544" w:rsidRDefault="006F4D2C" w:rsidP="00B51544">
            <w:pPr>
              <w:spacing w:line="360" w:lineRule="auto"/>
              <w:jc w:val="both"/>
              <w:rPr>
                <w:rFonts w:asciiTheme="majorBidi" w:hAnsiTheme="majorBidi" w:cstheme="majorBidi"/>
                <w:sz w:val="24"/>
                <w:szCs w:val="24"/>
                <w:lang w:val="pt-BR"/>
              </w:rPr>
            </w:pPr>
            <w:r w:rsidRPr="00B51544">
              <w:rPr>
                <w:rFonts w:asciiTheme="majorBidi" w:hAnsiTheme="majorBidi" w:cstheme="majorBidi"/>
                <w:sz w:val="24"/>
                <w:szCs w:val="24"/>
                <w:lang w:val="pt-BR"/>
              </w:rPr>
              <w:t>Nisbah Bagi Hasil</w:t>
            </w:r>
          </w:p>
        </w:tc>
        <w:tc>
          <w:tcPr>
            <w:tcW w:w="4508" w:type="dxa"/>
          </w:tcPr>
          <w:p w14:paraId="7EC436E4" w14:textId="274A134D" w:rsidR="006F4D2C" w:rsidRPr="00735C88" w:rsidRDefault="00735C88" w:rsidP="00B51544">
            <w:pPr>
              <w:spacing w:line="360" w:lineRule="auto"/>
              <w:jc w:val="both"/>
              <w:rPr>
                <w:rFonts w:asciiTheme="majorBidi" w:hAnsiTheme="majorBidi" w:cstheme="majorBidi"/>
                <w:sz w:val="24"/>
                <w:szCs w:val="24"/>
                <w:lang w:val="sv-SE"/>
              </w:rPr>
            </w:pPr>
            <w:r w:rsidRPr="00735C88">
              <w:rPr>
                <w:rFonts w:asciiTheme="majorBidi" w:hAnsiTheme="majorBidi" w:cstheme="majorBidi"/>
                <w:sz w:val="24"/>
                <w:szCs w:val="24"/>
                <w:lang w:val="sv-SE"/>
              </w:rPr>
              <w:t>Berpengaruh positif tetapi tidak signifikan</w:t>
            </w:r>
          </w:p>
        </w:tc>
      </w:tr>
    </w:tbl>
    <w:p w14:paraId="6B75947F" w14:textId="77777777" w:rsidR="00950249" w:rsidRPr="00735C88" w:rsidRDefault="00950249" w:rsidP="00B51544">
      <w:pPr>
        <w:spacing w:line="360" w:lineRule="auto"/>
        <w:jc w:val="both"/>
        <w:rPr>
          <w:rFonts w:asciiTheme="majorBidi" w:hAnsiTheme="majorBidi" w:cstheme="majorBidi"/>
          <w:b/>
          <w:bCs/>
          <w:sz w:val="24"/>
          <w:szCs w:val="24"/>
          <w:lang w:val="sv-SE"/>
        </w:rPr>
      </w:pPr>
    </w:p>
    <w:p w14:paraId="503A1AA9" w14:textId="29C73D89" w:rsidR="00950249" w:rsidRPr="00ED5418" w:rsidRDefault="0039280C" w:rsidP="002D64AD">
      <w:pPr>
        <w:spacing w:line="360" w:lineRule="auto"/>
        <w:ind w:left="709" w:firstLine="709"/>
        <w:jc w:val="both"/>
        <w:rPr>
          <w:rFonts w:asciiTheme="majorBidi" w:hAnsiTheme="majorBidi" w:cstheme="majorBidi"/>
          <w:sz w:val="24"/>
          <w:szCs w:val="24"/>
          <w:lang w:val="sv-SE"/>
        </w:rPr>
      </w:pPr>
      <w:r w:rsidRPr="00ED5418">
        <w:rPr>
          <w:rFonts w:asciiTheme="majorBidi" w:hAnsiTheme="majorBidi" w:cstheme="majorBidi"/>
          <w:sz w:val="24"/>
          <w:szCs w:val="24"/>
          <w:lang w:val="sv-SE"/>
        </w:rPr>
        <w:t>Sesuai</w:t>
      </w:r>
      <w:r w:rsidR="008E0752" w:rsidRPr="00ED5418">
        <w:rPr>
          <w:rFonts w:asciiTheme="majorBidi" w:hAnsiTheme="majorBidi" w:cstheme="majorBidi"/>
          <w:sz w:val="24"/>
          <w:szCs w:val="24"/>
          <w:lang w:val="sv-SE"/>
        </w:rPr>
        <w:t xml:space="preserve"> tabel 4.</w:t>
      </w:r>
      <w:r w:rsidR="00AA1961" w:rsidRPr="00ED5418">
        <w:rPr>
          <w:rFonts w:asciiTheme="majorBidi" w:hAnsiTheme="majorBidi" w:cstheme="majorBidi"/>
          <w:sz w:val="24"/>
          <w:szCs w:val="24"/>
          <w:lang w:val="sv-SE"/>
        </w:rPr>
        <w:t>10</w:t>
      </w:r>
      <w:r w:rsidR="008E0752" w:rsidRPr="00ED5418">
        <w:rPr>
          <w:rFonts w:asciiTheme="majorBidi" w:hAnsiTheme="majorBidi" w:cstheme="majorBidi"/>
          <w:sz w:val="24"/>
          <w:szCs w:val="24"/>
          <w:lang w:val="sv-SE"/>
        </w:rPr>
        <w:t>, pengujian hipotesis untuk mengetahui pengaruh rasio NPF, FDR dan Nisbah Bagi Hasil terhadap Deposito Mudharabah PT. Bank Muamalat Indonesia periode 2017-2024 dapat diterangkan :</w:t>
      </w:r>
    </w:p>
    <w:p w14:paraId="664B2E3A" w14:textId="6F444E44" w:rsidR="00411F8D" w:rsidRPr="00ED5418" w:rsidRDefault="00D21DFD" w:rsidP="00615F88">
      <w:pPr>
        <w:pStyle w:val="Heading3"/>
        <w:spacing w:line="360" w:lineRule="auto"/>
        <w:jc w:val="both"/>
        <w:rPr>
          <w:rFonts w:asciiTheme="majorBidi" w:hAnsiTheme="majorBidi"/>
          <w:b/>
          <w:bCs/>
          <w:color w:val="auto"/>
          <w:sz w:val="24"/>
          <w:szCs w:val="24"/>
          <w:lang w:val="sv-SE"/>
        </w:rPr>
      </w:pPr>
      <w:bookmarkStart w:id="86" w:name="_Toc201063337"/>
      <w:r w:rsidRPr="00ED5418">
        <w:rPr>
          <w:rFonts w:asciiTheme="majorBidi" w:hAnsiTheme="majorBidi"/>
          <w:b/>
          <w:bCs/>
          <w:color w:val="auto"/>
          <w:sz w:val="24"/>
          <w:szCs w:val="24"/>
          <w:lang w:val="sv-SE"/>
        </w:rPr>
        <w:lastRenderedPageBreak/>
        <w:t xml:space="preserve">4.3.1 </w:t>
      </w:r>
      <w:r w:rsidR="008E0752" w:rsidRPr="00ED5418">
        <w:rPr>
          <w:rFonts w:asciiTheme="majorBidi" w:hAnsiTheme="majorBidi"/>
          <w:b/>
          <w:bCs/>
          <w:color w:val="auto"/>
          <w:sz w:val="24"/>
          <w:szCs w:val="24"/>
          <w:lang w:val="sv-SE"/>
        </w:rPr>
        <w:t>Pengaruh Variabel Risiko Pembiayaan (NPF)</w:t>
      </w:r>
      <w:r w:rsidR="00C45B9B" w:rsidRPr="00ED5418">
        <w:rPr>
          <w:rFonts w:asciiTheme="majorBidi" w:hAnsiTheme="majorBidi"/>
          <w:b/>
          <w:bCs/>
          <w:color w:val="auto"/>
          <w:sz w:val="24"/>
          <w:szCs w:val="24"/>
          <w:lang w:val="sv-SE"/>
        </w:rPr>
        <w:t xml:space="preserve"> </w:t>
      </w:r>
      <w:r w:rsidR="008E0752" w:rsidRPr="00ED5418">
        <w:rPr>
          <w:rFonts w:asciiTheme="majorBidi" w:hAnsiTheme="majorBidi"/>
          <w:b/>
          <w:bCs/>
          <w:color w:val="auto"/>
          <w:sz w:val="24"/>
          <w:szCs w:val="24"/>
          <w:lang w:val="sv-SE"/>
        </w:rPr>
        <w:t>Terhadap Deposito Mudharabah</w:t>
      </w:r>
      <w:bookmarkEnd w:id="86"/>
    </w:p>
    <w:p w14:paraId="59EE8ACD" w14:textId="599D2B8F" w:rsidR="00615F88" w:rsidRPr="00ED5418" w:rsidRDefault="00411F8D" w:rsidP="00E17038">
      <w:pPr>
        <w:pStyle w:val="ListParagraph"/>
        <w:spacing w:after="0" w:line="360" w:lineRule="auto"/>
        <w:ind w:left="709" w:firstLine="709"/>
        <w:jc w:val="both"/>
        <w:rPr>
          <w:rFonts w:asciiTheme="majorBidi" w:hAnsiTheme="majorBidi" w:cstheme="majorBidi"/>
          <w:sz w:val="24"/>
          <w:szCs w:val="24"/>
          <w:lang w:val="sv-SE"/>
        </w:rPr>
      </w:pPr>
      <w:r w:rsidRPr="00ED5418">
        <w:rPr>
          <w:rFonts w:asciiTheme="majorBidi" w:hAnsiTheme="majorBidi" w:cstheme="majorBidi"/>
          <w:color w:val="000000"/>
          <w:kern w:val="0"/>
          <w:sz w:val="24"/>
          <w:szCs w:val="24"/>
          <w:lang w:val="sv-SE"/>
        </w:rPr>
        <w:t xml:space="preserve">Berdasarkan hasil uji regresi linier berganda, diketahui bahwa variabel risiko pembiayaan (NPF) memiliki koefisien sebesar </w:t>
      </w:r>
      <w:r w:rsidR="00615F88" w:rsidRPr="00ED5418">
        <w:rPr>
          <w:rFonts w:asciiTheme="majorBidi" w:hAnsiTheme="majorBidi" w:cstheme="majorBidi"/>
          <w:color w:val="000000"/>
          <w:kern w:val="0"/>
          <w:sz w:val="24"/>
          <w:szCs w:val="24"/>
          <w:lang w:val="sv-SE"/>
        </w:rPr>
        <w:t>228493.2</w:t>
      </w:r>
      <w:r w:rsidRPr="00ED5418">
        <w:rPr>
          <w:rFonts w:asciiTheme="majorBidi" w:hAnsiTheme="majorBidi" w:cstheme="majorBidi"/>
          <w:color w:val="000000"/>
          <w:kern w:val="0"/>
          <w:sz w:val="24"/>
          <w:szCs w:val="24"/>
          <w:lang w:val="sv-SE"/>
        </w:rPr>
        <w:t xml:space="preserve">. Nilai ini menunjukkan hubungan positif antara NPF dan deposito mudharabah, yang berarti secara statistik, peningkatan rasio NPF justru diikuti oleh peningkatan jumlah deposito mudharabah. Akan tetapi, hasil uji t dengan nilai probabilitas sebesar 0,8145 (&gt; 0,05) menyatakan bahwa </w:t>
      </w:r>
      <w:r w:rsidR="00615F88" w:rsidRPr="00ED5418">
        <w:rPr>
          <w:rFonts w:asciiTheme="majorBidi" w:hAnsiTheme="majorBidi" w:cstheme="majorBidi"/>
          <w:sz w:val="24"/>
          <w:szCs w:val="24"/>
          <w:lang w:val="sv-SE"/>
        </w:rPr>
        <w:t xml:space="preserve">variabel NPF (risiko pembiayaan) </w:t>
      </w:r>
      <w:r w:rsidR="00735C88" w:rsidRPr="00ED5418">
        <w:rPr>
          <w:rFonts w:asciiTheme="majorBidi" w:hAnsiTheme="majorBidi" w:cstheme="majorBidi"/>
          <w:sz w:val="24"/>
          <w:szCs w:val="24"/>
          <w:lang w:val="sv-SE"/>
        </w:rPr>
        <w:t xml:space="preserve">Berpengaruh positif tetapi tidak signifikan </w:t>
      </w:r>
      <w:r w:rsidR="00615F88" w:rsidRPr="00ED5418">
        <w:rPr>
          <w:rFonts w:asciiTheme="majorBidi" w:hAnsiTheme="majorBidi" w:cstheme="majorBidi"/>
          <w:sz w:val="24"/>
          <w:szCs w:val="24"/>
          <w:lang w:val="sv-SE"/>
        </w:rPr>
        <w:t>terhadap variabel deposito mudharabah.</w:t>
      </w:r>
    </w:p>
    <w:p w14:paraId="5B9ACFD7" w14:textId="77777777" w:rsidR="00615F88" w:rsidRPr="00615F88" w:rsidRDefault="00411F8D" w:rsidP="00E17038">
      <w:pPr>
        <w:pStyle w:val="ListParagraph"/>
        <w:spacing w:after="0" w:line="360" w:lineRule="auto"/>
        <w:ind w:left="709" w:firstLine="709"/>
        <w:jc w:val="both"/>
        <w:rPr>
          <w:rFonts w:asciiTheme="majorBidi" w:hAnsiTheme="majorBidi" w:cstheme="majorBidi"/>
          <w:color w:val="000000"/>
          <w:kern w:val="0"/>
          <w:sz w:val="24"/>
          <w:szCs w:val="24"/>
          <w:lang w:val="sv-SE"/>
        </w:rPr>
      </w:pPr>
      <w:r w:rsidRPr="00ED5418">
        <w:rPr>
          <w:rFonts w:asciiTheme="majorBidi" w:hAnsiTheme="majorBidi" w:cstheme="majorBidi"/>
          <w:color w:val="000000"/>
          <w:kern w:val="0"/>
          <w:sz w:val="24"/>
          <w:szCs w:val="24"/>
          <w:lang w:val="sv-SE"/>
        </w:rPr>
        <w:t xml:space="preserve">Secara umum, temuan ini tidak sesuai dengan teori yang menyatakan bahwa kenaikan NPF mencerminkan tingginya risiko pembiayaan bermasalah di bank, yang seharusnya menurunkan kepercayaan nasabah terhadap lembaga keuangan tersebut. Namun dalam konteks Bank Muamalat Indonesia, kemungkinan besar nasabah telah memiliki loyalitas dan kepercayaan tinggi terhadap pengelolaan dana oleh bank. </w:t>
      </w:r>
      <w:r w:rsidRPr="00615F88">
        <w:rPr>
          <w:rFonts w:asciiTheme="majorBidi" w:hAnsiTheme="majorBidi" w:cstheme="majorBidi"/>
          <w:color w:val="000000"/>
          <w:kern w:val="0"/>
          <w:sz w:val="24"/>
          <w:szCs w:val="24"/>
          <w:lang w:val="sv-SE"/>
        </w:rPr>
        <w:t>Faktor ini bisa menjelaskan mengapa peningkatan NPF tidak serta-merta membuat nasabah menarik dana dari produk deposito mudharabah.</w:t>
      </w:r>
    </w:p>
    <w:p w14:paraId="475B81D3" w14:textId="77777777" w:rsidR="00615F88" w:rsidRPr="00615F88" w:rsidRDefault="00411F8D" w:rsidP="00615F88">
      <w:pPr>
        <w:pStyle w:val="ListParagraph"/>
        <w:spacing w:line="360" w:lineRule="auto"/>
        <w:ind w:left="709" w:firstLine="709"/>
        <w:jc w:val="both"/>
        <w:rPr>
          <w:rFonts w:asciiTheme="majorBidi" w:hAnsiTheme="majorBidi" w:cstheme="majorBidi"/>
          <w:color w:val="000000"/>
          <w:kern w:val="0"/>
          <w:sz w:val="24"/>
          <w:szCs w:val="24"/>
          <w:lang w:val="sv-SE"/>
        </w:rPr>
      </w:pPr>
      <w:r w:rsidRPr="00615F88">
        <w:rPr>
          <w:rFonts w:asciiTheme="majorBidi" w:hAnsiTheme="majorBidi" w:cstheme="majorBidi"/>
          <w:color w:val="000000"/>
          <w:kern w:val="0"/>
          <w:sz w:val="24"/>
          <w:szCs w:val="24"/>
          <w:lang w:val="sv-SE"/>
        </w:rPr>
        <w:t>Secara empiris, fluktuasi NPF selama periode 2017–2024 relatif stabil dengan kisaran di bawah 5%, masih dalam batas aman menurut ketentuan OJK. Stabilitas tersebut mungkin dianggap tidak cukup signifikan oleh investor dalam mempengaruhi keputusan penempatan dana. Oleh karena itu, hasil penelitian ini memperkuat kesimpulan bahwa risiko pembiayaan tidak memiliki pengaruh signifikan terhadap deposito mudharabah.</w:t>
      </w:r>
    </w:p>
    <w:p w14:paraId="72F3482A" w14:textId="64470E2A" w:rsidR="00D21DFD" w:rsidRPr="00AA1961" w:rsidRDefault="00411F8D" w:rsidP="00AA1961">
      <w:pPr>
        <w:pStyle w:val="ListParagraph"/>
        <w:spacing w:line="360" w:lineRule="auto"/>
        <w:ind w:left="709" w:firstLine="709"/>
        <w:jc w:val="both"/>
        <w:rPr>
          <w:rFonts w:asciiTheme="majorBidi" w:hAnsiTheme="majorBidi" w:cstheme="majorBidi"/>
          <w:sz w:val="24"/>
          <w:szCs w:val="24"/>
          <w:lang w:val="sv-SE"/>
        </w:rPr>
      </w:pPr>
      <w:r w:rsidRPr="00615F88">
        <w:rPr>
          <w:rFonts w:asciiTheme="majorBidi" w:hAnsiTheme="majorBidi" w:cstheme="majorBidi"/>
          <w:color w:val="000000"/>
          <w:kern w:val="0"/>
          <w:sz w:val="24"/>
          <w:szCs w:val="24"/>
          <w:lang w:val="sv-SE"/>
        </w:rPr>
        <w:t>Penelitian ini sejalan dengan temuan Wilda Nurhidayah (2021)</w:t>
      </w:r>
      <w:r w:rsidR="00615F88" w:rsidRPr="00615F88">
        <w:rPr>
          <w:rStyle w:val="FootnoteReference"/>
          <w:rFonts w:asciiTheme="majorBidi" w:hAnsiTheme="majorBidi" w:cstheme="majorBidi"/>
          <w:sz w:val="24"/>
          <w:szCs w:val="24"/>
          <w:lang w:val="sv-SE"/>
        </w:rPr>
        <w:t xml:space="preserve"> </w:t>
      </w:r>
      <w:r w:rsidR="00615F88" w:rsidRPr="00615F88">
        <w:rPr>
          <w:rStyle w:val="FootnoteReference"/>
          <w:rFonts w:asciiTheme="majorBidi" w:hAnsiTheme="majorBidi" w:cstheme="majorBidi"/>
          <w:sz w:val="24"/>
          <w:szCs w:val="24"/>
          <w:lang w:val="sv-SE"/>
        </w:rPr>
        <w:footnoteReference w:id="128"/>
      </w:r>
      <w:r w:rsidRPr="00615F88">
        <w:rPr>
          <w:rFonts w:asciiTheme="majorBidi" w:hAnsiTheme="majorBidi" w:cstheme="majorBidi"/>
          <w:color w:val="000000"/>
          <w:kern w:val="0"/>
          <w:sz w:val="24"/>
          <w:szCs w:val="24"/>
          <w:lang w:val="sv-SE"/>
        </w:rPr>
        <w:t xml:space="preserve">, yang juga menemukan bahwa risiko pembiayaan (NPF) </w:t>
      </w:r>
      <w:r w:rsidR="00AF5A30" w:rsidRPr="00B51544">
        <w:rPr>
          <w:rFonts w:asciiTheme="majorBidi" w:hAnsiTheme="majorBidi" w:cstheme="majorBidi"/>
          <w:sz w:val="24"/>
          <w:szCs w:val="24"/>
          <w:lang w:val="sv-SE"/>
        </w:rPr>
        <w:t xml:space="preserve">menunjukkan </w:t>
      </w:r>
      <w:r w:rsidR="00AF5A30" w:rsidRPr="00142DC5">
        <w:rPr>
          <w:rFonts w:asciiTheme="majorBidi" w:hAnsiTheme="majorBidi" w:cstheme="majorBidi"/>
          <w:sz w:val="24"/>
          <w:szCs w:val="24"/>
          <w:lang w:val="sv-SE"/>
        </w:rPr>
        <w:t>berpengaruh positif tidak signifikan</w:t>
      </w:r>
      <w:r w:rsidR="00AF5A30" w:rsidRPr="00B51544">
        <w:rPr>
          <w:rFonts w:asciiTheme="majorBidi" w:hAnsiTheme="majorBidi" w:cstheme="majorBidi"/>
          <w:sz w:val="24"/>
          <w:szCs w:val="24"/>
          <w:lang w:val="sv-SE"/>
        </w:rPr>
        <w:t xml:space="preserve"> terhadap deposito mudharabah</w:t>
      </w:r>
      <w:r w:rsidR="00AF5A30" w:rsidRPr="00B839FE">
        <w:rPr>
          <w:rFonts w:asciiTheme="majorBidi" w:hAnsiTheme="majorBidi" w:cstheme="majorBidi"/>
          <w:sz w:val="24"/>
          <w:szCs w:val="24"/>
          <w:lang w:val="sv-SE"/>
        </w:rPr>
        <w:t>.</w:t>
      </w:r>
      <w:r w:rsidRPr="00615F88">
        <w:rPr>
          <w:rFonts w:asciiTheme="majorBidi" w:hAnsiTheme="majorBidi" w:cstheme="majorBidi"/>
          <w:color w:val="000000"/>
          <w:kern w:val="0"/>
          <w:sz w:val="24"/>
          <w:szCs w:val="24"/>
          <w:lang w:val="sv-SE"/>
        </w:rPr>
        <w:t xml:space="preserve"> Namun, berbeda dengan Agung Yulianto (2016)</w:t>
      </w:r>
      <w:r w:rsidR="00615F88" w:rsidRPr="00615F88">
        <w:rPr>
          <w:rStyle w:val="FootnoteReference"/>
          <w:rFonts w:asciiTheme="majorBidi" w:hAnsiTheme="majorBidi" w:cstheme="majorBidi"/>
          <w:color w:val="000000"/>
          <w:kern w:val="0"/>
          <w:sz w:val="24"/>
          <w:szCs w:val="24"/>
          <w:lang w:val="sv-SE"/>
        </w:rPr>
        <w:footnoteReference w:id="129"/>
      </w:r>
      <w:r w:rsidRPr="00615F88">
        <w:rPr>
          <w:rFonts w:asciiTheme="majorBidi" w:hAnsiTheme="majorBidi" w:cstheme="majorBidi"/>
          <w:color w:val="000000"/>
          <w:kern w:val="0"/>
          <w:sz w:val="24"/>
          <w:szCs w:val="24"/>
          <w:lang w:val="sv-SE"/>
        </w:rPr>
        <w:t xml:space="preserve"> yang menemukan pengaruh negatif signifikan. Perbedaan hasil ini bisa disebabkan oleh objek penelitian, metode pengukuran risiko, serta tingkat variasi fluktuasi NPF yang berbeda antar bank.</w:t>
      </w:r>
    </w:p>
    <w:p w14:paraId="65B9FEED" w14:textId="57384B90" w:rsidR="00F341AD" w:rsidRPr="00B51544" w:rsidRDefault="00D21DFD" w:rsidP="00B51544">
      <w:pPr>
        <w:pStyle w:val="Heading3"/>
        <w:spacing w:line="360" w:lineRule="auto"/>
        <w:jc w:val="both"/>
        <w:rPr>
          <w:rFonts w:asciiTheme="majorBidi" w:hAnsiTheme="majorBidi"/>
          <w:b/>
          <w:bCs/>
          <w:color w:val="auto"/>
          <w:sz w:val="24"/>
          <w:szCs w:val="24"/>
          <w:lang w:val="pt-BR"/>
        </w:rPr>
      </w:pPr>
      <w:bookmarkStart w:id="87" w:name="_Toc201063338"/>
      <w:r w:rsidRPr="00B51544">
        <w:rPr>
          <w:rFonts w:asciiTheme="majorBidi" w:hAnsiTheme="majorBidi"/>
          <w:b/>
          <w:bCs/>
          <w:color w:val="auto"/>
          <w:sz w:val="24"/>
          <w:szCs w:val="24"/>
          <w:lang w:val="pt-BR"/>
        </w:rPr>
        <w:t>4.3.2 Pengaruh variabel Risiko Likuiditas (FDR) Terhadap Deposito Mudharabah</w:t>
      </w:r>
      <w:bookmarkEnd w:id="87"/>
    </w:p>
    <w:p w14:paraId="221098A5" w14:textId="342EAAA7" w:rsidR="00615F88" w:rsidRPr="00615F88" w:rsidRDefault="00615F88" w:rsidP="00615F88">
      <w:p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pt-BR"/>
        </w:rPr>
      </w:pPr>
      <w:r w:rsidRPr="00615F88">
        <w:rPr>
          <w:rFonts w:asciiTheme="majorBidi" w:hAnsiTheme="majorBidi" w:cstheme="majorBidi"/>
          <w:color w:val="000000"/>
          <w:kern w:val="0"/>
          <w:sz w:val="24"/>
          <w:szCs w:val="24"/>
          <w:lang w:val="pt-BR"/>
        </w:rPr>
        <w:t xml:space="preserve">Dari hasil regresi, nilai koefisien regresi untuk variabel risiko likuiditas (FDR) adalah sebesar </w:t>
      </w:r>
      <w:r w:rsidRPr="00611753">
        <w:rPr>
          <w:rFonts w:asciiTheme="majorBidi" w:hAnsiTheme="majorBidi" w:cstheme="majorBidi"/>
          <w:color w:val="000000"/>
          <w:kern w:val="0"/>
          <w:sz w:val="24"/>
          <w:szCs w:val="24"/>
          <w:lang w:val="pt-BR"/>
        </w:rPr>
        <w:t>-441447.6</w:t>
      </w:r>
      <w:r w:rsidRPr="00615F88">
        <w:rPr>
          <w:rFonts w:asciiTheme="majorBidi" w:hAnsiTheme="majorBidi" w:cstheme="majorBidi"/>
          <w:color w:val="000000"/>
          <w:kern w:val="0"/>
          <w:sz w:val="24"/>
          <w:szCs w:val="24"/>
          <w:lang w:val="pt-BR"/>
        </w:rPr>
        <w:t xml:space="preserve">. Nilai koefisien negatif ini menunjukkan bahwa kenaikan rasio FDR sebesar 1% akan menyebabkan penurunan deposito mudharabah sebesar 441,44 juta rupiah. Hasil uji t juga menunjukkan nilai probabilitas sebesar 0,0004 yang lebih kecil dari </w:t>
      </w:r>
      <w:r w:rsidRPr="00615F88">
        <w:rPr>
          <w:rFonts w:asciiTheme="majorBidi" w:hAnsiTheme="majorBidi" w:cstheme="majorBidi"/>
          <w:color w:val="000000"/>
          <w:kern w:val="0"/>
          <w:sz w:val="24"/>
          <w:szCs w:val="24"/>
          <w:lang w:val="pt-BR"/>
        </w:rPr>
        <w:lastRenderedPageBreak/>
        <w:t>0,05, sehingga dapat disimpulkan bahwa risiko likuiditas berpengaruh negatif signifikan terhadap deposito mudharabah.</w:t>
      </w:r>
    </w:p>
    <w:p w14:paraId="71BCAAA9" w14:textId="77777777" w:rsidR="00615F88" w:rsidRPr="00615F88" w:rsidRDefault="00615F88" w:rsidP="00615F88">
      <w:p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sv-SE"/>
        </w:rPr>
      </w:pPr>
      <w:r w:rsidRPr="00615F88">
        <w:rPr>
          <w:rFonts w:asciiTheme="majorBidi" w:hAnsiTheme="majorBidi" w:cstheme="majorBidi"/>
          <w:color w:val="000000"/>
          <w:kern w:val="0"/>
          <w:sz w:val="24"/>
          <w:szCs w:val="24"/>
          <w:lang w:val="sv-SE"/>
        </w:rPr>
        <w:t>Secara teoritis, hasil ini sesuai dengan konsep likuiditas dalam perbankan syariah. FDR yang terlalu tinggi mengindikasikan bahwa dana pihak ketiga (DPK) telah digunakan terlalu besar untuk pembiayaan, sehingga kemampuan bank dalam mencairkan dana ketika nasabah ingin menariknya kembali menjadi lebih rendah. Hal ini akan menimbulkan kekhawatiran pada nasabah terhadap potensi gagal bayar atau keterlambatan dalam pengembalian dana mereka.</w:t>
      </w:r>
    </w:p>
    <w:p w14:paraId="6DEC027D" w14:textId="77777777" w:rsidR="00615F88" w:rsidRPr="00615F88" w:rsidRDefault="00615F88" w:rsidP="00615F88">
      <w:p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sv-SE"/>
        </w:rPr>
      </w:pPr>
      <w:r w:rsidRPr="00615F88">
        <w:rPr>
          <w:rFonts w:asciiTheme="majorBidi" w:hAnsiTheme="majorBidi" w:cstheme="majorBidi"/>
          <w:color w:val="000000"/>
          <w:kern w:val="0"/>
          <w:sz w:val="24"/>
          <w:szCs w:val="24"/>
          <w:lang w:val="sv-SE"/>
        </w:rPr>
        <w:t>Data triwulanan Bank Muamalat Indonesia menunjukkan bahwa FDR mengalami fluktuasi yang signifikan selama periode 2017–2024. Pada tahun 2021 Q4, nilai FDR sempat menyentuh titik terendah di 38,33%, sedangkan puncaknya terjadi pada 2017 Q1 sebesar 90,93%. Ketika FDR menurun (artinya likuiditas bank membaik), nilai deposito mudharabah cenderung meningkat. Begitu pula sebaliknya.</w:t>
      </w:r>
    </w:p>
    <w:p w14:paraId="1228613C" w14:textId="5455F0DC" w:rsidR="00615F88" w:rsidRPr="00615F88" w:rsidRDefault="00615F88" w:rsidP="00615F88">
      <w:p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sv-SE"/>
        </w:rPr>
      </w:pPr>
      <w:r w:rsidRPr="00615F88">
        <w:rPr>
          <w:rFonts w:asciiTheme="majorBidi" w:hAnsiTheme="majorBidi" w:cstheme="majorBidi"/>
          <w:color w:val="000000"/>
          <w:kern w:val="0"/>
          <w:sz w:val="24"/>
          <w:szCs w:val="24"/>
          <w:lang w:val="sv-SE"/>
        </w:rPr>
        <w:t>Hasil ini sejalan dengan penelitian Firda Izzati Febriani (2019)</w:t>
      </w:r>
      <w:r w:rsidRPr="00611753">
        <w:rPr>
          <w:rStyle w:val="FootnoteReference"/>
          <w:rFonts w:asciiTheme="majorBidi" w:hAnsiTheme="majorBidi" w:cstheme="majorBidi"/>
          <w:color w:val="000000"/>
          <w:kern w:val="0"/>
          <w:sz w:val="24"/>
          <w:szCs w:val="24"/>
          <w:lang w:val="sv-SE"/>
        </w:rPr>
        <w:footnoteReference w:id="130"/>
      </w:r>
      <w:r w:rsidRPr="00615F88">
        <w:rPr>
          <w:rFonts w:asciiTheme="majorBidi" w:hAnsiTheme="majorBidi" w:cstheme="majorBidi"/>
          <w:color w:val="000000"/>
          <w:kern w:val="0"/>
          <w:sz w:val="24"/>
          <w:szCs w:val="24"/>
          <w:lang w:val="sv-SE"/>
        </w:rPr>
        <w:t xml:space="preserve"> dan Shoona Kabila (2020)</w:t>
      </w:r>
      <w:r w:rsidR="00611753" w:rsidRPr="00611753">
        <w:rPr>
          <w:rStyle w:val="FootnoteReference"/>
          <w:rFonts w:asciiTheme="majorBidi" w:hAnsiTheme="majorBidi" w:cstheme="majorBidi"/>
          <w:color w:val="000000"/>
          <w:kern w:val="0"/>
          <w:sz w:val="24"/>
          <w:szCs w:val="24"/>
          <w:lang w:val="sv-SE"/>
        </w:rPr>
        <w:footnoteReference w:id="131"/>
      </w:r>
      <w:r w:rsidRPr="00615F88">
        <w:rPr>
          <w:rFonts w:asciiTheme="majorBidi" w:hAnsiTheme="majorBidi" w:cstheme="majorBidi"/>
          <w:color w:val="000000"/>
          <w:kern w:val="0"/>
          <w:sz w:val="24"/>
          <w:szCs w:val="24"/>
          <w:lang w:val="sv-SE"/>
        </w:rPr>
        <w:t xml:space="preserve"> yang menunjukkan bahwa FDR memiliki pengaruh negatif terhadap deposito mudharabah. Penelitian ini juga memperkuat argumentasi bahwa nasabah saat ini semakin selektif dalam menilai kinerja likuiditas bank sebelum memutuskan untuk berinvestasi dalam produk deposito jangka panjang.</w:t>
      </w:r>
    </w:p>
    <w:p w14:paraId="38E0D038" w14:textId="77777777" w:rsidR="00947CBB" w:rsidRPr="00615F88" w:rsidRDefault="00947CBB" w:rsidP="00B51544">
      <w:pPr>
        <w:tabs>
          <w:tab w:val="left" w:pos="240"/>
          <w:tab w:val="left" w:pos="480"/>
          <w:tab w:val="left" w:pos="709"/>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jc w:val="both"/>
        <w:rPr>
          <w:rFonts w:asciiTheme="majorBidi" w:hAnsiTheme="majorBidi" w:cstheme="majorBidi"/>
          <w:sz w:val="24"/>
          <w:szCs w:val="24"/>
          <w:lang w:val="sv-SE"/>
        </w:rPr>
      </w:pPr>
    </w:p>
    <w:p w14:paraId="67D3F81E" w14:textId="5390FFD9" w:rsidR="00947CBB" w:rsidRPr="00B51544" w:rsidRDefault="00947CBB" w:rsidP="00B51544">
      <w:pPr>
        <w:pStyle w:val="Heading3"/>
        <w:spacing w:line="360" w:lineRule="auto"/>
        <w:jc w:val="both"/>
        <w:rPr>
          <w:rFonts w:asciiTheme="majorBidi" w:hAnsiTheme="majorBidi"/>
          <w:b/>
          <w:bCs/>
          <w:color w:val="auto"/>
          <w:sz w:val="24"/>
          <w:szCs w:val="24"/>
          <w:lang w:val="pt-BR"/>
        </w:rPr>
      </w:pPr>
      <w:bookmarkStart w:id="88" w:name="_Toc201063339"/>
      <w:r w:rsidRPr="00B51544">
        <w:rPr>
          <w:rFonts w:asciiTheme="majorBidi" w:hAnsiTheme="majorBidi"/>
          <w:b/>
          <w:bCs/>
          <w:color w:val="auto"/>
          <w:sz w:val="24"/>
          <w:szCs w:val="24"/>
          <w:lang w:val="pt-BR"/>
        </w:rPr>
        <w:t>4.3.3 Pengaruh Variabel Nisbah Bagi Hasil Terhadap Deposito Mudharabah</w:t>
      </w:r>
      <w:bookmarkEnd w:id="88"/>
    </w:p>
    <w:p w14:paraId="1AA657FC" w14:textId="48AC23A0" w:rsidR="00611753" w:rsidRPr="00AF5A30" w:rsidRDefault="00611753" w:rsidP="00611753">
      <w:pPr>
        <w:tabs>
          <w:tab w:val="left" w:pos="240"/>
          <w:tab w:val="left" w:pos="480"/>
          <w:tab w:val="left" w:pos="709"/>
          <w:tab w:val="left" w:pos="960"/>
          <w:tab w:val="left" w:pos="1200"/>
          <w:tab w:val="left" w:pos="1440"/>
          <w:tab w:val="left" w:pos="1680"/>
          <w:tab w:val="left" w:pos="1920"/>
          <w:tab w:val="left" w:pos="2160"/>
          <w:tab w:val="left" w:pos="241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pt-BR"/>
        </w:rPr>
      </w:pPr>
      <w:r w:rsidRPr="00611753">
        <w:rPr>
          <w:rFonts w:asciiTheme="majorBidi" w:hAnsiTheme="majorBidi" w:cstheme="majorBidi"/>
          <w:color w:val="000000"/>
          <w:kern w:val="0"/>
          <w:sz w:val="24"/>
          <w:szCs w:val="24"/>
          <w:lang w:val="pt-BR"/>
        </w:rPr>
        <w:t xml:space="preserve">Hasil uji regresi linier berganda menunjukkan bahwa variabel nisbah bagi hasil memiliki nilai koefisien sebesar </w:t>
      </w:r>
      <w:r w:rsidRPr="00990133">
        <w:rPr>
          <w:rFonts w:asciiTheme="majorBidi" w:hAnsiTheme="majorBidi" w:cstheme="majorBidi"/>
          <w:color w:val="000000"/>
          <w:kern w:val="0"/>
          <w:sz w:val="24"/>
          <w:szCs w:val="24"/>
          <w:lang w:val="pt-BR"/>
        </w:rPr>
        <w:t>80376.41</w:t>
      </w:r>
      <w:r w:rsidRPr="00611753">
        <w:rPr>
          <w:rFonts w:asciiTheme="majorBidi" w:hAnsiTheme="majorBidi" w:cstheme="majorBidi"/>
          <w:color w:val="000000"/>
          <w:kern w:val="0"/>
          <w:sz w:val="24"/>
          <w:szCs w:val="24"/>
          <w:lang w:val="pt-BR"/>
        </w:rPr>
        <w:t xml:space="preserve">. Artinya, setiap kenaikan 1% dalam nisbah akan meningkatkan jumlah deposito mudharabah sebesar 80,37 juta rupiah. </w:t>
      </w:r>
      <w:r w:rsidRPr="00AF5A30">
        <w:rPr>
          <w:rFonts w:asciiTheme="majorBidi" w:hAnsiTheme="majorBidi" w:cstheme="majorBidi"/>
          <w:color w:val="000000"/>
          <w:kern w:val="0"/>
          <w:sz w:val="24"/>
          <w:szCs w:val="24"/>
          <w:lang w:val="pt-BR"/>
        </w:rPr>
        <w:t xml:space="preserve">Namun, hasil uji t menghasilkan nilai probabilitas sebesar 0,7223 (&gt; 0,05), sehingga </w:t>
      </w:r>
      <w:r w:rsidR="00AF5A30" w:rsidRPr="00AF5A30">
        <w:rPr>
          <w:rFonts w:asciiTheme="majorBidi" w:hAnsiTheme="majorBidi" w:cstheme="majorBidi"/>
          <w:color w:val="000000"/>
          <w:kern w:val="0"/>
          <w:sz w:val="24"/>
          <w:szCs w:val="24"/>
          <w:lang w:val="pt-BR"/>
        </w:rPr>
        <w:t>dapat disimpulkan be</w:t>
      </w:r>
      <w:r w:rsidR="00AF5A30">
        <w:rPr>
          <w:rFonts w:asciiTheme="majorBidi" w:hAnsiTheme="majorBidi" w:cstheme="majorBidi"/>
          <w:color w:val="000000"/>
          <w:kern w:val="0"/>
          <w:sz w:val="24"/>
          <w:szCs w:val="24"/>
          <w:lang w:val="pt-BR"/>
        </w:rPr>
        <w:t>r</w:t>
      </w:r>
      <w:r w:rsidRPr="00AF5A30">
        <w:rPr>
          <w:rFonts w:asciiTheme="majorBidi" w:hAnsiTheme="majorBidi" w:cstheme="majorBidi"/>
          <w:color w:val="000000"/>
          <w:kern w:val="0"/>
          <w:sz w:val="24"/>
          <w:szCs w:val="24"/>
          <w:lang w:val="pt-BR"/>
        </w:rPr>
        <w:t>pengaruh</w:t>
      </w:r>
      <w:r w:rsidR="00AF5A30">
        <w:rPr>
          <w:rFonts w:asciiTheme="majorBidi" w:hAnsiTheme="majorBidi" w:cstheme="majorBidi"/>
          <w:color w:val="000000"/>
          <w:kern w:val="0"/>
          <w:sz w:val="24"/>
          <w:szCs w:val="24"/>
          <w:lang w:val="pt-BR"/>
        </w:rPr>
        <w:t xml:space="preserve"> positif tetapi</w:t>
      </w:r>
      <w:r w:rsidRPr="00AF5A30">
        <w:rPr>
          <w:rFonts w:asciiTheme="majorBidi" w:hAnsiTheme="majorBidi" w:cstheme="majorBidi"/>
          <w:color w:val="000000"/>
          <w:kern w:val="0"/>
          <w:sz w:val="24"/>
          <w:szCs w:val="24"/>
          <w:lang w:val="pt-BR"/>
        </w:rPr>
        <w:t xml:space="preserve"> tidak signifikan secara statistik.</w:t>
      </w:r>
    </w:p>
    <w:p w14:paraId="7A8A3097" w14:textId="77777777" w:rsidR="00611753" w:rsidRPr="00611753" w:rsidRDefault="00611753" w:rsidP="00611753">
      <w:pPr>
        <w:tabs>
          <w:tab w:val="left" w:pos="240"/>
          <w:tab w:val="left" w:pos="480"/>
          <w:tab w:val="left" w:pos="709"/>
          <w:tab w:val="left" w:pos="960"/>
          <w:tab w:val="left" w:pos="1200"/>
          <w:tab w:val="left" w:pos="1440"/>
          <w:tab w:val="left" w:pos="1680"/>
          <w:tab w:val="left" w:pos="1920"/>
          <w:tab w:val="left" w:pos="2160"/>
          <w:tab w:val="left" w:pos="241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sv-SE"/>
        </w:rPr>
      </w:pPr>
      <w:r w:rsidRPr="00ED5418">
        <w:rPr>
          <w:rFonts w:asciiTheme="majorBidi" w:hAnsiTheme="majorBidi" w:cstheme="majorBidi"/>
          <w:color w:val="000000"/>
          <w:kern w:val="0"/>
          <w:sz w:val="24"/>
          <w:szCs w:val="24"/>
          <w:lang w:val="pt-BR"/>
        </w:rPr>
        <w:t xml:space="preserve">Secara teoritis, nisbah bagi hasil merupakan faktor penting dalam mempengaruhi keputusan nasabah untuk berinvestasi pada deposito mudharabah. Dalam sistem mudharabah, nasabah (shahibul mal) menilai potensi return yang ditawarkan oleh bank sebagai bentuk kompensasi atas risiko yang ditanggung. </w:t>
      </w:r>
      <w:r w:rsidRPr="00611753">
        <w:rPr>
          <w:rFonts w:asciiTheme="majorBidi" w:hAnsiTheme="majorBidi" w:cstheme="majorBidi"/>
          <w:color w:val="000000"/>
          <w:kern w:val="0"/>
          <w:sz w:val="24"/>
          <w:szCs w:val="24"/>
          <w:lang w:val="sv-SE"/>
        </w:rPr>
        <w:t>Oleh karena itu, semakin tinggi nisbah, maka semakin besar pula potensi bagi hasil yang akan diperoleh.</w:t>
      </w:r>
    </w:p>
    <w:p w14:paraId="22770D17" w14:textId="77777777" w:rsidR="00611753" w:rsidRPr="00611753" w:rsidRDefault="00611753" w:rsidP="00611753">
      <w:pPr>
        <w:tabs>
          <w:tab w:val="left" w:pos="240"/>
          <w:tab w:val="left" w:pos="480"/>
          <w:tab w:val="left" w:pos="709"/>
          <w:tab w:val="left" w:pos="960"/>
          <w:tab w:val="left" w:pos="1200"/>
          <w:tab w:val="left" w:pos="1440"/>
          <w:tab w:val="left" w:pos="1680"/>
          <w:tab w:val="left" w:pos="1920"/>
          <w:tab w:val="left" w:pos="2160"/>
          <w:tab w:val="left" w:pos="241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sv-SE"/>
        </w:rPr>
      </w:pPr>
      <w:r w:rsidRPr="00611753">
        <w:rPr>
          <w:rFonts w:asciiTheme="majorBidi" w:hAnsiTheme="majorBidi" w:cstheme="majorBidi"/>
          <w:color w:val="000000"/>
          <w:kern w:val="0"/>
          <w:sz w:val="24"/>
          <w:szCs w:val="24"/>
          <w:lang w:val="sv-SE"/>
        </w:rPr>
        <w:lastRenderedPageBreak/>
        <w:t>Namun dalam konteks Bank Muamalat Indonesia periode 2017–2024, tingkat nisbah relatif stabil dan tidak mengalami lonjakan yang signifikan. Stabilitas ini kemungkinan besar membuat perbedaan nisbah antar tahun tidak cukup menarik untuk memicu perubahan besar dalam keputusan investasi nasabah. Faktor-faktor non-finansial seperti reputasi bank, kemudahan layanan, dan faktor keamanan dana tampaknya lebih dominan dibanding nisbah murni sebagai pertimbangan utama.</w:t>
      </w:r>
    </w:p>
    <w:p w14:paraId="6EA74978" w14:textId="19BAAC05" w:rsidR="00950249" w:rsidRPr="00E17038" w:rsidRDefault="00611753" w:rsidP="00E17038">
      <w:pPr>
        <w:tabs>
          <w:tab w:val="left" w:pos="240"/>
          <w:tab w:val="left" w:pos="480"/>
          <w:tab w:val="left" w:pos="709"/>
          <w:tab w:val="left" w:pos="960"/>
          <w:tab w:val="left" w:pos="1200"/>
          <w:tab w:val="left" w:pos="1440"/>
          <w:tab w:val="left" w:pos="1680"/>
          <w:tab w:val="left" w:pos="1920"/>
          <w:tab w:val="left" w:pos="2160"/>
          <w:tab w:val="left" w:pos="241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360" w:lineRule="auto"/>
        <w:ind w:left="709" w:firstLine="709"/>
        <w:jc w:val="both"/>
        <w:rPr>
          <w:rFonts w:asciiTheme="majorBidi" w:hAnsiTheme="majorBidi" w:cstheme="majorBidi"/>
          <w:color w:val="000000"/>
          <w:kern w:val="0"/>
          <w:sz w:val="24"/>
          <w:szCs w:val="24"/>
          <w:lang w:val="sv-SE"/>
        </w:rPr>
      </w:pPr>
      <w:r w:rsidRPr="00611753">
        <w:rPr>
          <w:rFonts w:asciiTheme="majorBidi" w:hAnsiTheme="majorBidi" w:cstheme="majorBidi"/>
          <w:color w:val="000000"/>
          <w:kern w:val="0"/>
          <w:sz w:val="24"/>
          <w:szCs w:val="24"/>
          <w:lang w:val="sv-SE"/>
        </w:rPr>
        <w:t>Temuan ini sejalan dengan hasil penelitian Fauzan (2016)</w:t>
      </w:r>
      <w:r w:rsidRPr="00990133">
        <w:rPr>
          <w:rStyle w:val="FootnoteReference"/>
          <w:rFonts w:asciiTheme="majorBidi" w:hAnsiTheme="majorBidi" w:cstheme="majorBidi"/>
          <w:color w:val="000000"/>
          <w:kern w:val="0"/>
          <w:sz w:val="24"/>
          <w:szCs w:val="24"/>
          <w:lang w:val="sv-SE"/>
        </w:rPr>
        <w:footnoteReference w:id="132"/>
      </w:r>
      <w:r w:rsidRPr="00611753">
        <w:rPr>
          <w:rFonts w:asciiTheme="majorBidi" w:hAnsiTheme="majorBidi" w:cstheme="majorBidi"/>
          <w:color w:val="000000"/>
          <w:kern w:val="0"/>
          <w:sz w:val="24"/>
          <w:szCs w:val="24"/>
          <w:lang w:val="sv-SE"/>
        </w:rPr>
        <w:t xml:space="preserve"> dan Anggi (2020)</w:t>
      </w:r>
      <w:r w:rsidRPr="00990133">
        <w:rPr>
          <w:rStyle w:val="FootnoteReference"/>
          <w:rFonts w:asciiTheme="majorBidi" w:hAnsiTheme="majorBidi" w:cstheme="majorBidi"/>
          <w:color w:val="000000"/>
          <w:kern w:val="0"/>
          <w:sz w:val="24"/>
          <w:szCs w:val="24"/>
          <w:lang w:val="sv-SE"/>
        </w:rPr>
        <w:footnoteReference w:id="133"/>
      </w:r>
      <w:r w:rsidRPr="00611753">
        <w:rPr>
          <w:rFonts w:asciiTheme="majorBidi" w:hAnsiTheme="majorBidi" w:cstheme="majorBidi"/>
          <w:color w:val="000000"/>
          <w:kern w:val="0"/>
          <w:sz w:val="24"/>
          <w:szCs w:val="24"/>
          <w:lang w:val="sv-SE"/>
        </w:rPr>
        <w:t xml:space="preserve"> yang juga menemukan bahwa nisbah bagi hasil berpengaruh </w:t>
      </w:r>
      <w:r w:rsidR="00AF5A30">
        <w:rPr>
          <w:rFonts w:asciiTheme="majorBidi" w:hAnsiTheme="majorBidi" w:cstheme="majorBidi"/>
          <w:color w:val="000000"/>
          <w:kern w:val="0"/>
          <w:sz w:val="24"/>
          <w:szCs w:val="24"/>
          <w:lang w:val="sv-SE"/>
        </w:rPr>
        <w:t xml:space="preserve">positif tetapi tidak </w:t>
      </w:r>
      <w:r w:rsidRPr="00611753">
        <w:rPr>
          <w:rFonts w:asciiTheme="majorBidi" w:hAnsiTheme="majorBidi" w:cstheme="majorBidi"/>
          <w:color w:val="000000"/>
          <w:kern w:val="0"/>
          <w:sz w:val="24"/>
          <w:szCs w:val="24"/>
          <w:lang w:val="sv-SE"/>
        </w:rPr>
        <w:t>signifikan terhadap deposito mudharabah. Namun hasil ini bertentangan dengan Rika Putri Nur Alinda (2016)</w:t>
      </w:r>
      <w:r w:rsidRPr="00990133">
        <w:rPr>
          <w:rStyle w:val="FootnoteReference"/>
          <w:rFonts w:asciiTheme="majorBidi" w:hAnsiTheme="majorBidi" w:cstheme="majorBidi"/>
          <w:color w:val="000000"/>
          <w:kern w:val="0"/>
          <w:sz w:val="24"/>
          <w:szCs w:val="24"/>
          <w:lang w:val="sv-SE"/>
        </w:rPr>
        <w:footnoteReference w:id="134"/>
      </w:r>
      <w:r w:rsidRPr="00611753">
        <w:rPr>
          <w:rFonts w:asciiTheme="majorBidi" w:hAnsiTheme="majorBidi" w:cstheme="majorBidi"/>
          <w:color w:val="000000"/>
          <w:kern w:val="0"/>
          <w:sz w:val="24"/>
          <w:szCs w:val="24"/>
          <w:lang w:val="sv-SE"/>
        </w:rPr>
        <w:t xml:space="preserve"> dan Nafisah Wahyu Fauziyah (2022)</w:t>
      </w:r>
      <w:r w:rsidRPr="00990133">
        <w:rPr>
          <w:rStyle w:val="FootnoteReference"/>
          <w:rFonts w:asciiTheme="majorBidi" w:hAnsiTheme="majorBidi" w:cstheme="majorBidi"/>
          <w:color w:val="000000"/>
          <w:kern w:val="0"/>
          <w:sz w:val="24"/>
          <w:szCs w:val="24"/>
          <w:lang w:val="sv-SE"/>
        </w:rPr>
        <w:footnoteReference w:id="135"/>
      </w:r>
      <w:r w:rsidRPr="00611753">
        <w:rPr>
          <w:rFonts w:asciiTheme="majorBidi" w:hAnsiTheme="majorBidi" w:cstheme="majorBidi"/>
          <w:color w:val="000000"/>
          <w:kern w:val="0"/>
          <w:sz w:val="24"/>
          <w:szCs w:val="24"/>
          <w:lang w:val="sv-SE"/>
        </w:rPr>
        <w:t xml:space="preserve"> yang menyatakan bahwa nisbah memiliki pengaruh positif signifikan.</w:t>
      </w:r>
    </w:p>
    <w:p w14:paraId="746C64A3" w14:textId="77777777" w:rsidR="00AA1961" w:rsidRDefault="00AA1961" w:rsidP="00990133">
      <w:pPr>
        <w:spacing w:line="360" w:lineRule="auto"/>
        <w:ind w:left="709" w:firstLine="709"/>
        <w:jc w:val="both"/>
        <w:rPr>
          <w:rFonts w:asciiTheme="majorBidi" w:hAnsiTheme="majorBidi" w:cstheme="majorBidi"/>
          <w:sz w:val="24"/>
          <w:szCs w:val="24"/>
          <w:lang w:val="sv-SE"/>
        </w:rPr>
      </w:pPr>
    </w:p>
    <w:p w14:paraId="10B818DC" w14:textId="77777777" w:rsidR="00AA1961" w:rsidRDefault="00AA1961" w:rsidP="00990133">
      <w:pPr>
        <w:spacing w:line="360" w:lineRule="auto"/>
        <w:ind w:left="709" w:firstLine="709"/>
        <w:jc w:val="both"/>
        <w:rPr>
          <w:rFonts w:asciiTheme="majorBidi" w:hAnsiTheme="majorBidi" w:cstheme="majorBidi"/>
          <w:sz w:val="24"/>
          <w:szCs w:val="24"/>
          <w:lang w:val="sv-SE"/>
        </w:rPr>
      </w:pPr>
    </w:p>
    <w:bookmarkEnd w:id="71"/>
    <w:p w14:paraId="6DE2494F" w14:textId="77777777" w:rsidR="00AA1961" w:rsidRDefault="00AA1961" w:rsidP="00990133">
      <w:pPr>
        <w:spacing w:line="360" w:lineRule="auto"/>
        <w:ind w:left="709" w:firstLine="709"/>
        <w:jc w:val="both"/>
        <w:rPr>
          <w:rFonts w:asciiTheme="majorBidi" w:hAnsiTheme="majorBidi" w:cstheme="majorBidi"/>
          <w:sz w:val="24"/>
          <w:szCs w:val="24"/>
          <w:lang w:val="sv-SE"/>
        </w:rPr>
      </w:pPr>
    </w:p>
    <w:p w14:paraId="6CE9085C" w14:textId="77777777" w:rsidR="00AA1961" w:rsidRDefault="00AA1961" w:rsidP="00990133">
      <w:pPr>
        <w:spacing w:line="360" w:lineRule="auto"/>
        <w:ind w:left="709" w:firstLine="709"/>
        <w:jc w:val="both"/>
        <w:rPr>
          <w:rFonts w:asciiTheme="majorBidi" w:hAnsiTheme="majorBidi" w:cstheme="majorBidi"/>
          <w:sz w:val="24"/>
          <w:szCs w:val="24"/>
          <w:lang w:val="sv-SE"/>
        </w:rPr>
      </w:pPr>
    </w:p>
    <w:p w14:paraId="5B95261A" w14:textId="77777777" w:rsidR="00484DA9" w:rsidRDefault="00484DA9" w:rsidP="00990133">
      <w:pPr>
        <w:spacing w:line="360" w:lineRule="auto"/>
        <w:ind w:left="709" w:firstLine="709"/>
        <w:jc w:val="both"/>
        <w:rPr>
          <w:rFonts w:asciiTheme="majorBidi" w:hAnsiTheme="majorBidi" w:cstheme="majorBidi"/>
          <w:sz w:val="24"/>
          <w:szCs w:val="24"/>
          <w:lang w:val="sv-SE"/>
        </w:rPr>
      </w:pPr>
    </w:p>
    <w:p w14:paraId="5ADDFE25" w14:textId="77777777" w:rsidR="00484DA9" w:rsidRDefault="00484DA9" w:rsidP="00990133">
      <w:pPr>
        <w:spacing w:line="360" w:lineRule="auto"/>
        <w:ind w:left="709" w:firstLine="709"/>
        <w:jc w:val="both"/>
        <w:rPr>
          <w:rFonts w:asciiTheme="majorBidi" w:hAnsiTheme="majorBidi" w:cstheme="majorBidi"/>
          <w:sz w:val="24"/>
          <w:szCs w:val="24"/>
          <w:lang w:val="sv-SE"/>
        </w:rPr>
      </w:pPr>
    </w:p>
    <w:p w14:paraId="41EFF457" w14:textId="77777777" w:rsidR="00484DA9" w:rsidRDefault="00484DA9" w:rsidP="00990133">
      <w:pPr>
        <w:spacing w:line="360" w:lineRule="auto"/>
        <w:ind w:left="709" w:firstLine="709"/>
        <w:jc w:val="both"/>
        <w:rPr>
          <w:rFonts w:asciiTheme="majorBidi" w:hAnsiTheme="majorBidi" w:cstheme="majorBidi"/>
          <w:sz w:val="24"/>
          <w:szCs w:val="24"/>
          <w:lang w:val="sv-SE"/>
        </w:rPr>
      </w:pPr>
    </w:p>
    <w:p w14:paraId="4EC7D5F2" w14:textId="77777777" w:rsidR="00484DA9" w:rsidRDefault="00484DA9" w:rsidP="00990133">
      <w:pPr>
        <w:spacing w:line="360" w:lineRule="auto"/>
        <w:ind w:left="709" w:firstLine="709"/>
        <w:jc w:val="both"/>
        <w:rPr>
          <w:rFonts w:asciiTheme="majorBidi" w:hAnsiTheme="majorBidi" w:cstheme="majorBidi"/>
          <w:sz w:val="24"/>
          <w:szCs w:val="24"/>
          <w:lang w:val="sv-SE"/>
        </w:rPr>
      </w:pPr>
    </w:p>
    <w:p w14:paraId="071EDFEF" w14:textId="77777777" w:rsidR="00484DA9" w:rsidRDefault="00484DA9" w:rsidP="00990133">
      <w:pPr>
        <w:spacing w:line="360" w:lineRule="auto"/>
        <w:ind w:left="709" w:firstLine="709"/>
        <w:jc w:val="both"/>
        <w:rPr>
          <w:rFonts w:asciiTheme="majorBidi" w:hAnsiTheme="majorBidi" w:cstheme="majorBidi"/>
          <w:sz w:val="24"/>
          <w:szCs w:val="24"/>
          <w:lang w:val="sv-SE"/>
        </w:rPr>
      </w:pPr>
    </w:p>
    <w:bookmarkEnd w:id="72"/>
    <w:p w14:paraId="309AC863" w14:textId="77777777" w:rsidR="00484DA9" w:rsidRDefault="00484DA9" w:rsidP="00990133">
      <w:pPr>
        <w:spacing w:line="360" w:lineRule="auto"/>
        <w:ind w:left="709" w:firstLine="709"/>
        <w:jc w:val="both"/>
        <w:rPr>
          <w:rFonts w:asciiTheme="majorBidi" w:hAnsiTheme="majorBidi" w:cstheme="majorBidi"/>
          <w:sz w:val="24"/>
          <w:szCs w:val="24"/>
          <w:lang w:val="sv-SE"/>
        </w:rPr>
      </w:pPr>
    </w:p>
    <w:p w14:paraId="6578A5CF" w14:textId="77777777" w:rsidR="00484DA9" w:rsidRDefault="00484DA9" w:rsidP="00990133">
      <w:pPr>
        <w:spacing w:line="360" w:lineRule="auto"/>
        <w:ind w:left="709" w:firstLine="709"/>
        <w:jc w:val="both"/>
        <w:rPr>
          <w:rFonts w:asciiTheme="majorBidi" w:hAnsiTheme="majorBidi" w:cstheme="majorBidi"/>
          <w:sz w:val="24"/>
          <w:szCs w:val="24"/>
          <w:lang w:val="sv-SE"/>
        </w:rPr>
      </w:pPr>
    </w:p>
    <w:p w14:paraId="166AD60A" w14:textId="77777777" w:rsidR="00484DA9" w:rsidRPr="00990133" w:rsidRDefault="00484DA9" w:rsidP="00E17038">
      <w:pPr>
        <w:spacing w:line="360" w:lineRule="auto"/>
        <w:jc w:val="both"/>
        <w:rPr>
          <w:rFonts w:asciiTheme="majorBidi" w:hAnsiTheme="majorBidi" w:cstheme="majorBidi"/>
          <w:sz w:val="24"/>
          <w:szCs w:val="24"/>
          <w:lang w:val="sv-SE"/>
        </w:rPr>
      </w:pPr>
    </w:p>
    <w:p w14:paraId="0F092698" w14:textId="0405CFBE" w:rsidR="00950249" w:rsidRPr="00B51544" w:rsidRDefault="00950249" w:rsidP="008B2471">
      <w:pPr>
        <w:pStyle w:val="Heading1"/>
        <w:spacing w:line="360" w:lineRule="auto"/>
        <w:jc w:val="center"/>
        <w:rPr>
          <w:rFonts w:asciiTheme="majorBidi" w:hAnsiTheme="majorBidi"/>
          <w:b/>
          <w:bCs/>
          <w:color w:val="auto"/>
          <w:sz w:val="24"/>
          <w:szCs w:val="24"/>
          <w:lang w:val="sv-SE"/>
        </w:rPr>
      </w:pPr>
      <w:bookmarkStart w:id="89" w:name="_Toc201063341"/>
      <w:bookmarkStart w:id="90" w:name="_Hlk202764210"/>
      <w:bookmarkStart w:id="91" w:name="_Hlk201244108"/>
      <w:r w:rsidRPr="00B51544">
        <w:rPr>
          <w:rFonts w:asciiTheme="majorBidi" w:hAnsiTheme="majorBidi"/>
          <w:b/>
          <w:bCs/>
          <w:color w:val="auto"/>
          <w:sz w:val="24"/>
          <w:szCs w:val="24"/>
          <w:lang w:val="sv-SE"/>
        </w:rPr>
        <w:lastRenderedPageBreak/>
        <w:t>BAB V</w:t>
      </w:r>
      <w:r w:rsidR="008B2471">
        <w:rPr>
          <w:rFonts w:asciiTheme="majorBidi" w:hAnsiTheme="majorBidi"/>
          <w:b/>
          <w:bCs/>
          <w:color w:val="auto"/>
          <w:sz w:val="24"/>
          <w:szCs w:val="24"/>
          <w:lang w:val="sv-SE"/>
        </w:rPr>
        <w:br/>
      </w:r>
      <w:r w:rsidRPr="00B51544">
        <w:rPr>
          <w:rFonts w:asciiTheme="majorBidi" w:hAnsiTheme="majorBidi"/>
          <w:b/>
          <w:bCs/>
          <w:color w:val="auto"/>
          <w:sz w:val="24"/>
          <w:szCs w:val="24"/>
          <w:lang w:val="sv-SE"/>
        </w:rPr>
        <w:t>PENUTUP</w:t>
      </w:r>
      <w:bookmarkEnd w:id="89"/>
    </w:p>
    <w:p w14:paraId="214F208D" w14:textId="77777777" w:rsidR="00484DA9" w:rsidRPr="00B51544" w:rsidRDefault="00484DA9" w:rsidP="00B51544">
      <w:pPr>
        <w:spacing w:line="360" w:lineRule="auto"/>
        <w:jc w:val="both"/>
        <w:rPr>
          <w:rFonts w:asciiTheme="majorBidi" w:hAnsiTheme="majorBidi" w:cstheme="majorBidi"/>
          <w:b/>
          <w:bCs/>
          <w:sz w:val="24"/>
          <w:szCs w:val="24"/>
          <w:lang w:val="sv-SE"/>
        </w:rPr>
      </w:pPr>
    </w:p>
    <w:p w14:paraId="40CA2CC8" w14:textId="5BCAF7C8" w:rsidR="00CC2E64" w:rsidRPr="00B51544" w:rsidRDefault="00CC2E64">
      <w:pPr>
        <w:pStyle w:val="Heading2"/>
        <w:numPr>
          <w:ilvl w:val="1"/>
          <w:numId w:val="6"/>
        </w:numPr>
        <w:tabs>
          <w:tab w:val="left" w:pos="426"/>
        </w:tabs>
        <w:spacing w:line="360" w:lineRule="auto"/>
        <w:ind w:left="0" w:firstLine="0"/>
        <w:jc w:val="both"/>
        <w:rPr>
          <w:rFonts w:asciiTheme="majorBidi" w:hAnsiTheme="majorBidi"/>
          <w:b/>
          <w:bCs/>
          <w:color w:val="auto"/>
          <w:sz w:val="24"/>
          <w:szCs w:val="24"/>
          <w:lang w:val="sv-SE"/>
        </w:rPr>
      </w:pPr>
      <w:bookmarkStart w:id="92" w:name="_Toc201063342"/>
      <w:r w:rsidRPr="00B51544">
        <w:rPr>
          <w:rFonts w:asciiTheme="majorBidi" w:hAnsiTheme="majorBidi"/>
          <w:b/>
          <w:bCs/>
          <w:color w:val="auto"/>
          <w:sz w:val="24"/>
          <w:szCs w:val="24"/>
          <w:lang w:val="sv-SE"/>
        </w:rPr>
        <w:t>Kesimpulan</w:t>
      </w:r>
      <w:bookmarkEnd w:id="92"/>
    </w:p>
    <w:p w14:paraId="11ED6867" w14:textId="168E38D1" w:rsidR="00CC2E64" w:rsidRPr="00B51544" w:rsidRDefault="00487240" w:rsidP="005A46E0">
      <w:pPr>
        <w:pStyle w:val="ListParagraph"/>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Penelitian ini bertujuan untuk menguji pengaruh Risiko Pembiayaan (NPF), Risiko Likuiditas (FDR), dan Nisbah Bagi Hasil terhadap Deposito Mudharabah di Bank Muamalat Indonesia periode 2017-2024. Berdasarkan hasil analisis data yang telah dilakukan, maka diperoleh kesimpulan sebagai berikut :</w:t>
      </w:r>
    </w:p>
    <w:p w14:paraId="7E5DA2B5" w14:textId="771CE5F2" w:rsidR="008A00A5" w:rsidRPr="005A46E0" w:rsidRDefault="00487240">
      <w:pPr>
        <w:pStyle w:val="ListParagraph"/>
        <w:numPr>
          <w:ilvl w:val="0"/>
          <w:numId w:val="21"/>
        </w:numPr>
        <w:spacing w:line="360" w:lineRule="auto"/>
        <w:jc w:val="both"/>
        <w:rPr>
          <w:rFonts w:asciiTheme="majorBidi" w:hAnsiTheme="majorBidi" w:cstheme="majorBidi"/>
          <w:sz w:val="24"/>
          <w:szCs w:val="24"/>
          <w:lang w:val="sv-SE"/>
        </w:rPr>
      </w:pPr>
      <w:r w:rsidRPr="005A46E0">
        <w:rPr>
          <w:rFonts w:asciiTheme="majorBidi" w:hAnsiTheme="majorBidi" w:cstheme="majorBidi"/>
          <w:sz w:val="24"/>
          <w:szCs w:val="24"/>
          <w:lang w:val="sv-SE"/>
        </w:rPr>
        <w:t xml:space="preserve">Risiko Pembiayaan (NPF) </w:t>
      </w:r>
      <w:r w:rsidR="00AF5A30" w:rsidRPr="00611753">
        <w:rPr>
          <w:rFonts w:asciiTheme="majorBidi" w:hAnsiTheme="majorBidi" w:cstheme="majorBidi"/>
          <w:color w:val="000000"/>
          <w:kern w:val="0"/>
          <w:sz w:val="24"/>
          <w:szCs w:val="24"/>
          <w:lang w:val="sv-SE"/>
        </w:rPr>
        <w:t xml:space="preserve">berpengaruh </w:t>
      </w:r>
      <w:r w:rsidR="00AF5A30">
        <w:rPr>
          <w:rFonts w:asciiTheme="majorBidi" w:hAnsiTheme="majorBidi" w:cstheme="majorBidi"/>
          <w:color w:val="000000"/>
          <w:kern w:val="0"/>
          <w:sz w:val="24"/>
          <w:szCs w:val="24"/>
          <w:lang w:val="sv-SE"/>
        </w:rPr>
        <w:t xml:space="preserve">positif tetapi tidak </w:t>
      </w:r>
      <w:r w:rsidR="00AF5A30" w:rsidRPr="00611753">
        <w:rPr>
          <w:rFonts w:asciiTheme="majorBidi" w:hAnsiTheme="majorBidi" w:cstheme="majorBidi"/>
          <w:color w:val="000000"/>
          <w:kern w:val="0"/>
          <w:sz w:val="24"/>
          <w:szCs w:val="24"/>
          <w:lang w:val="sv-SE"/>
        </w:rPr>
        <w:t xml:space="preserve">signifikan </w:t>
      </w:r>
      <w:r w:rsidR="008A00A5" w:rsidRPr="005A46E0">
        <w:rPr>
          <w:rFonts w:asciiTheme="majorBidi" w:hAnsiTheme="majorBidi" w:cstheme="majorBidi"/>
          <w:sz w:val="24"/>
          <w:szCs w:val="24"/>
          <w:lang w:val="sv-SE"/>
        </w:rPr>
        <w:t>terhadap deposito mudharabah. Hal ini ditunjukkan oleh nilai probability sebesar 0,8145 &gt; 0,05 dan t</w:t>
      </w:r>
      <w:r w:rsidR="008A00A5" w:rsidRPr="005A46E0">
        <w:rPr>
          <w:rFonts w:asciiTheme="majorBidi" w:hAnsiTheme="majorBidi" w:cstheme="majorBidi"/>
          <w:sz w:val="24"/>
          <w:szCs w:val="24"/>
          <w:vertAlign w:val="subscript"/>
          <w:lang w:val="sv-SE"/>
        </w:rPr>
        <w:t>hitung</w:t>
      </w:r>
      <w:r w:rsidR="008A00A5" w:rsidRPr="005A46E0">
        <w:rPr>
          <w:rFonts w:asciiTheme="majorBidi" w:hAnsiTheme="majorBidi" w:cstheme="majorBidi"/>
          <w:sz w:val="24"/>
          <w:szCs w:val="24"/>
          <w:lang w:val="sv-SE"/>
        </w:rPr>
        <w:t xml:space="preserve"> sebesar 0,236910 &lt; t</w:t>
      </w:r>
      <w:r w:rsidR="008A00A5" w:rsidRPr="005A46E0">
        <w:rPr>
          <w:rFonts w:asciiTheme="majorBidi" w:hAnsiTheme="majorBidi" w:cstheme="majorBidi"/>
          <w:sz w:val="24"/>
          <w:szCs w:val="24"/>
          <w:vertAlign w:val="subscript"/>
          <w:lang w:val="sv-SE"/>
        </w:rPr>
        <w:t>tabel</w:t>
      </w:r>
      <w:r w:rsidR="008A00A5" w:rsidRPr="005A46E0">
        <w:rPr>
          <w:rFonts w:asciiTheme="majorBidi" w:hAnsiTheme="majorBidi" w:cstheme="majorBidi"/>
          <w:sz w:val="24"/>
          <w:szCs w:val="24"/>
          <w:lang w:val="sv-SE"/>
        </w:rPr>
        <w:t xml:space="preserve"> (1,70113), sehingga secara parsial NPF </w:t>
      </w:r>
      <w:r w:rsidR="009C0296">
        <w:rPr>
          <w:rFonts w:asciiTheme="majorBidi" w:hAnsiTheme="majorBidi" w:cstheme="majorBidi"/>
          <w:sz w:val="24"/>
          <w:szCs w:val="24"/>
          <w:lang w:val="sv-SE"/>
        </w:rPr>
        <w:t xml:space="preserve">memiliki </w:t>
      </w:r>
      <w:r w:rsidR="008A00A5" w:rsidRPr="005A46E0">
        <w:rPr>
          <w:rFonts w:asciiTheme="majorBidi" w:hAnsiTheme="majorBidi" w:cstheme="majorBidi"/>
          <w:sz w:val="24"/>
          <w:szCs w:val="24"/>
          <w:lang w:val="sv-SE"/>
        </w:rPr>
        <w:t xml:space="preserve">pengaruh </w:t>
      </w:r>
      <w:r w:rsidR="009C0296">
        <w:rPr>
          <w:rFonts w:asciiTheme="majorBidi" w:hAnsiTheme="majorBidi" w:cstheme="majorBidi"/>
          <w:sz w:val="24"/>
          <w:szCs w:val="24"/>
          <w:lang w:val="sv-SE"/>
        </w:rPr>
        <w:t>tidak</w:t>
      </w:r>
      <w:r w:rsidR="008A00A5" w:rsidRPr="005A46E0">
        <w:rPr>
          <w:rFonts w:asciiTheme="majorBidi" w:hAnsiTheme="majorBidi" w:cstheme="majorBidi"/>
          <w:sz w:val="24"/>
          <w:szCs w:val="24"/>
          <w:lang w:val="sv-SE"/>
        </w:rPr>
        <w:t xml:space="preserve"> signifikan terhadap deposito mudharabah.</w:t>
      </w:r>
    </w:p>
    <w:p w14:paraId="17A55E1B" w14:textId="77777777" w:rsidR="008A00A5" w:rsidRPr="00B51544" w:rsidRDefault="008A00A5">
      <w:pPr>
        <w:pStyle w:val="ListParagraph"/>
        <w:numPr>
          <w:ilvl w:val="0"/>
          <w:numId w:val="21"/>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Risiko Likuiditas (FDR) berpengaruh negatif dan signifikan terhadap deposito mudharabah. Hal ini didasarkan pada nilai probability sebesar 0,0004 &lt; 0,05 dan nilai t</w:t>
      </w:r>
      <w:r w:rsidRPr="00B51544">
        <w:rPr>
          <w:rFonts w:asciiTheme="majorBidi" w:hAnsiTheme="majorBidi" w:cstheme="majorBidi"/>
          <w:sz w:val="24"/>
          <w:szCs w:val="24"/>
          <w:vertAlign w:val="subscript"/>
          <w:lang w:val="sv-SE"/>
        </w:rPr>
        <w:t>hitung</w:t>
      </w:r>
      <w:r w:rsidRPr="00B51544">
        <w:rPr>
          <w:rFonts w:asciiTheme="majorBidi" w:hAnsiTheme="majorBidi" w:cstheme="majorBidi"/>
          <w:sz w:val="24"/>
          <w:szCs w:val="24"/>
          <w:lang w:val="sv-SE"/>
        </w:rPr>
        <w:t xml:space="preserve"> sebesar -4,043836 &lt; t</w:t>
      </w:r>
      <w:r w:rsidRPr="00B51544">
        <w:rPr>
          <w:rFonts w:asciiTheme="majorBidi" w:hAnsiTheme="majorBidi" w:cstheme="majorBidi"/>
          <w:sz w:val="24"/>
          <w:szCs w:val="24"/>
          <w:vertAlign w:val="subscript"/>
          <w:lang w:val="sv-SE"/>
        </w:rPr>
        <w:t>tabel</w:t>
      </w:r>
      <w:r w:rsidRPr="00B51544">
        <w:rPr>
          <w:rFonts w:asciiTheme="majorBidi" w:hAnsiTheme="majorBidi" w:cstheme="majorBidi"/>
          <w:sz w:val="24"/>
          <w:szCs w:val="24"/>
          <w:lang w:val="sv-SE"/>
        </w:rPr>
        <w:t xml:space="preserve"> (1,70113), sehingga secara parsial FDR memiliki pengaruh signifikan terhadap deposito mudharabah.</w:t>
      </w:r>
    </w:p>
    <w:p w14:paraId="6A1D0880" w14:textId="6D99654A" w:rsidR="008A00A5" w:rsidRPr="00B51544" w:rsidRDefault="008A00A5">
      <w:pPr>
        <w:pStyle w:val="ListParagraph"/>
        <w:numPr>
          <w:ilvl w:val="0"/>
          <w:numId w:val="21"/>
        </w:numPr>
        <w:spacing w:line="360" w:lineRule="auto"/>
        <w:jc w:val="both"/>
        <w:rPr>
          <w:rFonts w:asciiTheme="majorBidi" w:hAnsiTheme="majorBidi" w:cstheme="majorBidi"/>
          <w:sz w:val="24"/>
          <w:szCs w:val="24"/>
          <w:lang w:val="sv-SE"/>
        </w:rPr>
      </w:pPr>
      <w:r w:rsidRPr="00E17038">
        <w:rPr>
          <w:rFonts w:asciiTheme="majorBidi" w:hAnsiTheme="majorBidi" w:cstheme="majorBidi"/>
          <w:sz w:val="24"/>
          <w:szCs w:val="24"/>
          <w:lang w:val="sv-SE"/>
        </w:rPr>
        <w:t xml:space="preserve">Nisbah Bagi Hasil berpengaruh </w:t>
      </w:r>
      <w:r w:rsidR="00E17038" w:rsidRPr="00E17038">
        <w:rPr>
          <w:rFonts w:asciiTheme="majorBidi" w:hAnsiTheme="majorBidi" w:cstheme="majorBidi"/>
          <w:sz w:val="24"/>
          <w:szCs w:val="24"/>
          <w:lang w:val="sv-SE"/>
        </w:rPr>
        <w:t>positif teta</w:t>
      </w:r>
      <w:r w:rsidR="00E17038">
        <w:rPr>
          <w:rFonts w:asciiTheme="majorBidi" w:hAnsiTheme="majorBidi" w:cstheme="majorBidi"/>
          <w:sz w:val="24"/>
          <w:szCs w:val="24"/>
          <w:lang w:val="sv-SE"/>
        </w:rPr>
        <w:t xml:space="preserve">pi tidak </w:t>
      </w:r>
      <w:r w:rsidRPr="00E17038">
        <w:rPr>
          <w:rFonts w:asciiTheme="majorBidi" w:hAnsiTheme="majorBidi" w:cstheme="majorBidi"/>
          <w:sz w:val="24"/>
          <w:szCs w:val="24"/>
          <w:lang w:val="sv-SE"/>
        </w:rPr>
        <w:t xml:space="preserve">signifikan terhadap deposito mudharabah. </w:t>
      </w:r>
      <w:r w:rsidRPr="00B51544">
        <w:rPr>
          <w:rFonts w:asciiTheme="majorBidi" w:hAnsiTheme="majorBidi" w:cstheme="majorBidi"/>
          <w:sz w:val="24"/>
          <w:szCs w:val="24"/>
          <w:lang w:val="sv-SE"/>
        </w:rPr>
        <w:t>Diketahui dari nilai probability sebesar 0,7223 &gt; 0,05 dan nilai t</w:t>
      </w:r>
      <w:r w:rsidRPr="00B51544">
        <w:rPr>
          <w:rFonts w:asciiTheme="majorBidi" w:hAnsiTheme="majorBidi" w:cstheme="majorBidi"/>
          <w:sz w:val="24"/>
          <w:szCs w:val="24"/>
          <w:vertAlign w:val="subscript"/>
          <w:lang w:val="sv-SE"/>
        </w:rPr>
        <w:t>hitung</w:t>
      </w:r>
      <w:r w:rsidRPr="00B51544">
        <w:rPr>
          <w:rFonts w:asciiTheme="majorBidi" w:hAnsiTheme="majorBidi" w:cstheme="majorBidi"/>
          <w:sz w:val="24"/>
          <w:szCs w:val="24"/>
          <w:lang w:val="sv-SE"/>
        </w:rPr>
        <w:t xml:space="preserve"> sebesar 0,358952 &lt; t</w:t>
      </w:r>
      <w:r w:rsidRPr="00B51544">
        <w:rPr>
          <w:rFonts w:asciiTheme="majorBidi" w:hAnsiTheme="majorBidi" w:cstheme="majorBidi"/>
          <w:sz w:val="24"/>
          <w:szCs w:val="24"/>
          <w:vertAlign w:val="subscript"/>
          <w:lang w:val="sv-SE"/>
        </w:rPr>
        <w:t>tabel</w:t>
      </w:r>
      <w:r w:rsidRPr="00B51544">
        <w:rPr>
          <w:rFonts w:asciiTheme="majorBidi" w:hAnsiTheme="majorBidi" w:cstheme="majorBidi"/>
          <w:sz w:val="24"/>
          <w:szCs w:val="24"/>
          <w:lang w:val="sv-SE"/>
        </w:rPr>
        <w:t xml:space="preserve"> (1,70113), sehingga secara parsial nisbah bagi hasil </w:t>
      </w:r>
      <w:r w:rsidR="009C0296">
        <w:rPr>
          <w:rFonts w:asciiTheme="majorBidi" w:hAnsiTheme="majorBidi" w:cstheme="majorBidi"/>
          <w:sz w:val="24"/>
          <w:szCs w:val="24"/>
          <w:lang w:val="sv-SE"/>
        </w:rPr>
        <w:t xml:space="preserve">memiliki </w:t>
      </w:r>
      <w:r w:rsidR="009C0296" w:rsidRPr="005A46E0">
        <w:rPr>
          <w:rFonts w:asciiTheme="majorBidi" w:hAnsiTheme="majorBidi" w:cstheme="majorBidi"/>
          <w:sz w:val="24"/>
          <w:szCs w:val="24"/>
          <w:lang w:val="sv-SE"/>
        </w:rPr>
        <w:t xml:space="preserve">pengaruh </w:t>
      </w:r>
      <w:r w:rsidR="009C0296">
        <w:rPr>
          <w:rFonts w:asciiTheme="majorBidi" w:hAnsiTheme="majorBidi" w:cstheme="majorBidi"/>
          <w:sz w:val="24"/>
          <w:szCs w:val="24"/>
          <w:lang w:val="sv-SE"/>
        </w:rPr>
        <w:t>tidak</w:t>
      </w:r>
      <w:r w:rsidR="009C0296" w:rsidRPr="005A46E0">
        <w:rPr>
          <w:rFonts w:asciiTheme="majorBidi" w:hAnsiTheme="majorBidi" w:cstheme="majorBidi"/>
          <w:sz w:val="24"/>
          <w:szCs w:val="24"/>
          <w:lang w:val="sv-SE"/>
        </w:rPr>
        <w:t xml:space="preserve"> signifikan </w:t>
      </w:r>
      <w:r w:rsidRPr="00B51544">
        <w:rPr>
          <w:rFonts w:asciiTheme="majorBidi" w:hAnsiTheme="majorBidi" w:cstheme="majorBidi"/>
          <w:sz w:val="24"/>
          <w:szCs w:val="24"/>
          <w:lang w:val="sv-SE"/>
        </w:rPr>
        <w:t>terhadap deposito mudharabah.</w:t>
      </w:r>
    </w:p>
    <w:p w14:paraId="4B410725" w14:textId="43990DC7" w:rsidR="00CC2E64" w:rsidRPr="00B51544" w:rsidRDefault="00CC2E64" w:rsidP="00B51544">
      <w:pPr>
        <w:pStyle w:val="Heading2"/>
        <w:spacing w:line="360" w:lineRule="auto"/>
        <w:jc w:val="both"/>
        <w:rPr>
          <w:rFonts w:asciiTheme="majorBidi" w:hAnsiTheme="majorBidi"/>
          <w:b/>
          <w:bCs/>
          <w:color w:val="auto"/>
          <w:sz w:val="24"/>
          <w:szCs w:val="24"/>
          <w:lang w:val="sv-SE"/>
        </w:rPr>
      </w:pPr>
      <w:bookmarkStart w:id="93" w:name="_Toc201063343"/>
      <w:r w:rsidRPr="00B51544">
        <w:rPr>
          <w:rFonts w:asciiTheme="majorBidi" w:hAnsiTheme="majorBidi"/>
          <w:b/>
          <w:bCs/>
          <w:color w:val="auto"/>
          <w:sz w:val="24"/>
          <w:szCs w:val="24"/>
          <w:lang w:val="sv-SE"/>
        </w:rPr>
        <w:t>5.2 Saran</w:t>
      </w:r>
      <w:bookmarkEnd w:id="93"/>
    </w:p>
    <w:p w14:paraId="32E9CC38" w14:textId="28275B3B" w:rsidR="00950249" w:rsidRPr="00B51544" w:rsidRDefault="00BB1E88" w:rsidP="005A46E0">
      <w:pPr>
        <w:spacing w:line="360" w:lineRule="auto"/>
        <w:ind w:left="426" w:firstLine="709"/>
        <w:jc w:val="both"/>
        <w:rPr>
          <w:rFonts w:asciiTheme="majorBidi" w:hAnsiTheme="majorBidi" w:cstheme="majorBidi"/>
          <w:sz w:val="24"/>
          <w:szCs w:val="24"/>
          <w:lang w:val="sv-SE"/>
        </w:rPr>
      </w:pPr>
      <w:r w:rsidRPr="00B51544">
        <w:rPr>
          <w:rFonts w:asciiTheme="majorBidi" w:hAnsiTheme="majorBidi" w:cstheme="majorBidi"/>
          <w:sz w:val="24"/>
          <w:szCs w:val="24"/>
          <w:lang w:val="sv-SE"/>
        </w:rPr>
        <w:t>Berdasarkan kesimpulan yang telah diuraikan di atas, penenliti memberikan beberapa saran sebagai berikut :</w:t>
      </w:r>
    </w:p>
    <w:p w14:paraId="205D5CC1" w14:textId="7677FE2F" w:rsidR="00BB1E88" w:rsidRPr="00B51544" w:rsidRDefault="00BB1E88">
      <w:pPr>
        <w:pStyle w:val="ListParagraph"/>
        <w:numPr>
          <w:ilvl w:val="0"/>
          <w:numId w:val="22"/>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Bagi Pihak Bank</w:t>
      </w:r>
    </w:p>
    <w:p w14:paraId="065C5260" w14:textId="0F336005" w:rsidR="00BB1E88" w:rsidRPr="00B51544" w:rsidRDefault="00BB1E88">
      <w:pPr>
        <w:pStyle w:val="ListParagraph"/>
        <w:numPr>
          <w:ilvl w:val="0"/>
          <w:numId w:val="23"/>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Bank Muamalat Indonesia perlu lebih hati-hati dalam mengelola likuiditasnya, karena variabel FDR terbukti berpengaruh negatif secara signifikan terhadap deposito mudharabah. Pengelolaan dana yang tidak seimbang antara dana pihak ketiga dan pembiayaan dapat menurunkan kepercayaan nasabah.</w:t>
      </w:r>
    </w:p>
    <w:p w14:paraId="301F3A12" w14:textId="420DB34B" w:rsidR="00BB1E88" w:rsidRPr="00CD3E48" w:rsidRDefault="00BB1E88">
      <w:pPr>
        <w:pStyle w:val="ListParagraph"/>
        <w:numPr>
          <w:ilvl w:val="0"/>
          <w:numId w:val="23"/>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Meskipun NPF dan Nisbah Bagi Hasil </w:t>
      </w:r>
      <w:r w:rsidR="009C0296">
        <w:rPr>
          <w:rFonts w:asciiTheme="majorBidi" w:hAnsiTheme="majorBidi" w:cstheme="majorBidi"/>
          <w:sz w:val="24"/>
          <w:szCs w:val="24"/>
          <w:lang w:val="sv-SE"/>
        </w:rPr>
        <w:t>berpengaruh tetapi tidak</w:t>
      </w:r>
      <w:r w:rsidRPr="00B51544">
        <w:rPr>
          <w:rFonts w:asciiTheme="majorBidi" w:hAnsiTheme="majorBidi" w:cstheme="majorBidi"/>
          <w:sz w:val="24"/>
          <w:szCs w:val="24"/>
          <w:lang w:val="sv-SE"/>
        </w:rPr>
        <w:t xml:space="preserve"> signifikan, bank tetap disarankan untuk mempertahankan kinerja positifnya dalam menjaga rasio NPF yang rendah dan terus mengembangkan skema nisbah yang kompetitif dan transparan, agar dapat menarik minat lebih banyak nasabah di masa depan.</w:t>
      </w:r>
    </w:p>
    <w:p w14:paraId="11FF3FE7" w14:textId="0BB7B6BF" w:rsidR="00BB1E88" w:rsidRPr="00B51544" w:rsidRDefault="00BB1E88">
      <w:pPr>
        <w:pStyle w:val="ListParagraph"/>
        <w:numPr>
          <w:ilvl w:val="0"/>
          <w:numId w:val="22"/>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Bagi Peneliti Selanjutnya</w:t>
      </w:r>
    </w:p>
    <w:p w14:paraId="3BB62BE9" w14:textId="43E2AEE2" w:rsidR="00BB1E88" w:rsidRPr="00B51544" w:rsidRDefault="00BB1E88">
      <w:pPr>
        <w:pStyle w:val="ListParagraph"/>
        <w:numPr>
          <w:ilvl w:val="0"/>
          <w:numId w:val="24"/>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lastRenderedPageBreak/>
        <w:t>Diharapkan untuk menambahkan variabel lain seperti inflasi, BI rate, dan tingkat kepercayaan konsumen dalam menganalisis faktor-faktor yang memengaruhi deposito mudharabah agar hasil penelitian lebih komprehensif.</w:t>
      </w:r>
    </w:p>
    <w:p w14:paraId="6325EF55" w14:textId="3797B4F4" w:rsidR="00BB1E88" w:rsidRPr="00B51544" w:rsidRDefault="00BB1E88">
      <w:pPr>
        <w:pStyle w:val="ListParagraph"/>
        <w:numPr>
          <w:ilvl w:val="0"/>
          <w:numId w:val="24"/>
        </w:numPr>
        <w:spacing w:line="360" w:lineRule="auto"/>
        <w:jc w:val="both"/>
        <w:rPr>
          <w:rFonts w:asciiTheme="majorBidi" w:hAnsiTheme="majorBidi" w:cstheme="majorBidi"/>
          <w:sz w:val="24"/>
          <w:szCs w:val="24"/>
          <w:lang w:val="sv-SE"/>
        </w:rPr>
      </w:pPr>
      <w:r w:rsidRPr="00B51544">
        <w:rPr>
          <w:rFonts w:asciiTheme="majorBidi" w:hAnsiTheme="majorBidi" w:cstheme="majorBidi"/>
          <w:sz w:val="24"/>
          <w:szCs w:val="24"/>
          <w:lang w:val="sv-SE"/>
        </w:rPr>
        <w:t xml:space="preserve">Penelitian berikutnya disarankan memperluas objek studi ke bank syariah lainnya untuk memperoleh perbandingan dan generalisasi hasil yang lebih luas mengenai </w:t>
      </w:r>
      <w:r w:rsidR="00C4721A" w:rsidRPr="00B51544">
        <w:rPr>
          <w:rFonts w:asciiTheme="majorBidi" w:hAnsiTheme="majorBidi" w:cstheme="majorBidi"/>
          <w:sz w:val="24"/>
          <w:szCs w:val="24"/>
          <w:lang w:val="sv-SE"/>
        </w:rPr>
        <w:t>faktor-faktor yang memengaruhi deposito mudharabah.</w:t>
      </w:r>
    </w:p>
    <w:bookmarkEnd w:id="90"/>
    <w:p w14:paraId="5E809909"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56624436"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2C98801D"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13823269"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6B77F609"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08881AAE"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4BEF1DC9"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234AF768"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03E4EA8B"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1369C3D8"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7A25F61A"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69ECB20C" w14:textId="77777777" w:rsidR="00950249" w:rsidRPr="00B51544" w:rsidRDefault="00950249" w:rsidP="00B51544">
      <w:pPr>
        <w:spacing w:line="360" w:lineRule="auto"/>
        <w:jc w:val="both"/>
        <w:rPr>
          <w:rFonts w:asciiTheme="majorBidi" w:hAnsiTheme="majorBidi" w:cstheme="majorBidi"/>
          <w:b/>
          <w:bCs/>
          <w:sz w:val="24"/>
          <w:szCs w:val="24"/>
          <w:lang w:val="sv-SE"/>
        </w:rPr>
      </w:pPr>
    </w:p>
    <w:bookmarkEnd w:id="15"/>
    <w:p w14:paraId="58B073A2" w14:textId="77777777" w:rsidR="00950249" w:rsidRPr="00B51544" w:rsidRDefault="00950249" w:rsidP="00B51544">
      <w:pPr>
        <w:spacing w:line="360" w:lineRule="auto"/>
        <w:jc w:val="both"/>
        <w:rPr>
          <w:rFonts w:asciiTheme="majorBidi" w:hAnsiTheme="majorBidi" w:cstheme="majorBidi"/>
          <w:b/>
          <w:bCs/>
          <w:sz w:val="24"/>
          <w:szCs w:val="24"/>
          <w:lang w:val="sv-SE"/>
        </w:rPr>
      </w:pPr>
    </w:p>
    <w:p w14:paraId="11BD452D" w14:textId="77777777" w:rsidR="00950249" w:rsidRDefault="00950249" w:rsidP="00B51544">
      <w:pPr>
        <w:spacing w:line="360" w:lineRule="auto"/>
        <w:jc w:val="both"/>
        <w:rPr>
          <w:rFonts w:asciiTheme="majorBidi" w:hAnsiTheme="majorBidi" w:cstheme="majorBidi"/>
          <w:b/>
          <w:bCs/>
          <w:sz w:val="24"/>
          <w:szCs w:val="24"/>
          <w:lang w:val="sv-SE"/>
        </w:rPr>
      </w:pPr>
    </w:p>
    <w:p w14:paraId="2338F511" w14:textId="77777777" w:rsidR="00D17A2E" w:rsidRDefault="00D17A2E" w:rsidP="00B51544">
      <w:pPr>
        <w:spacing w:line="360" w:lineRule="auto"/>
        <w:jc w:val="both"/>
        <w:rPr>
          <w:rFonts w:asciiTheme="majorBidi" w:hAnsiTheme="majorBidi" w:cstheme="majorBidi"/>
          <w:b/>
          <w:bCs/>
          <w:sz w:val="24"/>
          <w:szCs w:val="24"/>
          <w:lang w:val="sv-SE"/>
        </w:rPr>
      </w:pPr>
    </w:p>
    <w:p w14:paraId="1B260B4B" w14:textId="77777777" w:rsidR="00D17A2E" w:rsidRDefault="00D17A2E" w:rsidP="00B51544">
      <w:pPr>
        <w:spacing w:line="360" w:lineRule="auto"/>
        <w:jc w:val="both"/>
        <w:rPr>
          <w:rFonts w:asciiTheme="majorBidi" w:hAnsiTheme="majorBidi" w:cstheme="majorBidi"/>
          <w:b/>
          <w:bCs/>
          <w:sz w:val="24"/>
          <w:szCs w:val="24"/>
          <w:lang w:val="sv-SE"/>
        </w:rPr>
      </w:pPr>
    </w:p>
    <w:p w14:paraId="6A84739B" w14:textId="77777777" w:rsidR="00484DA9" w:rsidRDefault="00484DA9" w:rsidP="00B51544">
      <w:pPr>
        <w:spacing w:line="360" w:lineRule="auto"/>
        <w:jc w:val="both"/>
        <w:rPr>
          <w:rFonts w:asciiTheme="majorBidi" w:hAnsiTheme="majorBidi" w:cstheme="majorBidi"/>
          <w:b/>
          <w:bCs/>
          <w:sz w:val="24"/>
          <w:szCs w:val="24"/>
          <w:lang w:val="sv-SE"/>
        </w:rPr>
      </w:pPr>
    </w:p>
    <w:p w14:paraId="0B57B3C7" w14:textId="77777777" w:rsidR="00C25950" w:rsidRDefault="00C25950" w:rsidP="00B51544">
      <w:pPr>
        <w:spacing w:line="360" w:lineRule="auto"/>
        <w:jc w:val="both"/>
        <w:rPr>
          <w:rFonts w:asciiTheme="majorBidi" w:hAnsiTheme="majorBidi" w:cstheme="majorBidi"/>
          <w:b/>
          <w:bCs/>
          <w:sz w:val="24"/>
          <w:szCs w:val="24"/>
          <w:lang w:val="sv-SE"/>
        </w:rPr>
      </w:pPr>
    </w:p>
    <w:p w14:paraId="7DBC0EF8" w14:textId="77777777" w:rsidR="00C25950" w:rsidRPr="00B51544" w:rsidRDefault="00C25950" w:rsidP="00B51544">
      <w:pPr>
        <w:spacing w:line="360" w:lineRule="auto"/>
        <w:jc w:val="both"/>
        <w:rPr>
          <w:rFonts w:asciiTheme="majorBidi" w:hAnsiTheme="majorBidi" w:cstheme="majorBidi"/>
          <w:b/>
          <w:bCs/>
          <w:sz w:val="24"/>
          <w:szCs w:val="24"/>
          <w:lang w:val="sv-SE"/>
        </w:rPr>
      </w:pPr>
    </w:p>
    <w:p w14:paraId="14A96571" w14:textId="77777777" w:rsidR="00CB67EB" w:rsidRPr="00B51544" w:rsidRDefault="00CB67EB" w:rsidP="00CD3E48">
      <w:pPr>
        <w:pStyle w:val="Heading1"/>
        <w:spacing w:line="360" w:lineRule="auto"/>
        <w:jc w:val="center"/>
        <w:rPr>
          <w:rFonts w:asciiTheme="majorBidi" w:hAnsiTheme="majorBidi"/>
          <w:b/>
          <w:bCs/>
          <w:color w:val="auto"/>
          <w:sz w:val="24"/>
          <w:szCs w:val="24"/>
          <w:lang w:val="sv-SE"/>
        </w:rPr>
      </w:pPr>
      <w:bookmarkStart w:id="94" w:name="_Toc201063344"/>
      <w:bookmarkStart w:id="95" w:name="_Hlk202764303"/>
      <w:r w:rsidRPr="00B51544">
        <w:rPr>
          <w:rFonts w:asciiTheme="majorBidi" w:hAnsiTheme="majorBidi"/>
          <w:b/>
          <w:bCs/>
          <w:color w:val="auto"/>
          <w:sz w:val="24"/>
          <w:szCs w:val="24"/>
          <w:lang w:val="sv-SE"/>
        </w:rPr>
        <w:lastRenderedPageBreak/>
        <w:t>DAFTAR PUSTAKA</w:t>
      </w:r>
      <w:bookmarkEnd w:id="94"/>
    </w:p>
    <w:p w14:paraId="41A56057" w14:textId="77777777" w:rsidR="00CB67EB" w:rsidRPr="00B51544" w:rsidRDefault="00CB67EB" w:rsidP="00B51544">
      <w:pPr>
        <w:spacing w:line="360" w:lineRule="auto"/>
        <w:jc w:val="both"/>
        <w:rPr>
          <w:rFonts w:asciiTheme="majorBidi" w:hAnsiTheme="majorBidi" w:cstheme="majorBidi"/>
          <w:sz w:val="24"/>
          <w:szCs w:val="24"/>
          <w:lang w:val="sv-SE"/>
        </w:rPr>
      </w:pPr>
    </w:p>
    <w:p w14:paraId="09E10D7C" w14:textId="313F16AF" w:rsidR="00E23066" w:rsidRPr="001F420D" w:rsidRDefault="00CB67EB"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sz w:val="24"/>
          <w:szCs w:val="24"/>
          <w:lang w:val="sv-SE"/>
        </w:rPr>
        <w:fldChar w:fldCharType="begin" w:fldLock="1"/>
      </w:r>
      <w:r w:rsidRPr="00E23066">
        <w:rPr>
          <w:rFonts w:asciiTheme="majorBidi" w:hAnsiTheme="majorBidi" w:cstheme="majorBidi"/>
          <w:sz w:val="24"/>
          <w:szCs w:val="24"/>
          <w:lang w:val="sv-SE"/>
        </w:rPr>
        <w:instrText xml:space="preserve">ADDIN Mendeley Bibliography CSL_BIBLIOGRAPHY </w:instrText>
      </w:r>
      <w:r w:rsidRPr="00E23066">
        <w:rPr>
          <w:rFonts w:asciiTheme="majorBidi" w:hAnsiTheme="majorBidi" w:cstheme="majorBidi"/>
          <w:sz w:val="24"/>
          <w:szCs w:val="24"/>
          <w:lang w:val="sv-SE"/>
        </w:rPr>
        <w:fldChar w:fldCharType="separate"/>
      </w:r>
      <w:r w:rsidR="00E23066" w:rsidRPr="001F420D">
        <w:rPr>
          <w:rFonts w:asciiTheme="majorBidi" w:hAnsiTheme="majorBidi" w:cstheme="majorBidi"/>
          <w:noProof/>
          <w:kern w:val="0"/>
          <w:sz w:val="24"/>
          <w:szCs w:val="24"/>
          <w:lang w:val="sv-SE"/>
        </w:rPr>
        <w:t xml:space="preserve">Adil, Ahmad. </w:t>
      </w:r>
      <w:r w:rsidR="00E23066" w:rsidRPr="001F420D">
        <w:rPr>
          <w:rFonts w:asciiTheme="majorBidi" w:hAnsiTheme="majorBidi" w:cstheme="majorBidi"/>
          <w:i/>
          <w:iCs/>
          <w:noProof/>
          <w:kern w:val="0"/>
          <w:sz w:val="24"/>
          <w:szCs w:val="24"/>
          <w:lang w:val="sv-SE"/>
        </w:rPr>
        <w:t>Metode Penelitian Kuantitatif Dan Kualitatif: Teori Dan Praktik</w:t>
      </w:r>
      <w:r w:rsidR="00E23066" w:rsidRPr="001F420D">
        <w:rPr>
          <w:rFonts w:asciiTheme="majorBidi" w:hAnsiTheme="majorBidi" w:cstheme="majorBidi"/>
          <w:noProof/>
          <w:kern w:val="0"/>
          <w:sz w:val="24"/>
          <w:szCs w:val="24"/>
          <w:lang w:val="sv-SE"/>
        </w:rPr>
        <w:t>, 2023.</w:t>
      </w:r>
    </w:p>
    <w:p w14:paraId="19CEFA55"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Agustianti, Rifka, Pandriadi, and Lissinana Nussifera. </w:t>
      </w:r>
      <w:r w:rsidRPr="001F420D">
        <w:rPr>
          <w:rFonts w:asciiTheme="majorBidi" w:hAnsiTheme="majorBidi" w:cstheme="majorBidi"/>
          <w:i/>
          <w:iCs/>
          <w:noProof/>
          <w:kern w:val="0"/>
          <w:sz w:val="24"/>
          <w:szCs w:val="24"/>
          <w:lang w:val="sv-SE"/>
        </w:rPr>
        <w:t>Metode Penelitian Kuantitatif Dan Kualitatif</w:t>
      </w:r>
      <w:r w:rsidRPr="001F420D">
        <w:rPr>
          <w:rFonts w:asciiTheme="majorBidi" w:hAnsiTheme="majorBidi" w:cstheme="majorBidi"/>
          <w:noProof/>
          <w:kern w:val="0"/>
          <w:sz w:val="24"/>
          <w:szCs w:val="24"/>
          <w:lang w:val="sv-SE"/>
        </w:rPr>
        <w:t>. Pertama. Makassar: CV. Tohar Media, 2022. https://www.google.co.id/books/edition/Metode_Penelitian_Kuantitatif_Dan_Kualit/giKkEAAAQBAJ?hl=id&amp;gbpv=1&amp;dq=penelitian kuantitatif&amp;pg=PR2&amp;printsec=frontcover.</w:t>
      </w:r>
    </w:p>
    <w:p w14:paraId="34664FC5"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Ahmad, Farhat Amaliyah. “Manajemen Risiko Terhadap Pembiayaan Murabahah Di Bank Pembiayaan Rakyat Syariah” 10, no. 2 (2018).</w:t>
      </w:r>
    </w:p>
    <w:p w14:paraId="540EF795"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sv-SE"/>
        </w:rPr>
        <w:t xml:space="preserve">Ali, M.Makhrus, Tri Hariyati, Meli Yudestia Pratiwi, and Siti Afifah. “Metodologi Penelitian Kuantitatif Dan Penerapannya Dalam Penelitian.” </w:t>
      </w:r>
      <w:r w:rsidRPr="00E23066">
        <w:rPr>
          <w:rFonts w:asciiTheme="majorBidi" w:hAnsiTheme="majorBidi" w:cstheme="majorBidi"/>
          <w:i/>
          <w:iCs/>
          <w:noProof/>
          <w:kern w:val="0"/>
          <w:sz w:val="24"/>
          <w:szCs w:val="24"/>
        </w:rPr>
        <w:t>Education Journal.2022</w:t>
      </w:r>
      <w:r w:rsidRPr="00E23066">
        <w:rPr>
          <w:rFonts w:asciiTheme="majorBidi" w:hAnsiTheme="majorBidi" w:cstheme="majorBidi"/>
          <w:noProof/>
          <w:kern w:val="0"/>
          <w:sz w:val="24"/>
          <w:szCs w:val="24"/>
        </w:rPr>
        <w:t xml:space="preserve"> 2, no. 2 (2022): 1–6.</w:t>
      </w:r>
    </w:p>
    <w:p w14:paraId="5D3CDFC0"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Alinda, Rika Putri Nur, and Akmad Riduwan. “Pengaruh Tingkat Suku Bunga Bank Dan Nisbah Bagi Hasil Pada Deposito Mudharabah” 5 (2016): 1–15.</w:t>
      </w:r>
    </w:p>
    <w:p w14:paraId="0360B3AD"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Anggraini, Tuti, Muhammad Lathief, and Ilhamy Nasution. “SEIKO : Journal of Management &amp; Business Analisis Risiko Pembiayaan Bagi Hasil Dengan Menggunakan Metode Risk Adjusted Return On Capital ( RAROC ) Pada Bank Pembiayaan Rakyat Syariah ( BPRS ) Di Indonesia Periode 2016-2022” 6, no. 2 (2023): 327–39.</w:t>
      </w:r>
    </w:p>
    <w:p w14:paraId="2FD9AF0B" w14:textId="0A05069C"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Antonio, Muhammad Syafi’i. </w:t>
      </w:r>
      <w:r w:rsidRPr="001F420D">
        <w:rPr>
          <w:rFonts w:asciiTheme="majorBidi" w:hAnsiTheme="majorBidi" w:cstheme="majorBidi"/>
          <w:i/>
          <w:iCs/>
          <w:noProof/>
          <w:kern w:val="0"/>
          <w:sz w:val="24"/>
          <w:szCs w:val="24"/>
          <w:lang w:val="sv-SE"/>
        </w:rPr>
        <w:t>Bank Syariah : Dari Teori Ke Praktik</w:t>
      </w:r>
      <w:r w:rsidRPr="001F420D">
        <w:rPr>
          <w:rFonts w:asciiTheme="majorBidi" w:hAnsiTheme="majorBidi" w:cstheme="majorBidi"/>
          <w:noProof/>
          <w:kern w:val="0"/>
          <w:sz w:val="24"/>
          <w:szCs w:val="24"/>
          <w:lang w:val="sv-SE"/>
        </w:rPr>
        <w:t>. Ke-11. Gema Insani, 2007. https://books.google.co.id/books?id=r3yFiZMvgdAC&amp;lpg=PA1&amp;ots=Iu0fuPNQp0&amp;dq=Antonio%2C M. S. (2011). Bank Syariah%3A Dari Teori ke Praktik&amp;lr&amp;hl=</w:t>
      </w:r>
      <w:r w:rsidR="00242D07" w:rsidRPr="001F420D">
        <w:rPr>
          <w:rFonts w:asciiTheme="majorBidi" w:hAnsiTheme="majorBidi" w:cstheme="majorBidi"/>
          <w:noProof/>
          <w:kern w:val="0"/>
          <w:sz w:val="24"/>
          <w:szCs w:val="24"/>
          <w:lang w:val="sv-SE"/>
        </w:rPr>
        <w:t xml:space="preserve"> </w:t>
      </w:r>
      <w:r w:rsidRPr="001F420D">
        <w:rPr>
          <w:rFonts w:asciiTheme="majorBidi" w:hAnsiTheme="majorBidi" w:cstheme="majorBidi"/>
          <w:noProof/>
          <w:kern w:val="0"/>
          <w:sz w:val="24"/>
          <w:szCs w:val="24"/>
          <w:lang w:val="sv-SE"/>
        </w:rPr>
        <w:t>id&amp;pg=PR4#v=onepage&amp;q&amp;f=false.</w:t>
      </w:r>
    </w:p>
    <w:p w14:paraId="4D1CFF81"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Arianti, Devi Wahyu, and Khodijah Ishak. </w:t>
      </w:r>
      <w:r w:rsidRPr="001F420D">
        <w:rPr>
          <w:rFonts w:asciiTheme="majorBidi" w:hAnsiTheme="majorBidi" w:cstheme="majorBidi"/>
          <w:noProof/>
          <w:kern w:val="0"/>
          <w:sz w:val="24"/>
          <w:szCs w:val="24"/>
          <w:lang w:val="pt-BR"/>
        </w:rPr>
        <w:t xml:space="preserve">“Pengaruh Sistem Bagi Hasil Deposito Terhadap Persepsi Nasabah.” </w:t>
      </w:r>
      <w:r w:rsidRPr="001F420D">
        <w:rPr>
          <w:rFonts w:asciiTheme="majorBidi" w:hAnsiTheme="majorBidi" w:cstheme="majorBidi"/>
          <w:i/>
          <w:iCs/>
          <w:noProof/>
          <w:kern w:val="0"/>
          <w:sz w:val="24"/>
          <w:szCs w:val="24"/>
          <w:lang w:val="sv-SE"/>
        </w:rPr>
        <w:t>JPS (Jurnal Perbankan Syariah)</w:t>
      </w:r>
      <w:r w:rsidRPr="001F420D">
        <w:rPr>
          <w:rFonts w:asciiTheme="majorBidi" w:hAnsiTheme="majorBidi" w:cstheme="majorBidi"/>
          <w:noProof/>
          <w:kern w:val="0"/>
          <w:sz w:val="24"/>
          <w:szCs w:val="24"/>
          <w:lang w:val="sv-SE"/>
        </w:rPr>
        <w:t xml:space="preserve"> 1, no. 2 (2020): 170–79. https://doi.org/10.46367/jps.v1i2.237.</w:t>
      </w:r>
    </w:p>
    <w:p w14:paraId="6C82CEC7"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Arta, I Putu Sugih. </w:t>
      </w:r>
      <w:r w:rsidRPr="001F420D">
        <w:rPr>
          <w:rFonts w:asciiTheme="majorBidi" w:hAnsiTheme="majorBidi" w:cstheme="majorBidi"/>
          <w:i/>
          <w:iCs/>
          <w:noProof/>
          <w:kern w:val="0"/>
          <w:sz w:val="24"/>
          <w:szCs w:val="24"/>
          <w:lang w:val="sv-SE"/>
        </w:rPr>
        <w:t>Manajemen Risiko Tinjauan Teori Dan Praktis</w:t>
      </w:r>
      <w:r w:rsidRPr="001F420D">
        <w:rPr>
          <w:rFonts w:asciiTheme="majorBidi" w:hAnsiTheme="majorBidi" w:cstheme="majorBidi"/>
          <w:noProof/>
          <w:kern w:val="0"/>
          <w:sz w:val="24"/>
          <w:szCs w:val="24"/>
          <w:lang w:val="sv-SE"/>
        </w:rPr>
        <w:t>. Bandung: Widina Bhakti Persada, 2021.</w:t>
      </w:r>
    </w:p>
    <w:p w14:paraId="71439D1A"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Asiva Noor Rachmayani. </w:t>
      </w:r>
      <w:r w:rsidRPr="001F420D">
        <w:rPr>
          <w:rFonts w:asciiTheme="majorBidi" w:hAnsiTheme="majorBidi" w:cstheme="majorBidi"/>
          <w:i/>
          <w:iCs/>
          <w:noProof/>
          <w:kern w:val="0"/>
          <w:sz w:val="24"/>
          <w:szCs w:val="24"/>
          <w:lang w:val="sv-SE"/>
        </w:rPr>
        <w:t>Metodologi Penelitian Kuantitatif Dan Kualitatif</w:t>
      </w:r>
      <w:r w:rsidRPr="001F420D">
        <w:rPr>
          <w:rFonts w:asciiTheme="majorBidi" w:hAnsiTheme="majorBidi" w:cstheme="majorBidi"/>
          <w:noProof/>
          <w:kern w:val="0"/>
          <w:sz w:val="24"/>
          <w:szCs w:val="24"/>
          <w:lang w:val="sv-SE"/>
        </w:rPr>
        <w:t>, 2015.</w:t>
      </w:r>
    </w:p>
    <w:p w14:paraId="49EEF58A" w14:textId="4001396E"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Asnawi, Said Kelana, and Chandra Wijaya. </w:t>
      </w:r>
      <w:r w:rsidRPr="001F420D">
        <w:rPr>
          <w:rFonts w:asciiTheme="majorBidi" w:hAnsiTheme="majorBidi" w:cstheme="majorBidi"/>
          <w:i/>
          <w:iCs/>
          <w:noProof/>
          <w:kern w:val="0"/>
          <w:sz w:val="24"/>
          <w:szCs w:val="24"/>
          <w:lang w:val="sv-SE"/>
        </w:rPr>
        <w:t>Riset Keuangan : Pengujian-Pengujian Empiris</w:t>
      </w:r>
      <w:r w:rsidRPr="001F420D">
        <w:rPr>
          <w:rFonts w:asciiTheme="majorBidi" w:hAnsiTheme="majorBidi" w:cstheme="majorBidi"/>
          <w:noProof/>
          <w:kern w:val="0"/>
          <w:sz w:val="24"/>
          <w:szCs w:val="24"/>
          <w:lang w:val="sv-SE"/>
        </w:rPr>
        <w:t>. Jakarta: PT. Gramedia Pustaka Utama, 2005. https://www.google.co.id/books/edition</w:t>
      </w:r>
      <w:r w:rsidR="00242D07" w:rsidRPr="001F420D">
        <w:rPr>
          <w:rFonts w:asciiTheme="majorBidi" w:hAnsiTheme="majorBidi" w:cstheme="majorBidi"/>
          <w:noProof/>
          <w:kern w:val="0"/>
          <w:sz w:val="24"/>
          <w:szCs w:val="24"/>
          <w:lang w:val="sv-SE"/>
        </w:rPr>
        <w:t xml:space="preserve"> </w:t>
      </w:r>
      <w:r w:rsidRPr="001F420D">
        <w:rPr>
          <w:rFonts w:asciiTheme="majorBidi" w:hAnsiTheme="majorBidi" w:cstheme="majorBidi"/>
          <w:noProof/>
          <w:kern w:val="0"/>
          <w:sz w:val="24"/>
          <w:szCs w:val="24"/>
          <w:lang w:val="sv-SE"/>
        </w:rPr>
        <w:lastRenderedPageBreak/>
        <w:t>/Riset_Keuangan_Pengujian_pengujian_empir/0y2Z7CufKCEC?hl=id&amp;gbpv=1&amp;dq=uji simultan&amp;pg=PP6&amp;printsec=frontcover.</w:t>
      </w:r>
    </w:p>
    <w:p w14:paraId="6F4E9C27"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sv-SE"/>
        </w:rPr>
        <w:t xml:space="preserve">Autantika, Eka, and Dwi Asih Surjandari. </w:t>
      </w:r>
      <w:r w:rsidRPr="00E23066">
        <w:rPr>
          <w:rFonts w:asciiTheme="majorBidi" w:hAnsiTheme="majorBidi" w:cstheme="majorBidi"/>
          <w:noProof/>
          <w:kern w:val="0"/>
          <w:sz w:val="24"/>
          <w:szCs w:val="24"/>
        </w:rPr>
        <w:t xml:space="preserve">“The Effect of Digital Banking Capital Ratio , Efficiency Ratio, and Liquidity Ratio on Banking Financial Intermediation.” </w:t>
      </w:r>
      <w:r w:rsidRPr="00E23066">
        <w:rPr>
          <w:rFonts w:asciiTheme="majorBidi" w:hAnsiTheme="majorBidi" w:cstheme="majorBidi"/>
          <w:i/>
          <w:iCs/>
          <w:noProof/>
          <w:kern w:val="0"/>
          <w:sz w:val="24"/>
          <w:szCs w:val="24"/>
        </w:rPr>
        <w:t>International Research Journal of Economics and Management Studies</w:t>
      </w:r>
      <w:r w:rsidRPr="00E23066">
        <w:rPr>
          <w:rFonts w:asciiTheme="majorBidi" w:hAnsiTheme="majorBidi" w:cstheme="majorBidi"/>
          <w:noProof/>
          <w:kern w:val="0"/>
          <w:sz w:val="24"/>
          <w:szCs w:val="24"/>
        </w:rPr>
        <w:t xml:space="preserve"> 3, no. 2 (2024): 1–8. https://doi.org/10.56472/25835238/IRJEMS-V3I2P101.</w:t>
      </w:r>
    </w:p>
    <w:p w14:paraId="35C96906"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Cahyani, Wulandari Nur, Syaikhul Falah, and Ratna Yulia Wijayanti. “Analisis Pengaruh Roa,Roe,Bopo,Dan Suku Bunga Terhadap Tingkat Bagi Hasil Deposito Mudharabah Pada Perbankan Syariah.” </w:t>
      </w:r>
      <w:r w:rsidRPr="00E23066">
        <w:rPr>
          <w:rFonts w:asciiTheme="majorBidi" w:hAnsiTheme="majorBidi" w:cstheme="majorBidi"/>
          <w:i/>
          <w:iCs/>
          <w:noProof/>
          <w:kern w:val="0"/>
          <w:sz w:val="24"/>
          <w:szCs w:val="24"/>
        </w:rPr>
        <w:t>MALIA: Journal of Islamic Banking and Finance</w:t>
      </w:r>
      <w:r w:rsidRPr="00E23066">
        <w:rPr>
          <w:rFonts w:asciiTheme="majorBidi" w:hAnsiTheme="majorBidi" w:cstheme="majorBidi"/>
          <w:noProof/>
          <w:kern w:val="0"/>
          <w:sz w:val="24"/>
          <w:szCs w:val="24"/>
        </w:rPr>
        <w:t xml:space="preserve"> 1, no. 1 (2018): 105–28. https://doi.org/10.21043/malia.v1i1.3986.</w:t>
      </w:r>
    </w:p>
    <w:p w14:paraId="0ACED18A"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Caroline, Amalia Indah Fitriana, Wiwi Warsiati. </w:t>
      </w:r>
      <w:r w:rsidRPr="00E23066">
        <w:rPr>
          <w:rFonts w:asciiTheme="majorBidi" w:hAnsiTheme="majorBidi" w:cstheme="majorBidi"/>
          <w:i/>
          <w:iCs/>
          <w:noProof/>
          <w:kern w:val="0"/>
          <w:sz w:val="24"/>
          <w:szCs w:val="24"/>
        </w:rPr>
        <w:t>Bank Dan Lembaga Keuangan Lainnya</w:t>
      </w:r>
      <w:r w:rsidRPr="00E23066">
        <w:rPr>
          <w:rFonts w:asciiTheme="majorBidi" w:hAnsiTheme="majorBidi" w:cstheme="majorBidi"/>
          <w:noProof/>
          <w:kern w:val="0"/>
          <w:sz w:val="24"/>
          <w:szCs w:val="24"/>
        </w:rPr>
        <w:t>, 2021. https://books.google.co.id/books?id=WYZZEAAAQBAJ&amp;newbks=0&amp;lpg=PA58&amp;dq=deposito mudharabah&amp;hl=id&amp;pg=PA58#v=onepage&amp;q=deposito mudharabah&amp;f=false.</w:t>
      </w:r>
    </w:p>
    <w:p w14:paraId="3B49641D"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Dewi, Eneng Trisnawati, and Wimpi Srihandoko. “Pengaruh Risiko Kredit Dan Risiko Likuiditas Terhadap Profitabilitas Bank.” </w:t>
      </w:r>
      <w:r w:rsidRPr="00E23066">
        <w:rPr>
          <w:rFonts w:asciiTheme="majorBidi" w:hAnsiTheme="majorBidi" w:cstheme="majorBidi"/>
          <w:i/>
          <w:iCs/>
          <w:noProof/>
          <w:kern w:val="0"/>
          <w:sz w:val="24"/>
          <w:szCs w:val="24"/>
        </w:rPr>
        <w:t>Jurnal Ilmiah Manajemen Kesatuan</w:t>
      </w:r>
      <w:r w:rsidRPr="00E23066">
        <w:rPr>
          <w:rFonts w:asciiTheme="majorBidi" w:hAnsiTheme="majorBidi" w:cstheme="majorBidi"/>
          <w:noProof/>
          <w:kern w:val="0"/>
          <w:sz w:val="24"/>
          <w:szCs w:val="24"/>
        </w:rPr>
        <w:t xml:space="preserve"> 6, no. 3 (2018): 131–38. https://doi.org/10.37641/jimkes.v6i3.294.</w:t>
      </w:r>
    </w:p>
    <w:p w14:paraId="0992833B"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Dini Monisa, Cut, and Wida Fadhlia. “Pengaruh Kinerja Bank, Solvabilitas, Likuiditas Dan Non Performing Financing Terhadap Risiko Likuiditas Pada Bank Umum Syariah Di Indonesia.” </w:t>
      </w:r>
      <w:r w:rsidRPr="00E23066">
        <w:rPr>
          <w:rFonts w:asciiTheme="majorBidi" w:hAnsiTheme="majorBidi" w:cstheme="majorBidi"/>
          <w:i/>
          <w:iCs/>
          <w:noProof/>
          <w:kern w:val="0"/>
          <w:sz w:val="24"/>
          <w:szCs w:val="24"/>
        </w:rPr>
        <w:t>Jurnal Ilmiah Mahasiswa Ekonomi Akuntansi (JIMEKA)</w:t>
      </w:r>
      <w:r w:rsidRPr="00E23066">
        <w:rPr>
          <w:rFonts w:asciiTheme="majorBidi" w:hAnsiTheme="majorBidi" w:cstheme="majorBidi"/>
          <w:noProof/>
          <w:kern w:val="0"/>
          <w:sz w:val="24"/>
          <w:szCs w:val="24"/>
        </w:rPr>
        <w:t xml:space="preserve"> 3, no. 1 (2018): 1.</w:t>
      </w:r>
    </w:p>
    <w:p w14:paraId="54C127FA"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sv-SE"/>
        </w:rPr>
        <w:t xml:space="preserve">Duli, Nikolaus. </w:t>
      </w:r>
      <w:r w:rsidRPr="001F420D">
        <w:rPr>
          <w:rFonts w:asciiTheme="majorBidi" w:hAnsiTheme="majorBidi" w:cstheme="majorBidi"/>
          <w:i/>
          <w:iCs/>
          <w:noProof/>
          <w:kern w:val="0"/>
          <w:sz w:val="24"/>
          <w:szCs w:val="24"/>
          <w:lang w:val="sv-SE"/>
        </w:rPr>
        <w:t>Metodologi Penelitian Kuantitatif</w:t>
      </w:r>
      <w:r w:rsidRPr="001F420D">
        <w:rPr>
          <w:rFonts w:asciiTheme="majorBidi" w:hAnsiTheme="majorBidi" w:cstheme="majorBidi"/>
          <w:noProof/>
          <w:kern w:val="0"/>
          <w:sz w:val="24"/>
          <w:szCs w:val="24"/>
          <w:lang w:val="sv-SE"/>
        </w:rPr>
        <w:t xml:space="preserve">. </w:t>
      </w:r>
      <w:r w:rsidRPr="00E23066">
        <w:rPr>
          <w:rFonts w:asciiTheme="majorBidi" w:hAnsiTheme="majorBidi" w:cstheme="majorBidi"/>
          <w:noProof/>
          <w:kern w:val="0"/>
          <w:sz w:val="24"/>
          <w:szCs w:val="24"/>
        </w:rPr>
        <w:t>Sleman: Deepublish Publisher, 2019. https://www.google.co.id/books/edition/Metodologi_Penelitian_Kuantitatif/h5RYEQAAQBAJ?hl=id&amp;gbpv=1&amp;dq=uji heteroskedastisitas adalah&amp;pg=PR4&amp;printsec=frontcover.</w:t>
      </w:r>
    </w:p>
    <w:p w14:paraId="11278ED8"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Fadhlillah, Afif Pasya, and Bambang Waluyo. “Pengaruh Risiko Pembiayaan, Risiko Likuiditas, Dan Risiko Operasional Terhadap Profitabilitas PT BTPN Syariah Pada Tahun 2014-2022,” 2022.</w:t>
      </w:r>
    </w:p>
    <w:p w14:paraId="359FB2F6"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Fadli, Achmad Agus Yasin. “Pengaruh FDR Dan NPF Terhadap Bagi Hasil Deposito Mudharabah Pada Bank Syariah Mandiri.” </w:t>
      </w:r>
      <w:r w:rsidRPr="001F420D">
        <w:rPr>
          <w:rFonts w:asciiTheme="majorBidi" w:hAnsiTheme="majorBidi" w:cstheme="majorBidi"/>
          <w:i/>
          <w:iCs/>
          <w:noProof/>
          <w:kern w:val="0"/>
          <w:sz w:val="24"/>
          <w:szCs w:val="24"/>
          <w:lang w:val="sv-SE"/>
        </w:rPr>
        <w:t>Jurnal Maksipreneur: Manajemen, Koperasi, Dan Entrepreneurship</w:t>
      </w:r>
      <w:r w:rsidRPr="001F420D">
        <w:rPr>
          <w:rFonts w:asciiTheme="majorBidi" w:hAnsiTheme="majorBidi" w:cstheme="majorBidi"/>
          <w:noProof/>
          <w:kern w:val="0"/>
          <w:sz w:val="24"/>
          <w:szCs w:val="24"/>
          <w:lang w:val="sv-SE"/>
        </w:rPr>
        <w:t xml:space="preserve"> 8, no. 1 (2018): 98.</w:t>
      </w:r>
    </w:p>
    <w:p w14:paraId="4AA14D93"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Fahlevi, Muhammad Ryan. “Pengaruh Inflasi, Kurs Dan Gross Domestic Product Terhadap Non Performing Financing (NPF) Perbankan Syariah Indonesia Periode 2016–2020.” </w:t>
      </w:r>
      <w:r w:rsidRPr="001F420D">
        <w:rPr>
          <w:rFonts w:asciiTheme="majorBidi" w:hAnsiTheme="majorBidi" w:cstheme="majorBidi"/>
          <w:i/>
          <w:iCs/>
          <w:noProof/>
          <w:kern w:val="0"/>
          <w:sz w:val="24"/>
          <w:szCs w:val="24"/>
          <w:lang w:val="sv-SE"/>
        </w:rPr>
        <w:t>Jurnal Masharif Al-Syariah:Jurnal Ekonomi Dan Perbankan Syariah</w:t>
      </w:r>
      <w:r w:rsidRPr="001F420D">
        <w:rPr>
          <w:rFonts w:asciiTheme="majorBidi" w:hAnsiTheme="majorBidi" w:cstheme="majorBidi"/>
          <w:noProof/>
          <w:kern w:val="0"/>
          <w:sz w:val="24"/>
          <w:szCs w:val="24"/>
          <w:lang w:val="sv-SE"/>
        </w:rPr>
        <w:t xml:space="preserve"> 7, no. 30 (2022): 482–509. </w:t>
      </w:r>
      <w:r w:rsidRPr="001F420D">
        <w:rPr>
          <w:rFonts w:asciiTheme="majorBidi" w:hAnsiTheme="majorBidi" w:cstheme="majorBidi"/>
          <w:noProof/>
          <w:kern w:val="0"/>
          <w:sz w:val="24"/>
          <w:szCs w:val="24"/>
          <w:lang w:val="sv-SE"/>
        </w:rPr>
        <w:lastRenderedPageBreak/>
        <w:t>http://journal.um-surabaya.ac.id/index.php/Mas/article/view/13750.</w:t>
      </w:r>
    </w:p>
    <w:p w14:paraId="2929E1D0"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Farizi, Fauzan Al, and Akhmad Riduwan. “Pengaruh Inflasi, Suku Bunga, Likuiditas, Dan Bagi Hasil Terhadap Deposito Mudharabah.” </w:t>
      </w:r>
      <w:r w:rsidRPr="00E23066">
        <w:rPr>
          <w:rFonts w:asciiTheme="majorBidi" w:hAnsiTheme="majorBidi" w:cstheme="majorBidi"/>
          <w:i/>
          <w:iCs/>
          <w:noProof/>
          <w:kern w:val="0"/>
          <w:sz w:val="24"/>
          <w:szCs w:val="24"/>
        </w:rPr>
        <w:t>Jurnal Ilmu Dan Riset Akuntansi</w:t>
      </w:r>
      <w:r w:rsidRPr="00E23066">
        <w:rPr>
          <w:rFonts w:asciiTheme="majorBidi" w:hAnsiTheme="majorBidi" w:cstheme="majorBidi"/>
          <w:noProof/>
          <w:kern w:val="0"/>
          <w:sz w:val="24"/>
          <w:szCs w:val="24"/>
        </w:rPr>
        <w:t xml:space="preserve"> 5, no. 4 (2016): 1–16.</w:t>
      </w:r>
    </w:p>
    <w:p w14:paraId="46C8A122"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Fauzan, M. “Sistem Pengendalian Intern Terhadap Fungsi Penerimaan Kas Pada PT. Bank Muamalat Indonesia Cabang Pematangsiantar.” </w:t>
      </w:r>
      <w:r w:rsidRPr="001F420D">
        <w:rPr>
          <w:rFonts w:asciiTheme="majorBidi" w:hAnsiTheme="majorBidi" w:cstheme="majorBidi"/>
          <w:i/>
          <w:iCs/>
          <w:noProof/>
          <w:kern w:val="0"/>
          <w:sz w:val="24"/>
          <w:szCs w:val="24"/>
          <w:lang w:val="sv-SE"/>
        </w:rPr>
        <w:t>Jurnal Masharif Al-Syariah: Jurnal Ekonomi Dan Perbankan Syariah</w:t>
      </w:r>
      <w:r w:rsidRPr="001F420D">
        <w:rPr>
          <w:rFonts w:asciiTheme="majorBidi" w:hAnsiTheme="majorBidi" w:cstheme="majorBidi"/>
          <w:noProof/>
          <w:kern w:val="0"/>
          <w:sz w:val="24"/>
          <w:szCs w:val="24"/>
          <w:lang w:val="sv-SE"/>
        </w:rPr>
        <w:t xml:space="preserve"> 3, no. 2 (2018). https://doi.org/10.30651/jms.v3i2.1658.</w:t>
      </w:r>
    </w:p>
    <w:p w14:paraId="19DA7483"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Febriani, Firda Izzati. “Pengaruh Tingkat Bagi Hasil, Financing to Deposit Ratio (FDR) Dan Tingkat Inflasi Terhadap Deposito Mudharabah Pada Bank Umum Syariah (BUS) Periode 2014 – 2017.” </w:t>
      </w:r>
      <w:r w:rsidRPr="001F420D">
        <w:rPr>
          <w:rFonts w:asciiTheme="majorBidi" w:hAnsiTheme="majorBidi" w:cstheme="majorBidi"/>
          <w:i/>
          <w:iCs/>
          <w:noProof/>
          <w:kern w:val="0"/>
          <w:sz w:val="24"/>
          <w:szCs w:val="24"/>
          <w:lang w:val="sv-SE"/>
        </w:rPr>
        <w:t>Falah: Jurnal Ekonomi Syariah</w:t>
      </w:r>
      <w:r w:rsidRPr="001F420D">
        <w:rPr>
          <w:rFonts w:asciiTheme="majorBidi" w:hAnsiTheme="majorBidi" w:cstheme="majorBidi"/>
          <w:noProof/>
          <w:kern w:val="0"/>
          <w:sz w:val="24"/>
          <w:szCs w:val="24"/>
          <w:lang w:val="sv-SE"/>
        </w:rPr>
        <w:t xml:space="preserve"> 4, no. 1 (2019): 108. https://doi.org/10.22219/jes.v4i1.8752.</w:t>
      </w:r>
    </w:p>
    <w:p w14:paraId="6CB4934A" w14:textId="41E9C372" w:rsidR="00E23066" w:rsidRPr="001F420D" w:rsidRDefault="00E23066" w:rsidP="00242D07">
      <w:pPr>
        <w:widowControl w:val="0"/>
        <w:tabs>
          <w:tab w:val="left" w:pos="993"/>
        </w:tabs>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Firdaus. </w:t>
      </w:r>
      <w:r w:rsidRPr="001F420D">
        <w:rPr>
          <w:rFonts w:asciiTheme="majorBidi" w:hAnsiTheme="majorBidi" w:cstheme="majorBidi"/>
          <w:i/>
          <w:iCs/>
          <w:noProof/>
          <w:kern w:val="0"/>
          <w:sz w:val="24"/>
          <w:szCs w:val="24"/>
          <w:lang w:val="sv-SE"/>
        </w:rPr>
        <w:t>Metodologi Penelitian Kualitatif</w:t>
      </w:r>
      <w:r w:rsidRPr="001F420D">
        <w:rPr>
          <w:rFonts w:asciiTheme="majorBidi" w:hAnsiTheme="majorBidi" w:cstheme="majorBidi"/>
          <w:noProof/>
          <w:kern w:val="0"/>
          <w:sz w:val="24"/>
          <w:szCs w:val="24"/>
          <w:lang w:val="sv-SE"/>
        </w:rPr>
        <w:t>. Pertama. Riau: Dotplush Publisher, 2021. https://www.google.co.id/books/edition/</w:t>
      </w:r>
      <w:r w:rsidR="00242D07" w:rsidRPr="001F420D">
        <w:rPr>
          <w:rFonts w:asciiTheme="majorBidi" w:hAnsiTheme="majorBidi" w:cstheme="majorBidi"/>
          <w:noProof/>
          <w:kern w:val="0"/>
          <w:sz w:val="24"/>
          <w:szCs w:val="24"/>
          <w:lang w:val="sv-SE"/>
        </w:rPr>
        <w:t>Metodologi_Penelitian_Kuantitatif_Dileng/Lj8heaaaqbaj</w:t>
      </w:r>
      <w:r w:rsidRPr="001F420D">
        <w:rPr>
          <w:rFonts w:asciiTheme="majorBidi" w:hAnsiTheme="majorBidi" w:cstheme="majorBidi"/>
          <w:noProof/>
          <w:kern w:val="0"/>
          <w:sz w:val="24"/>
          <w:szCs w:val="24"/>
          <w:lang w:val="sv-SE"/>
        </w:rPr>
        <w:t>?hl=id&amp;gbpv=1&amp;dq=data dalam penelitian kuantitatif adalah&amp;pg=PR4&amp;printsec</w:t>
      </w:r>
      <w:r w:rsidR="00242D07" w:rsidRPr="001F420D">
        <w:rPr>
          <w:rFonts w:asciiTheme="majorBidi" w:hAnsiTheme="majorBidi" w:cstheme="majorBidi"/>
          <w:noProof/>
          <w:kern w:val="0"/>
          <w:sz w:val="24"/>
          <w:szCs w:val="24"/>
          <w:lang w:val="sv-SE"/>
        </w:rPr>
        <w:t xml:space="preserve"> </w:t>
      </w:r>
      <w:r w:rsidRPr="001F420D">
        <w:rPr>
          <w:rFonts w:asciiTheme="majorBidi" w:hAnsiTheme="majorBidi" w:cstheme="majorBidi"/>
          <w:noProof/>
          <w:kern w:val="0"/>
          <w:sz w:val="24"/>
          <w:szCs w:val="24"/>
          <w:lang w:val="sv-SE"/>
        </w:rPr>
        <w:t>=frontcover.</w:t>
      </w:r>
    </w:p>
    <w:p w14:paraId="66836595"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sv-SE"/>
        </w:rPr>
        <w:t xml:space="preserve">Giovanni, Axel, Devi Wahyu Utami, Alifa Jauzaa, Clarisa Alfa Lionora, and Kata Kunci. </w:t>
      </w:r>
      <w:r w:rsidRPr="00E23066">
        <w:rPr>
          <w:rFonts w:asciiTheme="majorBidi" w:hAnsiTheme="majorBidi" w:cstheme="majorBidi"/>
          <w:noProof/>
          <w:kern w:val="0"/>
          <w:sz w:val="24"/>
          <w:szCs w:val="24"/>
        </w:rPr>
        <w:t xml:space="preserve">“Performance Variability of State Owned Enterprises in Financial Sector and Financial Technology Companies during the Covid-19 Pandemic Variabilitas Kinerja BUMN Sektor Keuangan Dan Perusahaan Financial Technology Di Masa Pandemi Covid-19.” </w:t>
      </w:r>
      <w:r w:rsidRPr="00E23066">
        <w:rPr>
          <w:rFonts w:asciiTheme="majorBidi" w:hAnsiTheme="majorBidi" w:cstheme="majorBidi"/>
          <w:i/>
          <w:iCs/>
          <w:noProof/>
          <w:kern w:val="0"/>
          <w:sz w:val="24"/>
          <w:szCs w:val="24"/>
        </w:rPr>
        <w:t>Berkala Akuntansi Dan Keuangan Indonesia, Edisi Spesial</w:t>
      </w:r>
      <w:r w:rsidRPr="00E23066">
        <w:rPr>
          <w:rFonts w:asciiTheme="majorBidi" w:hAnsiTheme="majorBidi" w:cstheme="majorBidi"/>
          <w:noProof/>
          <w:kern w:val="0"/>
          <w:sz w:val="24"/>
          <w:szCs w:val="24"/>
        </w:rPr>
        <w:t>, 2021, 70–89. https://doi.org/10.20473/baki.v6ix.26740.</w:t>
      </w:r>
    </w:p>
    <w:p w14:paraId="59DCEDF4"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Handayani, Luh Titi, and Asmuji. </w:t>
      </w:r>
      <w:r w:rsidRPr="00E23066">
        <w:rPr>
          <w:rFonts w:asciiTheme="majorBidi" w:hAnsiTheme="majorBidi" w:cstheme="majorBidi"/>
          <w:i/>
          <w:iCs/>
          <w:noProof/>
          <w:kern w:val="0"/>
          <w:sz w:val="24"/>
          <w:szCs w:val="24"/>
        </w:rPr>
        <w:t>Statistik Deskriptif</w:t>
      </w:r>
      <w:r w:rsidRPr="00E23066">
        <w:rPr>
          <w:rFonts w:asciiTheme="majorBidi" w:hAnsiTheme="majorBidi" w:cstheme="majorBidi"/>
          <w:noProof/>
          <w:kern w:val="0"/>
          <w:sz w:val="24"/>
          <w:szCs w:val="24"/>
        </w:rPr>
        <w:t>. Jember: Um Jember Press, 2023. https://www.google.co.id/books/edition/STATISTIK_DESKRIPTIF/laXKEAAAQBAJ?hl=id&amp;gbpv=1&amp;dq=statistik deskriptif&amp;pg=PR2&amp;printsec=frontcover.</w:t>
      </w:r>
    </w:p>
    <w:p w14:paraId="0BA187E7"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Hidayat, Taufik, and Rusliator Maika. “Pengaruh Pembiayaan Mudharabah Dan Musyarakah Terhadap Profitabilitas Bank Muamalat Indonesia.” </w:t>
      </w:r>
      <w:r w:rsidRPr="00E23066">
        <w:rPr>
          <w:rFonts w:asciiTheme="majorBidi" w:hAnsiTheme="majorBidi" w:cstheme="majorBidi"/>
          <w:i/>
          <w:iCs/>
          <w:noProof/>
          <w:kern w:val="0"/>
          <w:sz w:val="24"/>
          <w:szCs w:val="24"/>
        </w:rPr>
        <w:t>Jurnal Tabarru’ : Islamic Banking and Finance</w:t>
      </w:r>
      <w:r w:rsidRPr="00E23066">
        <w:rPr>
          <w:rFonts w:asciiTheme="majorBidi" w:hAnsiTheme="majorBidi" w:cstheme="majorBidi"/>
          <w:noProof/>
          <w:kern w:val="0"/>
          <w:sz w:val="24"/>
          <w:szCs w:val="24"/>
        </w:rPr>
        <w:t xml:space="preserve"> 6, no. 1 (2023): 346–57.</w:t>
      </w:r>
    </w:p>
    <w:p w14:paraId="4EE76FBA"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Hikmah, Ainul, and Nahariah Nahariah. “Analisis Nisbah Bagi Hasil Pembiayaan Mudharabah Pada Bank Syariah Mandiri KCP Sengkang.” </w:t>
      </w:r>
      <w:r w:rsidRPr="00E23066">
        <w:rPr>
          <w:rFonts w:asciiTheme="majorBidi" w:hAnsiTheme="majorBidi" w:cstheme="majorBidi"/>
          <w:i/>
          <w:iCs/>
          <w:noProof/>
          <w:kern w:val="0"/>
          <w:sz w:val="24"/>
          <w:szCs w:val="24"/>
        </w:rPr>
        <w:t>Jurnal Ilmiah Al-Tsarwah</w:t>
      </w:r>
      <w:r w:rsidRPr="00E23066">
        <w:rPr>
          <w:rFonts w:asciiTheme="majorBidi" w:hAnsiTheme="majorBidi" w:cstheme="majorBidi"/>
          <w:noProof/>
          <w:kern w:val="0"/>
          <w:sz w:val="24"/>
          <w:szCs w:val="24"/>
        </w:rPr>
        <w:t xml:space="preserve"> 2, no. 2 (2019): 140–54. https://doi.org/10.30863/al-tsarwah.v2i2.294.</w:t>
      </w:r>
    </w:p>
    <w:p w14:paraId="1FB5FF00"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Idrus, Syarifa Mawaddah Al, and Teti Anggita Safitri. </w:t>
      </w:r>
      <w:r w:rsidRPr="001F420D">
        <w:rPr>
          <w:rFonts w:asciiTheme="majorBidi" w:hAnsiTheme="majorBidi" w:cstheme="majorBidi"/>
          <w:noProof/>
          <w:kern w:val="0"/>
          <w:sz w:val="24"/>
          <w:szCs w:val="24"/>
          <w:lang w:val="sv-SE"/>
        </w:rPr>
        <w:t xml:space="preserve">“Analisis Perbandingan Kinerja Bank </w:t>
      </w:r>
      <w:r w:rsidRPr="001F420D">
        <w:rPr>
          <w:rFonts w:asciiTheme="majorBidi" w:hAnsiTheme="majorBidi" w:cstheme="majorBidi"/>
          <w:noProof/>
          <w:kern w:val="0"/>
          <w:sz w:val="24"/>
          <w:szCs w:val="24"/>
          <w:lang w:val="sv-SE"/>
        </w:rPr>
        <w:lastRenderedPageBreak/>
        <w:t xml:space="preserve">Umum Konvensional Dan Bank Umum Syariah.” </w:t>
      </w:r>
      <w:r w:rsidRPr="001F420D">
        <w:rPr>
          <w:rFonts w:asciiTheme="majorBidi" w:hAnsiTheme="majorBidi" w:cstheme="majorBidi"/>
          <w:i/>
          <w:iCs/>
          <w:noProof/>
          <w:kern w:val="0"/>
          <w:sz w:val="24"/>
          <w:szCs w:val="24"/>
          <w:lang w:val="sv-SE"/>
        </w:rPr>
        <w:t>Jurnal MANAJERIAL</w:t>
      </w:r>
      <w:r w:rsidRPr="001F420D">
        <w:rPr>
          <w:rFonts w:asciiTheme="majorBidi" w:hAnsiTheme="majorBidi" w:cstheme="majorBidi"/>
          <w:noProof/>
          <w:kern w:val="0"/>
          <w:sz w:val="24"/>
          <w:szCs w:val="24"/>
          <w:lang w:val="sv-SE"/>
        </w:rPr>
        <w:t xml:space="preserve"> 20, no. 2 (2021): 299–310. https://doi.org/10.17509/manajerial.v20i2.29379.</w:t>
      </w:r>
    </w:p>
    <w:p w14:paraId="240460F8" w14:textId="7931D805"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Ismail, Ismail. </w:t>
      </w:r>
      <w:r w:rsidRPr="001F420D">
        <w:rPr>
          <w:rFonts w:asciiTheme="majorBidi" w:hAnsiTheme="majorBidi" w:cstheme="majorBidi"/>
          <w:i/>
          <w:iCs/>
          <w:noProof/>
          <w:kern w:val="0"/>
          <w:sz w:val="24"/>
          <w:szCs w:val="24"/>
          <w:lang w:val="sv-SE"/>
        </w:rPr>
        <w:t>Manajemen Perbankan</w:t>
      </w:r>
      <w:r w:rsidRPr="001F420D">
        <w:rPr>
          <w:rFonts w:asciiTheme="majorBidi" w:hAnsiTheme="majorBidi" w:cstheme="majorBidi"/>
          <w:noProof/>
          <w:kern w:val="0"/>
          <w:sz w:val="24"/>
          <w:szCs w:val="24"/>
          <w:lang w:val="sv-SE"/>
        </w:rPr>
        <w:t>. Kencana, 2018. https://www.google.co.id/books/edition/</w:t>
      </w:r>
      <w:r w:rsidR="00242D07" w:rsidRPr="001F420D">
        <w:rPr>
          <w:rFonts w:asciiTheme="majorBidi" w:hAnsiTheme="majorBidi" w:cstheme="majorBidi"/>
          <w:noProof/>
          <w:kern w:val="0"/>
          <w:sz w:val="24"/>
          <w:szCs w:val="24"/>
          <w:lang w:val="sv-SE"/>
        </w:rPr>
        <w:t xml:space="preserve"> </w:t>
      </w:r>
      <w:r w:rsidRPr="001F420D">
        <w:rPr>
          <w:rFonts w:asciiTheme="majorBidi" w:hAnsiTheme="majorBidi" w:cstheme="majorBidi"/>
          <w:noProof/>
          <w:kern w:val="0"/>
          <w:sz w:val="24"/>
          <w:szCs w:val="24"/>
          <w:lang w:val="sv-SE"/>
        </w:rPr>
        <w:t>Manajeman_Perbankan/cs91DwAAQBAJ?hl=id&amp;gbpv=1&amp;pg=PP1&amp;printsec=frontcover.</w:t>
      </w:r>
    </w:p>
    <w:p w14:paraId="5708C5E3"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Isnalina, and Inayatillah. “Urgensi Penerapan Ta’Zir Pada Perbankan Syariah.” </w:t>
      </w:r>
      <w:r w:rsidRPr="00E23066">
        <w:rPr>
          <w:rFonts w:asciiTheme="majorBidi" w:hAnsiTheme="majorBidi" w:cstheme="majorBidi"/>
          <w:i/>
          <w:iCs/>
          <w:noProof/>
          <w:kern w:val="0"/>
          <w:sz w:val="24"/>
          <w:szCs w:val="24"/>
        </w:rPr>
        <w:t>Proceeding of Dirundeng International Conference on Islamic Studies (DICIS 2021)</w:t>
      </w:r>
      <w:r w:rsidRPr="00E23066">
        <w:rPr>
          <w:rFonts w:asciiTheme="majorBidi" w:hAnsiTheme="majorBidi" w:cstheme="majorBidi"/>
          <w:noProof/>
          <w:kern w:val="0"/>
          <w:sz w:val="24"/>
          <w:szCs w:val="24"/>
        </w:rPr>
        <w:t>, no. 17 (2021): 293–304.</w:t>
      </w:r>
    </w:p>
    <w:p w14:paraId="069C6D5C" w14:textId="4284CF42"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Jaya, I Made Laut Mertha. </w:t>
      </w:r>
      <w:r w:rsidRPr="001F420D">
        <w:rPr>
          <w:rFonts w:asciiTheme="majorBidi" w:hAnsiTheme="majorBidi" w:cstheme="majorBidi"/>
          <w:i/>
          <w:iCs/>
          <w:noProof/>
          <w:kern w:val="0"/>
          <w:sz w:val="24"/>
          <w:szCs w:val="24"/>
          <w:lang w:val="sv-SE"/>
        </w:rPr>
        <w:t>Metode Penelitian Kuantitatif Dan Kualitatif</w:t>
      </w:r>
      <w:r w:rsidRPr="001F420D">
        <w:rPr>
          <w:rFonts w:asciiTheme="majorBidi" w:hAnsiTheme="majorBidi" w:cstheme="majorBidi"/>
          <w:noProof/>
          <w:kern w:val="0"/>
          <w:sz w:val="24"/>
          <w:szCs w:val="24"/>
          <w:lang w:val="sv-SE"/>
        </w:rPr>
        <w:t>. Yogyakarta: Anak Hebat Indonesia, 2020. https://www.google.co.id/books/edition/Metode_Penelitian_Kuantitatif_</w:t>
      </w:r>
      <w:r w:rsidR="00242D07" w:rsidRPr="001F420D">
        <w:rPr>
          <w:rFonts w:asciiTheme="majorBidi" w:hAnsiTheme="majorBidi" w:cstheme="majorBidi"/>
          <w:noProof/>
          <w:kern w:val="0"/>
          <w:sz w:val="24"/>
          <w:szCs w:val="24"/>
          <w:lang w:val="sv-SE"/>
        </w:rPr>
        <w:t xml:space="preserve"> </w:t>
      </w:r>
      <w:r w:rsidRPr="001F420D">
        <w:rPr>
          <w:rFonts w:asciiTheme="majorBidi" w:hAnsiTheme="majorBidi" w:cstheme="majorBidi"/>
          <w:noProof/>
          <w:kern w:val="0"/>
          <w:sz w:val="24"/>
          <w:szCs w:val="24"/>
          <w:lang w:val="sv-SE"/>
        </w:rPr>
        <w:t>dan_Kualit/yz8KEAAAQBAJ?hl=id&amp;gbpv=1&amp;dq=penelitian kuantitatif&amp;pg=PR2&amp;printsec=frontcover.</w:t>
      </w:r>
    </w:p>
    <w:p w14:paraId="3A1C185F"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Juniarty, Nila, Mustika Noor Mifrahi, and Achmad Tohirin. “Faktor-Faktor Yang Mempengaruhi Deposito Mudharabah Pada Bank Syariah Di Indonesia.” </w:t>
      </w:r>
      <w:r w:rsidRPr="001F420D">
        <w:rPr>
          <w:rFonts w:asciiTheme="majorBidi" w:hAnsiTheme="majorBidi" w:cstheme="majorBidi"/>
          <w:i/>
          <w:iCs/>
          <w:noProof/>
          <w:kern w:val="0"/>
          <w:sz w:val="24"/>
          <w:szCs w:val="24"/>
          <w:lang w:val="sv-SE"/>
        </w:rPr>
        <w:t>Jurnal Ekonomi &amp; Keuangan Islam</w:t>
      </w:r>
      <w:r w:rsidRPr="001F420D">
        <w:rPr>
          <w:rFonts w:asciiTheme="majorBidi" w:hAnsiTheme="majorBidi" w:cstheme="majorBidi"/>
          <w:noProof/>
          <w:kern w:val="0"/>
          <w:sz w:val="24"/>
          <w:szCs w:val="24"/>
          <w:lang w:val="sv-SE"/>
        </w:rPr>
        <w:t xml:space="preserve"> 3, no. 1 (2018): 36–42. https://doi.org/10.20885/jeki.vol3.iss1.art5.</w:t>
      </w:r>
    </w:p>
    <w:p w14:paraId="62DFC5F5"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E23066">
        <w:rPr>
          <w:rFonts w:asciiTheme="majorBidi" w:hAnsiTheme="majorBidi" w:cstheme="majorBidi"/>
          <w:noProof/>
          <w:kern w:val="0"/>
          <w:sz w:val="24"/>
          <w:szCs w:val="24"/>
        </w:rPr>
        <w:t xml:space="preserve">Kadir, Abdul, and Fadali Rahman. </w:t>
      </w:r>
      <w:r w:rsidRPr="001F420D">
        <w:rPr>
          <w:rFonts w:asciiTheme="majorBidi" w:hAnsiTheme="majorBidi" w:cstheme="majorBidi"/>
          <w:noProof/>
          <w:kern w:val="0"/>
          <w:sz w:val="24"/>
          <w:szCs w:val="24"/>
          <w:lang w:val="pt-BR"/>
        </w:rPr>
        <w:t xml:space="preserve">“Implementasi Sistem Bagi Hasil Pada Produk Deposito Di Koppontren.” </w:t>
      </w:r>
      <w:r w:rsidRPr="001F420D">
        <w:rPr>
          <w:rFonts w:asciiTheme="majorBidi" w:hAnsiTheme="majorBidi" w:cstheme="majorBidi"/>
          <w:i/>
          <w:iCs/>
          <w:noProof/>
          <w:kern w:val="0"/>
          <w:sz w:val="24"/>
          <w:szCs w:val="24"/>
          <w:lang w:val="pt-BR"/>
        </w:rPr>
        <w:t>Jurnal Investasi Islam</w:t>
      </w:r>
      <w:r w:rsidRPr="001F420D">
        <w:rPr>
          <w:rFonts w:asciiTheme="majorBidi" w:hAnsiTheme="majorBidi" w:cstheme="majorBidi"/>
          <w:noProof/>
          <w:kern w:val="0"/>
          <w:sz w:val="24"/>
          <w:szCs w:val="24"/>
          <w:lang w:val="pt-BR"/>
        </w:rPr>
        <w:t xml:space="preserve"> 3 (2022): 357–65. http://www.syariahbank.com.</w:t>
      </w:r>
    </w:p>
    <w:p w14:paraId="3DBA32DA"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pt-BR"/>
        </w:rPr>
        <w:t xml:space="preserve">Kumalasari, Novia Anindita, Zulpahmi Zulpahmi, and Yadi Nurhayadi. “Pengaruh Inflasi, Tingkat Bagi Hasil, Non Performing Financing, Dan Produk Domestik Bruto Terhadap Deposito Mudharabah Pada Bank Umum Syariah Di Indonesia.” </w:t>
      </w:r>
      <w:r w:rsidRPr="00E23066">
        <w:rPr>
          <w:rFonts w:asciiTheme="majorBidi" w:hAnsiTheme="majorBidi" w:cstheme="majorBidi"/>
          <w:i/>
          <w:iCs/>
          <w:noProof/>
          <w:kern w:val="0"/>
          <w:sz w:val="24"/>
          <w:szCs w:val="24"/>
        </w:rPr>
        <w:t>Jihbiz: Global Journal of Islamic Banking and Finance</w:t>
      </w:r>
      <w:r w:rsidRPr="00E23066">
        <w:rPr>
          <w:rFonts w:asciiTheme="majorBidi" w:hAnsiTheme="majorBidi" w:cstheme="majorBidi"/>
          <w:noProof/>
          <w:kern w:val="0"/>
          <w:sz w:val="24"/>
          <w:szCs w:val="24"/>
        </w:rPr>
        <w:t xml:space="preserve"> 4, no. 1 (2022): 56. https://doi.org/10.22373/jihbiz.v4i1.12431.</w:t>
      </w:r>
    </w:p>
    <w:p w14:paraId="2B3DAFC9"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pt-BR"/>
        </w:rPr>
        <w:t xml:space="preserve">Kurnia, Putu Ayu Rizka Pramitha. “Analisis Risiko Investasi, Risiko Likuiditas Dan Return Pada Deposito Mudharabah PT. </w:t>
      </w:r>
      <w:r w:rsidRPr="00E23066">
        <w:rPr>
          <w:rFonts w:asciiTheme="majorBidi" w:hAnsiTheme="majorBidi" w:cstheme="majorBidi"/>
          <w:noProof/>
          <w:kern w:val="0"/>
          <w:sz w:val="24"/>
          <w:szCs w:val="24"/>
        </w:rPr>
        <w:t xml:space="preserve">Bank Syariah Bukopin Di Indonesia.” </w:t>
      </w:r>
      <w:r w:rsidRPr="00E23066">
        <w:rPr>
          <w:rFonts w:asciiTheme="majorBidi" w:hAnsiTheme="majorBidi" w:cstheme="majorBidi"/>
          <w:i/>
          <w:iCs/>
          <w:noProof/>
          <w:kern w:val="0"/>
          <w:sz w:val="24"/>
          <w:szCs w:val="24"/>
        </w:rPr>
        <w:t>UIN Sumatera Utara</w:t>
      </w:r>
      <w:r w:rsidRPr="00E23066">
        <w:rPr>
          <w:rFonts w:asciiTheme="majorBidi" w:hAnsiTheme="majorBidi" w:cstheme="majorBidi"/>
          <w:noProof/>
          <w:kern w:val="0"/>
          <w:sz w:val="24"/>
          <w:szCs w:val="24"/>
        </w:rPr>
        <w:t>, 2022.</w:t>
      </w:r>
    </w:p>
    <w:p w14:paraId="788D7CA5"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Laily Nur Fitriana, and Syaiful Syaiful. “Pengaruh Suku Bunga, Likuiditas, Dan Bagi Hasil Terhadap Deposito Mudharabah Pada Bank Umum Syariah Yang Ada Di Indonesia.” </w:t>
      </w:r>
      <w:r w:rsidRPr="00E23066">
        <w:rPr>
          <w:rFonts w:asciiTheme="majorBidi" w:hAnsiTheme="majorBidi" w:cstheme="majorBidi"/>
          <w:i/>
          <w:iCs/>
          <w:noProof/>
          <w:kern w:val="0"/>
          <w:sz w:val="24"/>
          <w:szCs w:val="24"/>
        </w:rPr>
        <w:t>Akuntansi</w:t>
      </w:r>
      <w:r w:rsidRPr="00E23066">
        <w:rPr>
          <w:rFonts w:asciiTheme="majorBidi" w:hAnsiTheme="majorBidi" w:cstheme="majorBidi"/>
          <w:noProof/>
          <w:kern w:val="0"/>
          <w:sz w:val="24"/>
          <w:szCs w:val="24"/>
        </w:rPr>
        <w:t xml:space="preserve"> 3, no. 3 (2024): 69–86. https://doi.org/10.55606/akuntansi.v3i3.2050.</w:t>
      </w:r>
    </w:p>
    <w:p w14:paraId="66F3C2D8"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Lubis, Anggi Adelia Firdaus, Muhammad Zuhirsyan, and Asmalidar. “Pengaruh Bagi Hasil Terhadap Jumlah Dana Deposito Mudharabah Pada Bank Syariah Periode 2017-2019.” </w:t>
      </w:r>
      <w:r w:rsidRPr="00E23066">
        <w:rPr>
          <w:rFonts w:asciiTheme="majorBidi" w:hAnsiTheme="majorBidi" w:cstheme="majorBidi"/>
          <w:i/>
          <w:iCs/>
          <w:noProof/>
          <w:kern w:val="0"/>
          <w:sz w:val="24"/>
          <w:szCs w:val="24"/>
        </w:rPr>
        <w:t>Jurnal Bilal (Bisnis Ekonomi Halal)</w:t>
      </w:r>
      <w:r w:rsidRPr="00E23066">
        <w:rPr>
          <w:rFonts w:asciiTheme="majorBidi" w:hAnsiTheme="majorBidi" w:cstheme="majorBidi"/>
          <w:noProof/>
          <w:kern w:val="0"/>
          <w:sz w:val="24"/>
          <w:szCs w:val="24"/>
        </w:rPr>
        <w:t xml:space="preserve"> 1, no. 1 (2020): 1–13.</w:t>
      </w:r>
    </w:p>
    <w:p w14:paraId="3086D0E1" w14:textId="512D4D70"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Mahaaba, Shoona Kabila. “Analisis Pengaruh Tingkat Bagi Hasil Deposito Mudharabah, FDR, Suku Bunga, Inflasi, Dan PDB Terhadap Jumlah Deposito Mudharabah Pada Bank Pembiayaan Rakyat Syari’ah (BPRS) Di Provinsi Banten.” </w:t>
      </w:r>
      <w:r w:rsidRPr="00E23066">
        <w:rPr>
          <w:rFonts w:asciiTheme="majorBidi" w:hAnsiTheme="majorBidi" w:cstheme="majorBidi"/>
          <w:i/>
          <w:iCs/>
          <w:noProof/>
          <w:kern w:val="0"/>
          <w:sz w:val="24"/>
          <w:szCs w:val="24"/>
        </w:rPr>
        <w:t xml:space="preserve">Islaminomics: Journal of Islamic </w:t>
      </w:r>
      <w:r w:rsidRPr="00E23066">
        <w:rPr>
          <w:rFonts w:asciiTheme="majorBidi" w:hAnsiTheme="majorBidi" w:cstheme="majorBidi"/>
          <w:i/>
          <w:iCs/>
          <w:noProof/>
          <w:kern w:val="0"/>
          <w:sz w:val="24"/>
          <w:szCs w:val="24"/>
        </w:rPr>
        <w:lastRenderedPageBreak/>
        <w:t>Economics, Business and Finance</w:t>
      </w:r>
      <w:r w:rsidRPr="00E23066">
        <w:rPr>
          <w:rFonts w:asciiTheme="majorBidi" w:hAnsiTheme="majorBidi" w:cstheme="majorBidi"/>
          <w:noProof/>
          <w:kern w:val="0"/>
          <w:sz w:val="24"/>
          <w:szCs w:val="24"/>
        </w:rPr>
        <w:t xml:space="preserve"> 10, no. 2 (2020): 104–29. https://doi.org/</w:t>
      </w:r>
      <w:r w:rsidR="00242D07">
        <w:rPr>
          <w:rFonts w:asciiTheme="majorBidi" w:hAnsiTheme="majorBidi" w:cstheme="majorBidi"/>
          <w:noProof/>
          <w:kern w:val="0"/>
          <w:sz w:val="24"/>
          <w:szCs w:val="24"/>
        </w:rPr>
        <w:t xml:space="preserve"> </w:t>
      </w:r>
      <w:r w:rsidRPr="00E23066">
        <w:rPr>
          <w:rFonts w:asciiTheme="majorBidi" w:hAnsiTheme="majorBidi" w:cstheme="majorBidi"/>
          <w:noProof/>
          <w:kern w:val="0"/>
          <w:sz w:val="24"/>
          <w:szCs w:val="24"/>
        </w:rPr>
        <w:t>10.47903/ji.v10i2.128.</w:t>
      </w:r>
    </w:p>
    <w:p w14:paraId="3F081D9B"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pt-BR"/>
        </w:rPr>
        <w:t xml:space="preserve">Marito, Nepri, Nofinawati N, and Ali Hardana. </w:t>
      </w:r>
      <w:r w:rsidRPr="00E23066">
        <w:rPr>
          <w:rFonts w:asciiTheme="majorBidi" w:hAnsiTheme="majorBidi" w:cstheme="majorBidi"/>
          <w:noProof/>
          <w:kern w:val="0"/>
          <w:sz w:val="24"/>
          <w:szCs w:val="24"/>
        </w:rPr>
        <w:t xml:space="preserve">“Pengaruh Zakat Perbankan Dan Corporate Social Responsibility Terhadap Kinerja PT. Bank Muamalat Indonesia.” </w:t>
      </w:r>
      <w:r w:rsidRPr="00E23066">
        <w:rPr>
          <w:rFonts w:asciiTheme="majorBidi" w:hAnsiTheme="majorBidi" w:cstheme="majorBidi"/>
          <w:i/>
          <w:iCs/>
          <w:noProof/>
          <w:kern w:val="0"/>
          <w:sz w:val="24"/>
          <w:szCs w:val="24"/>
        </w:rPr>
        <w:t>Journal of Islamic Social Finance Management</w:t>
      </w:r>
      <w:r w:rsidRPr="00E23066">
        <w:rPr>
          <w:rFonts w:asciiTheme="majorBidi" w:hAnsiTheme="majorBidi" w:cstheme="majorBidi"/>
          <w:noProof/>
          <w:kern w:val="0"/>
          <w:sz w:val="24"/>
          <w:szCs w:val="24"/>
        </w:rPr>
        <w:t xml:space="preserve"> 2, no. 2 (2021): 190–209. https://doi.org/10.24952/jisfim.v2i2.5014.</w:t>
      </w:r>
    </w:p>
    <w:p w14:paraId="3564A34B"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Mayasari, Triya, Yusuf, and Agung Yulianto. “The Internal Factors of Indonesian Sharia Banking to Predict The Mudharabah Deposits.” </w:t>
      </w:r>
      <w:r w:rsidRPr="00E23066">
        <w:rPr>
          <w:rFonts w:asciiTheme="majorBidi" w:hAnsiTheme="majorBidi" w:cstheme="majorBidi"/>
          <w:i/>
          <w:iCs/>
          <w:noProof/>
          <w:kern w:val="0"/>
          <w:sz w:val="24"/>
          <w:szCs w:val="24"/>
        </w:rPr>
        <w:t>Rev. Integr. Bus. Econ. Res.</w:t>
      </w:r>
      <w:r w:rsidRPr="00E23066">
        <w:rPr>
          <w:rFonts w:asciiTheme="majorBidi" w:hAnsiTheme="majorBidi" w:cstheme="majorBidi"/>
          <w:noProof/>
          <w:kern w:val="0"/>
          <w:sz w:val="24"/>
          <w:szCs w:val="24"/>
        </w:rPr>
        <w:t xml:space="preserve"> 5, no. 1 (2018): 210. http://buscompress.com/journal-home.html.</w:t>
      </w:r>
    </w:p>
    <w:p w14:paraId="70D941DF" w14:textId="0C19B479"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Muhammad Farid, Wafiq Azizah. “‘Manajemen Risiko Dalam Perbankan Syariah.’” </w:t>
      </w:r>
      <w:r w:rsidRPr="00E23066">
        <w:rPr>
          <w:rFonts w:asciiTheme="majorBidi" w:hAnsiTheme="majorBidi" w:cstheme="majorBidi"/>
          <w:i/>
          <w:iCs/>
          <w:noProof/>
          <w:kern w:val="0"/>
          <w:sz w:val="24"/>
          <w:szCs w:val="24"/>
        </w:rPr>
        <w:t>Jurnal Akuntasi Dan Keuangan Islam</w:t>
      </w:r>
      <w:r w:rsidRPr="00E23066">
        <w:rPr>
          <w:rFonts w:asciiTheme="majorBidi" w:hAnsiTheme="majorBidi" w:cstheme="majorBidi"/>
          <w:noProof/>
          <w:kern w:val="0"/>
          <w:sz w:val="24"/>
          <w:szCs w:val="24"/>
        </w:rPr>
        <w:t xml:space="preserve"> 47, no. 4 (2021): 124–34. https://doi.org/10.31857/</w:t>
      </w:r>
      <w:r w:rsidR="00242D07">
        <w:rPr>
          <w:rFonts w:asciiTheme="majorBidi" w:hAnsiTheme="majorBidi" w:cstheme="majorBidi"/>
          <w:noProof/>
          <w:kern w:val="0"/>
          <w:sz w:val="24"/>
          <w:szCs w:val="24"/>
        </w:rPr>
        <w:t xml:space="preserve"> </w:t>
      </w:r>
      <w:r w:rsidRPr="00E23066">
        <w:rPr>
          <w:rFonts w:asciiTheme="majorBidi" w:hAnsiTheme="majorBidi" w:cstheme="majorBidi"/>
          <w:noProof/>
          <w:kern w:val="0"/>
          <w:sz w:val="24"/>
          <w:szCs w:val="24"/>
        </w:rPr>
        <w:t>s013116462104007x.</w:t>
      </w:r>
    </w:p>
    <w:p w14:paraId="59C0E8BE"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Muhidin, Muhidin, and Tiar Lina Situngkir. “Pengaruh Rasio Profitabilitas Terhadap Harga Saham Perusahaan Perbankan Yang Terdaftar Di Bursa Efek Indonesia Pada Tahun 2015 - 2021.” </w:t>
      </w:r>
      <w:r w:rsidRPr="00E23066">
        <w:rPr>
          <w:rFonts w:asciiTheme="majorBidi" w:hAnsiTheme="majorBidi" w:cstheme="majorBidi"/>
          <w:i/>
          <w:iCs/>
          <w:noProof/>
          <w:kern w:val="0"/>
          <w:sz w:val="24"/>
          <w:szCs w:val="24"/>
        </w:rPr>
        <w:t>Transformasi Manageria:   Journal of Islamic Education Management</w:t>
      </w:r>
      <w:r w:rsidRPr="00E23066">
        <w:rPr>
          <w:rFonts w:asciiTheme="majorBidi" w:hAnsiTheme="majorBidi" w:cstheme="majorBidi"/>
          <w:noProof/>
          <w:kern w:val="0"/>
          <w:sz w:val="24"/>
          <w:szCs w:val="24"/>
        </w:rPr>
        <w:t xml:space="preserve"> 3, no. 1 (2022): 15–27. https://doi.org/10.47467/manageria.v3i1.2093.</w:t>
      </w:r>
    </w:p>
    <w:p w14:paraId="58ADAE0B" w14:textId="4A251815"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Muhri, Asriani, Abdul Hamid Habbe, and Yohanis Rura. </w:t>
      </w:r>
      <w:r w:rsidRPr="001F420D">
        <w:rPr>
          <w:rFonts w:asciiTheme="majorBidi" w:hAnsiTheme="majorBidi" w:cstheme="majorBidi"/>
          <w:noProof/>
          <w:kern w:val="0"/>
          <w:sz w:val="24"/>
          <w:szCs w:val="24"/>
          <w:lang w:val="sv-SE"/>
        </w:rPr>
        <w:t xml:space="preserve">“Analisis Perbandingan Stabilitas Bank Syariah Dan Bank Konvensional.” </w:t>
      </w:r>
      <w:r w:rsidRPr="001F420D">
        <w:rPr>
          <w:rFonts w:asciiTheme="majorBidi" w:hAnsiTheme="majorBidi" w:cstheme="majorBidi"/>
          <w:i/>
          <w:iCs/>
          <w:noProof/>
          <w:kern w:val="0"/>
          <w:sz w:val="24"/>
          <w:szCs w:val="24"/>
          <w:lang w:val="sv-SE"/>
        </w:rPr>
        <w:t>Owner</w:t>
      </w:r>
      <w:r w:rsidRPr="001F420D">
        <w:rPr>
          <w:rFonts w:asciiTheme="majorBidi" w:hAnsiTheme="majorBidi" w:cstheme="majorBidi"/>
          <w:noProof/>
          <w:kern w:val="0"/>
          <w:sz w:val="24"/>
          <w:szCs w:val="24"/>
          <w:lang w:val="sv-SE"/>
        </w:rPr>
        <w:t xml:space="preserve"> 7, no. 1 (2022): 346–66. https://doi.org</w:t>
      </w:r>
      <w:r w:rsidR="00242D07" w:rsidRPr="001F420D">
        <w:rPr>
          <w:rFonts w:asciiTheme="majorBidi" w:hAnsiTheme="majorBidi" w:cstheme="majorBidi"/>
          <w:noProof/>
          <w:kern w:val="0"/>
          <w:sz w:val="24"/>
          <w:szCs w:val="24"/>
          <w:lang w:val="sv-SE"/>
        </w:rPr>
        <w:t xml:space="preserve"> </w:t>
      </w:r>
      <w:r w:rsidRPr="001F420D">
        <w:rPr>
          <w:rFonts w:asciiTheme="majorBidi" w:hAnsiTheme="majorBidi" w:cstheme="majorBidi"/>
          <w:noProof/>
          <w:kern w:val="0"/>
          <w:sz w:val="24"/>
          <w:szCs w:val="24"/>
          <w:lang w:val="sv-SE"/>
        </w:rPr>
        <w:t>/10.33395/owner.v7i1.1360.</w:t>
      </w:r>
    </w:p>
    <w:p w14:paraId="19FAC0DA"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Nasri Katman, Muhammad, Syamsul Maarif, Muslimin Kara, Muhammad Nur, and Trisno Wardy Putra. “Analisis Sistem Bagi Hasil Paambi’ Menggunakan Konsep Mudharabah Peternakan Sapi.” </w:t>
      </w:r>
      <w:r w:rsidRPr="001F420D">
        <w:rPr>
          <w:rFonts w:asciiTheme="majorBidi" w:hAnsiTheme="majorBidi" w:cstheme="majorBidi"/>
          <w:i/>
          <w:iCs/>
          <w:noProof/>
          <w:kern w:val="0"/>
          <w:sz w:val="24"/>
          <w:szCs w:val="24"/>
          <w:lang w:val="sv-SE"/>
        </w:rPr>
        <w:t>Equilibrium: Jurnal Penelitian Pendidikan Dan Ekonomi</w:t>
      </w:r>
      <w:r w:rsidRPr="001F420D">
        <w:rPr>
          <w:rFonts w:asciiTheme="majorBidi" w:hAnsiTheme="majorBidi" w:cstheme="majorBidi"/>
          <w:noProof/>
          <w:kern w:val="0"/>
          <w:sz w:val="24"/>
          <w:szCs w:val="24"/>
          <w:lang w:val="sv-SE"/>
        </w:rPr>
        <w:t xml:space="preserve"> 19, no. 02 (2022): 161–71. https://doi.org/10.25134/equi.v19i02.5883.</w:t>
      </w:r>
    </w:p>
    <w:p w14:paraId="43C53167"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Nihayah, Ana Zahrotun, and Sri Walyoto. “Identification of Non Performing Financing Alteration Measured by Microeconomic Variable Sharia Banking.” </w:t>
      </w:r>
      <w:r w:rsidRPr="00E23066">
        <w:rPr>
          <w:rFonts w:asciiTheme="majorBidi" w:hAnsiTheme="majorBidi" w:cstheme="majorBidi"/>
          <w:i/>
          <w:iCs/>
          <w:noProof/>
          <w:kern w:val="0"/>
          <w:sz w:val="24"/>
          <w:szCs w:val="24"/>
        </w:rPr>
        <w:t>Journal of Finance and Islamic Banking</w:t>
      </w:r>
      <w:r w:rsidRPr="00E23066">
        <w:rPr>
          <w:rFonts w:asciiTheme="majorBidi" w:hAnsiTheme="majorBidi" w:cstheme="majorBidi"/>
          <w:noProof/>
          <w:kern w:val="0"/>
          <w:sz w:val="24"/>
          <w:szCs w:val="24"/>
        </w:rPr>
        <w:t xml:space="preserve"> 1, no. 1 (2018): 23–38. https://doi.org/10.22515/jfib.v1i1.1245.</w:t>
      </w:r>
    </w:p>
    <w:p w14:paraId="7F051DD2"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Ningsih, Nur Wahyu, and Karnila Ali. </w:t>
      </w:r>
      <w:r w:rsidRPr="001F420D">
        <w:rPr>
          <w:rFonts w:asciiTheme="majorBidi" w:hAnsiTheme="majorBidi" w:cstheme="majorBidi"/>
          <w:noProof/>
          <w:kern w:val="0"/>
          <w:sz w:val="24"/>
          <w:szCs w:val="24"/>
          <w:lang w:val="pt-BR"/>
        </w:rPr>
        <w:t xml:space="preserve">“Risiko Dan Pengembalian Hasil Pada Investasi Deposito Mudharabah Bank Syariah.” </w:t>
      </w:r>
      <w:r w:rsidRPr="001F420D">
        <w:rPr>
          <w:rFonts w:asciiTheme="majorBidi" w:hAnsiTheme="majorBidi" w:cstheme="majorBidi"/>
          <w:i/>
          <w:iCs/>
          <w:noProof/>
          <w:kern w:val="0"/>
          <w:sz w:val="24"/>
          <w:szCs w:val="24"/>
          <w:lang w:val="sv-SE"/>
        </w:rPr>
        <w:t>Fidusia : Jurnal Keuangan Dan Perbankan</w:t>
      </w:r>
      <w:r w:rsidRPr="001F420D">
        <w:rPr>
          <w:rFonts w:asciiTheme="majorBidi" w:hAnsiTheme="majorBidi" w:cstheme="majorBidi"/>
          <w:noProof/>
          <w:kern w:val="0"/>
          <w:sz w:val="24"/>
          <w:szCs w:val="24"/>
          <w:lang w:val="sv-SE"/>
        </w:rPr>
        <w:t xml:space="preserve"> 4, no. 1 (2021): 30–42. https://doi.org/10.24127/jf.v4i1.589.</w:t>
      </w:r>
    </w:p>
    <w:p w14:paraId="02560697"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Nini, Murniati, Rahmaita. “Pengaruh Jumlah Bagi Hasil Deposito, Likuiditas, Dan Inflasi Terhadap Jumlah Deposito Mudharabah Pada Bank Syariah Mandiri.” </w:t>
      </w:r>
      <w:r w:rsidRPr="001F420D">
        <w:rPr>
          <w:rFonts w:asciiTheme="majorBidi" w:hAnsiTheme="majorBidi" w:cstheme="majorBidi"/>
          <w:i/>
          <w:iCs/>
          <w:noProof/>
          <w:kern w:val="0"/>
          <w:sz w:val="24"/>
          <w:szCs w:val="24"/>
          <w:lang w:val="sv-SE"/>
        </w:rPr>
        <w:t>Jurnal Ekonomi Dan Bisnis Dharma Andalas</w:t>
      </w:r>
      <w:r w:rsidRPr="001F420D">
        <w:rPr>
          <w:rFonts w:asciiTheme="majorBidi" w:hAnsiTheme="majorBidi" w:cstheme="majorBidi"/>
          <w:noProof/>
          <w:kern w:val="0"/>
          <w:sz w:val="24"/>
          <w:szCs w:val="24"/>
          <w:lang w:val="sv-SE"/>
        </w:rPr>
        <w:t xml:space="preserve"> Vol. 22, no. 1 (2020): h. 98.</w:t>
      </w:r>
    </w:p>
    <w:p w14:paraId="394787BA"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sv-SE"/>
        </w:rPr>
        <w:lastRenderedPageBreak/>
        <w:t xml:space="preserve">Novianti, Nana, Tenny Badina, and Aditia Erlangga. “Analisis Pengaruh Return On Asset (ROA), Biaya Operasional Terhadap Pendapatan Operasional (BOPO), Suku Bunga, Financing To Deposits Ratio (FDR) Dan Non Performing Financing (NPF) Terhadap Tingkat Bagi Hasil Deposito Mudharabah (Studi Empiris Pada Bank Um.” </w:t>
      </w:r>
      <w:r w:rsidRPr="00E23066">
        <w:rPr>
          <w:rFonts w:asciiTheme="majorBidi" w:hAnsiTheme="majorBidi" w:cstheme="majorBidi"/>
          <w:i/>
          <w:iCs/>
          <w:noProof/>
          <w:kern w:val="0"/>
          <w:sz w:val="24"/>
          <w:szCs w:val="24"/>
        </w:rPr>
        <w:t>Esensi</w:t>
      </w:r>
      <w:r w:rsidRPr="00E23066">
        <w:rPr>
          <w:rFonts w:asciiTheme="majorBidi" w:hAnsiTheme="majorBidi" w:cstheme="majorBidi"/>
          <w:noProof/>
          <w:kern w:val="0"/>
          <w:sz w:val="24"/>
          <w:szCs w:val="24"/>
        </w:rPr>
        <w:t xml:space="preserve"> 5, no. 1 (2016): 65–86. https://doi.org/10.15408/ess.v5i1.2333.</w:t>
      </w:r>
    </w:p>
    <w:p w14:paraId="082EBF3F" w14:textId="48BB07BF"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Nurhidayah, Wilda, and Amaliyah Amaliyah. “Pengaruh Kecukupan Modal, Pembiayaan Bermasalah, Bagi Hasil Dan Tingkat Inflasi Terhadap Deposito Mudharabah Pada Bank Umum Syariah.” </w:t>
      </w:r>
      <w:r w:rsidR="00242D07" w:rsidRPr="00E23066">
        <w:rPr>
          <w:rFonts w:asciiTheme="majorBidi" w:hAnsiTheme="majorBidi" w:cstheme="majorBidi"/>
          <w:i/>
          <w:iCs/>
          <w:noProof/>
          <w:kern w:val="0"/>
          <w:sz w:val="24"/>
          <w:szCs w:val="24"/>
        </w:rPr>
        <w:t>Scientific Journal Of Reflection</w:t>
      </w:r>
      <w:r w:rsidRPr="00E23066">
        <w:rPr>
          <w:rFonts w:asciiTheme="majorBidi" w:hAnsiTheme="majorBidi" w:cstheme="majorBidi"/>
          <w:i/>
          <w:iCs/>
          <w:noProof/>
          <w:kern w:val="0"/>
          <w:sz w:val="24"/>
          <w:szCs w:val="24"/>
        </w:rPr>
        <w:t> : Economic, Accounting, Management and Business</w:t>
      </w:r>
      <w:r w:rsidRPr="00E23066">
        <w:rPr>
          <w:rFonts w:asciiTheme="majorBidi" w:hAnsiTheme="majorBidi" w:cstheme="majorBidi"/>
          <w:noProof/>
          <w:kern w:val="0"/>
          <w:sz w:val="24"/>
          <w:szCs w:val="24"/>
        </w:rPr>
        <w:t xml:space="preserve"> 4, no. 3 (2021): 550–58. https://doi.org/10.37481/sjr.v4i3.334.</w:t>
      </w:r>
    </w:p>
    <w:p w14:paraId="046B81BF"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Nursiah, Ayu, Bela Nopita Sari, Dian Raudatul Firdausi, Dina Yovita Ria, and Ahmad Hazas Syarif. </w:t>
      </w:r>
      <w:r w:rsidRPr="001F420D">
        <w:rPr>
          <w:rFonts w:asciiTheme="majorBidi" w:hAnsiTheme="majorBidi" w:cstheme="majorBidi"/>
          <w:noProof/>
          <w:kern w:val="0"/>
          <w:sz w:val="24"/>
          <w:szCs w:val="24"/>
          <w:lang w:val="pt-BR"/>
        </w:rPr>
        <w:t xml:space="preserve">“Analisis Nisbah Bagi Hasil Produk Deposito Mudharabah Dalam Lembaga Keuangan Syariah.” </w:t>
      </w:r>
      <w:r w:rsidRPr="00E23066">
        <w:rPr>
          <w:rFonts w:asciiTheme="majorBidi" w:hAnsiTheme="majorBidi" w:cstheme="majorBidi"/>
          <w:i/>
          <w:iCs/>
          <w:noProof/>
          <w:kern w:val="0"/>
          <w:sz w:val="24"/>
          <w:szCs w:val="24"/>
        </w:rPr>
        <w:t>As-Syirkah: Islamic Economic &amp; Financial Journal</w:t>
      </w:r>
      <w:r w:rsidRPr="00E23066">
        <w:rPr>
          <w:rFonts w:asciiTheme="majorBidi" w:hAnsiTheme="majorBidi" w:cstheme="majorBidi"/>
          <w:noProof/>
          <w:kern w:val="0"/>
          <w:sz w:val="24"/>
          <w:szCs w:val="24"/>
        </w:rPr>
        <w:t xml:space="preserve"> 1, no. 2 (2022): 133–47. https://doi.org/10.56672/syirkah.v1i2.24.</w:t>
      </w:r>
    </w:p>
    <w:p w14:paraId="2B5D3628" w14:textId="40F1BCFA"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Nursiyono, Joko Ade, and Pray P.H Nadeak. </w:t>
      </w:r>
      <w:r w:rsidRPr="00E23066">
        <w:rPr>
          <w:rFonts w:asciiTheme="majorBidi" w:hAnsiTheme="majorBidi" w:cstheme="majorBidi"/>
          <w:i/>
          <w:iCs/>
          <w:noProof/>
          <w:kern w:val="0"/>
          <w:sz w:val="24"/>
          <w:szCs w:val="24"/>
        </w:rPr>
        <w:t>Setetes Ilmu Regresi Linier</w:t>
      </w:r>
      <w:r w:rsidRPr="00E23066">
        <w:rPr>
          <w:rFonts w:asciiTheme="majorBidi" w:hAnsiTheme="majorBidi" w:cstheme="majorBidi"/>
          <w:noProof/>
          <w:kern w:val="0"/>
          <w:sz w:val="24"/>
          <w:szCs w:val="24"/>
        </w:rPr>
        <w:t>. Malang: Media Nusa Creative, 2016. https://www.google.co.id/books/edition/Setetes_Ilmu_Regresi_Linier/b4ZO</w:t>
      </w:r>
      <w:r w:rsidR="00242D07">
        <w:rPr>
          <w:rFonts w:asciiTheme="majorBidi" w:hAnsiTheme="majorBidi" w:cstheme="majorBidi"/>
          <w:noProof/>
          <w:kern w:val="0"/>
          <w:sz w:val="24"/>
          <w:szCs w:val="24"/>
        </w:rPr>
        <w:t xml:space="preserve"> </w:t>
      </w:r>
      <w:r w:rsidRPr="00E23066">
        <w:rPr>
          <w:rFonts w:asciiTheme="majorBidi" w:hAnsiTheme="majorBidi" w:cstheme="majorBidi"/>
          <w:noProof/>
          <w:kern w:val="0"/>
          <w:sz w:val="24"/>
          <w:szCs w:val="24"/>
        </w:rPr>
        <w:t>EAAAQBAJ?hl=id&amp;gbpv=1&amp;dq=uji parsial adalah&amp;pg=PR4&amp;printsec=frontcover.</w:t>
      </w:r>
    </w:p>
    <w:p w14:paraId="31F37818"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sv-SE"/>
        </w:rPr>
        <w:t xml:space="preserve">Piuspitaningrum, Rani, Falahuddin, and Nurul Husna. </w:t>
      </w:r>
      <w:r w:rsidRPr="001F420D">
        <w:rPr>
          <w:rFonts w:asciiTheme="majorBidi" w:hAnsiTheme="majorBidi" w:cstheme="majorBidi"/>
          <w:noProof/>
          <w:kern w:val="0"/>
          <w:sz w:val="24"/>
          <w:szCs w:val="24"/>
          <w:lang w:val="pt-BR"/>
        </w:rPr>
        <w:t>“Analisis Pengaruh Tingkat Bagi Hasil, Inflasi, Dan Likuiditas Terhadap Deposito Mudharabah Pada Bank Umum Syariah Indonesia (Periode 2015-2019)” 4, no. 1 (2021): 58–71.</w:t>
      </w:r>
    </w:p>
    <w:p w14:paraId="64530935" w14:textId="08BAA1CA"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pt-BR"/>
        </w:rPr>
        <w:t xml:space="preserve">Purwoto, Agus. </w:t>
      </w:r>
      <w:r w:rsidRPr="001F420D">
        <w:rPr>
          <w:rFonts w:asciiTheme="majorBidi" w:hAnsiTheme="majorBidi" w:cstheme="majorBidi"/>
          <w:i/>
          <w:iCs/>
          <w:noProof/>
          <w:kern w:val="0"/>
          <w:sz w:val="24"/>
          <w:szCs w:val="24"/>
          <w:lang w:val="pt-BR"/>
        </w:rPr>
        <w:t>Panduan Laboratorium Statistik Inferensial</w:t>
      </w:r>
      <w:r w:rsidRPr="001F420D">
        <w:rPr>
          <w:rFonts w:asciiTheme="majorBidi" w:hAnsiTheme="majorBidi" w:cstheme="majorBidi"/>
          <w:noProof/>
          <w:kern w:val="0"/>
          <w:sz w:val="24"/>
          <w:szCs w:val="24"/>
          <w:lang w:val="pt-BR"/>
        </w:rPr>
        <w:t>. Jakarta: Gramedia Widisarana Indonesia, 2007. https://www.google.co.id/books/edition/Panduan_Lab_Statistik_Inferensial</w:t>
      </w:r>
      <w:r w:rsidR="00242D07" w:rsidRPr="001F420D">
        <w:rPr>
          <w:rFonts w:asciiTheme="majorBidi" w:hAnsiTheme="majorBidi" w:cstheme="majorBidi"/>
          <w:noProof/>
          <w:kern w:val="0"/>
          <w:sz w:val="24"/>
          <w:szCs w:val="24"/>
          <w:lang w:val="pt-BR"/>
        </w:rPr>
        <w:t xml:space="preserve"> </w:t>
      </w:r>
      <w:r w:rsidRPr="001F420D">
        <w:rPr>
          <w:rFonts w:asciiTheme="majorBidi" w:hAnsiTheme="majorBidi" w:cstheme="majorBidi"/>
          <w:noProof/>
          <w:kern w:val="0"/>
          <w:sz w:val="24"/>
          <w:szCs w:val="24"/>
          <w:lang w:val="pt-BR"/>
        </w:rPr>
        <w:t>/jW2fTDlu0z0C?hl=id&amp;gbpv=1&amp;dq=uji multikolinearitas&amp;pg=PP1&amp;printsec=frontcover.</w:t>
      </w:r>
    </w:p>
    <w:p w14:paraId="609523F2"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Puspitasari, Vania Evanita, Fitri Yetty, and Siwi Nugraheni. </w:t>
      </w:r>
      <w:r w:rsidRPr="001F420D">
        <w:rPr>
          <w:rFonts w:asciiTheme="majorBidi" w:hAnsiTheme="majorBidi" w:cstheme="majorBidi"/>
          <w:noProof/>
          <w:kern w:val="0"/>
          <w:sz w:val="24"/>
          <w:szCs w:val="24"/>
          <w:lang w:val="sv-SE"/>
        </w:rPr>
        <w:t xml:space="preserve">“Pengaruh Literasi Keuangan Syariah, Persepsi Imbal Hasil, Dan Motivasi Terhadap Minat Investasi Di Pasar Modal Syariah.” </w:t>
      </w:r>
      <w:r w:rsidRPr="00E23066">
        <w:rPr>
          <w:rFonts w:asciiTheme="majorBidi" w:hAnsiTheme="majorBidi" w:cstheme="majorBidi"/>
          <w:i/>
          <w:iCs/>
          <w:noProof/>
          <w:kern w:val="0"/>
          <w:sz w:val="24"/>
          <w:szCs w:val="24"/>
        </w:rPr>
        <w:t>Journal of Islamic Economics and Finance Studies</w:t>
      </w:r>
      <w:r w:rsidRPr="00E23066">
        <w:rPr>
          <w:rFonts w:asciiTheme="majorBidi" w:hAnsiTheme="majorBidi" w:cstheme="majorBidi"/>
          <w:noProof/>
          <w:kern w:val="0"/>
          <w:sz w:val="24"/>
          <w:szCs w:val="24"/>
        </w:rPr>
        <w:t xml:space="preserve"> 2, no. 2 (2021): 122. https://doi.org/10.47700/jiefes.v2i2.3292.</w:t>
      </w:r>
    </w:p>
    <w:p w14:paraId="5490F81E"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Putri, Aloysia Praskalin Jelita, and Ickhsanto Wahyudi. “Pengaruh Risiko Kredit, Risiko Likuiditas, Modal Bank Dan Efisiensi Operasional Terhadap Profitibilitas Bank.” </w:t>
      </w:r>
      <w:r w:rsidRPr="001F420D">
        <w:rPr>
          <w:rFonts w:asciiTheme="majorBidi" w:hAnsiTheme="majorBidi" w:cstheme="majorBidi"/>
          <w:i/>
          <w:iCs/>
          <w:noProof/>
          <w:kern w:val="0"/>
          <w:sz w:val="24"/>
          <w:szCs w:val="24"/>
          <w:lang w:val="sv-SE"/>
        </w:rPr>
        <w:t>Jurnal Ilmiah Manajemen, Ekonomi, &amp; Akuntansi (MEA)</w:t>
      </w:r>
      <w:r w:rsidRPr="001F420D">
        <w:rPr>
          <w:rFonts w:asciiTheme="majorBidi" w:hAnsiTheme="majorBidi" w:cstheme="majorBidi"/>
          <w:noProof/>
          <w:kern w:val="0"/>
          <w:sz w:val="24"/>
          <w:szCs w:val="24"/>
          <w:lang w:val="sv-SE"/>
        </w:rPr>
        <w:t xml:space="preserve"> 7, no. 3 (2023): 79–94. https://doi.org/10.31955/mea.v7i3.3313.</w:t>
      </w:r>
    </w:p>
    <w:p w14:paraId="588B84BE"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sv-SE"/>
        </w:rPr>
        <w:t xml:space="preserve">Rahmawati, Apriliyana. “Dampak Risiko Pembiayaan, Risiko Likuiditas Dan Permodalan Terhadap Profitabilitas Perbankan Syariah.” </w:t>
      </w:r>
      <w:r w:rsidRPr="001F420D">
        <w:rPr>
          <w:rFonts w:asciiTheme="majorBidi" w:hAnsiTheme="majorBidi" w:cstheme="majorBidi"/>
          <w:i/>
          <w:iCs/>
          <w:noProof/>
          <w:kern w:val="0"/>
          <w:sz w:val="24"/>
          <w:szCs w:val="24"/>
          <w:lang w:val="pt-BR"/>
        </w:rPr>
        <w:t>Jurnal Administrasi Kantor</w:t>
      </w:r>
      <w:r w:rsidRPr="001F420D">
        <w:rPr>
          <w:rFonts w:asciiTheme="majorBidi" w:hAnsiTheme="majorBidi" w:cstheme="majorBidi"/>
          <w:noProof/>
          <w:kern w:val="0"/>
          <w:sz w:val="24"/>
          <w:szCs w:val="24"/>
          <w:lang w:val="pt-BR"/>
        </w:rPr>
        <w:t xml:space="preserve"> 8, no. 2 (2020): 185–</w:t>
      </w:r>
      <w:r w:rsidRPr="001F420D">
        <w:rPr>
          <w:rFonts w:asciiTheme="majorBidi" w:hAnsiTheme="majorBidi" w:cstheme="majorBidi"/>
          <w:noProof/>
          <w:kern w:val="0"/>
          <w:sz w:val="24"/>
          <w:szCs w:val="24"/>
          <w:lang w:val="pt-BR"/>
        </w:rPr>
        <w:lastRenderedPageBreak/>
        <w:t>98. https://ejournal-binainsani.ac.id/index.php/JAK/article/view/1455/1245.</w:t>
      </w:r>
    </w:p>
    <w:p w14:paraId="7B7051CC"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pt-BR"/>
        </w:rPr>
        <w:t xml:space="preserve">Rahmawati, Azizah, Eka Rahma, Djahratun Syuhada, and Serlina. </w:t>
      </w:r>
      <w:r w:rsidRPr="00E23066">
        <w:rPr>
          <w:rFonts w:asciiTheme="majorBidi" w:hAnsiTheme="majorBidi" w:cstheme="majorBidi"/>
          <w:noProof/>
          <w:kern w:val="0"/>
          <w:sz w:val="24"/>
          <w:szCs w:val="24"/>
        </w:rPr>
        <w:t xml:space="preserve">“Sistem Oprasional Syariah (Bagi Hasil/Profit Sharing).” </w:t>
      </w:r>
      <w:r w:rsidRPr="00E23066">
        <w:rPr>
          <w:rFonts w:asciiTheme="majorBidi" w:hAnsiTheme="majorBidi" w:cstheme="majorBidi"/>
          <w:i/>
          <w:iCs/>
          <w:noProof/>
          <w:kern w:val="0"/>
          <w:sz w:val="24"/>
          <w:szCs w:val="24"/>
        </w:rPr>
        <w:t>Jurnal Ekonomi Syariah</w:t>
      </w:r>
      <w:r w:rsidRPr="00E23066">
        <w:rPr>
          <w:rFonts w:asciiTheme="majorBidi" w:hAnsiTheme="majorBidi" w:cstheme="majorBidi"/>
          <w:noProof/>
          <w:kern w:val="0"/>
          <w:sz w:val="24"/>
          <w:szCs w:val="24"/>
        </w:rPr>
        <w:t xml:space="preserve"> 5, no. 1 (2022): 25–38.</w:t>
      </w:r>
    </w:p>
    <w:p w14:paraId="1EFF0B14"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Rambe, Ihsan. “Analisis Kinerja Keuangan Pada Pt Bank Muamalat Indonesia Tbk.” </w:t>
      </w:r>
      <w:r w:rsidRPr="00E23066">
        <w:rPr>
          <w:rFonts w:asciiTheme="majorBidi" w:hAnsiTheme="majorBidi" w:cstheme="majorBidi"/>
          <w:i/>
          <w:iCs/>
          <w:noProof/>
          <w:kern w:val="0"/>
          <w:sz w:val="24"/>
          <w:szCs w:val="24"/>
        </w:rPr>
        <w:t>Jurnal Al-Iqtishad</w:t>
      </w:r>
      <w:r w:rsidRPr="00E23066">
        <w:rPr>
          <w:rFonts w:asciiTheme="majorBidi" w:hAnsiTheme="majorBidi" w:cstheme="majorBidi"/>
          <w:noProof/>
          <w:kern w:val="0"/>
          <w:sz w:val="24"/>
          <w:szCs w:val="24"/>
        </w:rPr>
        <w:t xml:space="preserve"> 16, no. 1 (2020): 18. https://doi.org/10.24014/jiq.v16i1.9044.</w:t>
      </w:r>
    </w:p>
    <w:p w14:paraId="3958BD6E"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Ria, Desma, Muhammad Iqbal Fasa, Suharto Suharto, and Adib Fachri. “Penerapan Green Banking Di Lingkungan Bank Muamalat Indonesia.” </w:t>
      </w:r>
      <w:r w:rsidRPr="00E23066">
        <w:rPr>
          <w:rFonts w:asciiTheme="majorBidi" w:hAnsiTheme="majorBidi" w:cstheme="majorBidi"/>
          <w:i/>
          <w:iCs/>
          <w:noProof/>
          <w:kern w:val="0"/>
          <w:sz w:val="24"/>
          <w:szCs w:val="24"/>
        </w:rPr>
        <w:t>Jihbiz: Global Journal of Islamic Banking and Finance</w:t>
      </w:r>
      <w:r w:rsidRPr="00E23066">
        <w:rPr>
          <w:rFonts w:asciiTheme="majorBidi" w:hAnsiTheme="majorBidi" w:cstheme="majorBidi"/>
          <w:noProof/>
          <w:kern w:val="0"/>
          <w:sz w:val="24"/>
          <w:szCs w:val="24"/>
        </w:rPr>
        <w:t xml:space="preserve"> 5, no. 1 (2023): 1. https://doi.org/10.22373/jihbiz.v5i1.17195.</w:t>
      </w:r>
    </w:p>
    <w:p w14:paraId="1C680386" w14:textId="67D6E6AA"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Rohadi, Sigit Catur, Susi Sarumpaet, and Usep Syaipudin. “Determinan Non-Performing Loan (NPL) Perbankan Kawasan ASEAN.” </w:t>
      </w:r>
      <w:r w:rsidRPr="00E23066">
        <w:rPr>
          <w:rFonts w:asciiTheme="majorBidi" w:hAnsiTheme="majorBidi" w:cstheme="majorBidi"/>
          <w:i/>
          <w:iCs/>
          <w:noProof/>
          <w:kern w:val="0"/>
          <w:sz w:val="24"/>
          <w:szCs w:val="24"/>
        </w:rPr>
        <w:t>Owner</w:t>
      </w:r>
      <w:r w:rsidRPr="00E23066">
        <w:rPr>
          <w:rFonts w:asciiTheme="majorBidi" w:hAnsiTheme="majorBidi" w:cstheme="majorBidi"/>
          <w:noProof/>
          <w:kern w:val="0"/>
          <w:sz w:val="24"/>
          <w:szCs w:val="24"/>
        </w:rPr>
        <w:t xml:space="preserve"> 8, no. 2 (2024): 1917–29. https://doi.org</w:t>
      </w:r>
      <w:r w:rsidR="00242D07">
        <w:rPr>
          <w:rFonts w:asciiTheme="majorBidi" w:hAnsiTheme="majorBidi" w:cstheme="majorBidi"/>
          <w:noProof/>
          <w:kern w:val="0"/>
          <w:sz w:val="24"/>
          <w:szCs w:val="24"/>
        </w:rPr>
        <w:t xml:space="preserve"> </w:t>
      </w:r>
      <w:r w:rsidRPr="00E23066">
        <w:rPr>
          <w:rFonts w:asciiTheme="majorBidi" w:hAnsiTheme="majorBidi" w:cstheme="majorBidi"/>
          <w:noProof/>
          <w:kern w:val="0"/>
          <w:sz w:val="24"/>
          <w:szCs w:val="24"/>
        </w:rPr>
        <w:t>/10.33395/owner.v8i2.2331.</w:t>
      </w:r>
    </w:p>
    <w:p w14:paraId="5D5BE7FF"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Rohmaniyah, Rosy Tasliyatul, and Cecep Cecep. </w:t>
      </w:r>
      <w:r w:rsidRPr="001F420D">
        <w:rPr>
          <w:rFonts w:asciiTheme="majorBidi" w:hAnsiTheme="majorBidi" w:cstheme="majorBidi"/>
          <w:noProof/>
          <w:kern w:val="0"/>
          <w:sz w:val="24"/>
          <w:szCs w:val="24"/>
          <w:lang w:val="sv-SE"/>
        </w:rPr>
        <w:t xml:space="preserve">“Pandangan Islam Terhadap Manajemen Risiko Melalui Teladan Kisah Nabi Yusuf As.” </w:t>
      </w:r>
      <w:r w:rsidRPr="00E23066">
        <w:rPr>
          <w:rFonts w:asciiTheme="majorBidi" w:hAnsiTheme="majorBidi" w:cstheme="majorBidi"/>
          <w:i/>
          <w:iCs/>
          <w:noProof/>
          <w:kern w:val="0"/>
          <w:sz w:val="24"/>
          <w:szCs w:val="24"/>
        </w:rPr>
        <w:t>Basha’Ir: Jurnal Studi Al-Qur’an Dan Tafsir</w:t>
      </w:r>
      <w:r w:rsidRPr="00E23066">
        <w:rPr>
          <w:rFonts w:asciiTheme="majorBidi" w:hAnsiTheme="majorBidi" w:cstheme="majorBidi"/>
          <w:noProof/>
          <w:kern w:val="0"/>
          <w:sz w:val="24"/>
          <w:szCs w:val="24"/>
        </w:rPr>
        <w:t xml:space="preserve"> 3, no. 1 (2023): 17–22. https://doi.org/10.47498/bashair.v3i1.989.</w:t>
      </w:r>
    </w:p>
    <w:p w14:paraId="29E003F2"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Sabtatianto, Reandy, and Muhamad Yusuf. “Pengaruh BOPO, CAR, FDR Dan ROA Terhadap Tingkat Bagi Hasil Deposito Mudharabah Pada Bank Umum Syariah Di Indonesia.” </w:t>
      </w:r>
      <w:r w:rsidRPr="00E23066">
        <w:rPr>
          <w:rFonts w:asciiTheme="majorBidi" w:hAnsiTheme="majorBidi" w:cstheme="majorBidi"/>
          <w:i/>
          <w:iCs/>
          <w:noProof/>
          <w:kern w:val="0"/>
          <w:sz w:val="24"/>
          <w:szCs w:val="24"/>
        </w:rPr>
        <w:t>ULTIMA Accounting</w:t>
      </w:r>
      <w:r w:rsidRPr="00E23066">
        <w:rPr>
          <w:rFonts w:asciiTheme="majorBidi" w:hAnsiTheme="majorBidi" w:cstheme="majorBidi"/>
          <w:noProof/>
          <w:kern w:val="0"/>
          <w:sz w:val="24"/>
          <w:szCs w:val="24"/>
        </w:rPr>
        <w:t xml:space="preserve"> 10, no. 2 (2019): 169–86. https://doi.org/10.31937/akuntansi.v10i2.978.</w:t>
      </w:r>
    </w:p>
    <w:p w14:paraId="12041A62"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Safitri, Risa Bela Eka, and Dedi Suselo. “Pengaruh Risiko Pembiayaan, Kecukupan Modal Dan Dana Pihak Ketiga Terhadap Profitabilitas Pada Bank Syariah Di Indonesia Tahun 2017-2021.” </w:t>
      </w:r>
      <w:r w:rsidRPr="00E23066">
        <w:rPr>
          <w:rFonts w:asciiTheme="majorBidi" w:hAnsiTheme="majorBidi" w:cstheme="majorBidi"/>
          <w:i/>
          <w:iCs/>
          <w:noProof/>
          <w:kern w:val="0"/>
          <w:sz w:val="24"/>
          <w:szCs w:val="24"/>
        </w:rPr>
        <w:t>Jurnal Mirai Management</w:t>
      </w:r>
      <w:r w:rsidRPr="00E23066">
        <w:rPr>
          <w:rFonts w:asciiTheme="majorBidi" w:hAnsiTheme="majorBidi" w:cstheme="majorBidi"/>
          <w:noProof/>
          <w:kern w:val="0"/>
          <w:sz w:val="24"/>
          <w:szCs w:val="24"/>
        </w:rPr>
        <w:t xml:space="preserve"> 8, no. 1 (2023): 78–87.</w:t>
      </w:r>
    </w:p>
    <w:p w14:paraId="4274CF4F"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Saleh, Muhammad, Asmawarna Sinaga, and Stai- Jam Mahmudiyah. “JEKSya Jurnal Ekonomi Dan Keuangan Syariah.” </w:t>
      </w:r>
      <w:r w:rsidRPr="00E23066">
        <w:rPr>
          <w:rFonts w:asciiTheme="majorBidi" w:hAnsiTheme="majorBidi" w:cstheme="majorBidi"/>
          <w:i/>
          <w:iCs/>
          <w:noProof/>
          <w:kern w:val="0"/>
          <w:sz w:val="24"/>
          <w:szCs w:val="24"/>
        </w:rPr>
        <w:t>JEKSya Jurnal</w:t>
      </w:r>
      <w:r w:rsidRPr="00E23066">
        <w:rPr>
          <w:rFonts w:asciiTheme="majorBidi" w:hAnsiTheme="majorBidi" w:cstheme="majorBidi"/>
          <w:noProof/>
          <w:kern w:val="0"/>
          <w:sz w:val="24"/>
          <w:szCs w:val="24"/>
        </w:rPr>
        <w:t xml:space="preserve"> 2, no. 1 (2023): 285–97.</w:t>
      </w:r>
    </w:p>
    <w:p w14:paraId="1641DBE6"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E23066">
        <w:rPr>
          <w:rFonts w:asciiTheme="majorBidi" w:hAnsiTheme="majorBidi" w:cstheme="majorBidi"/>
          <w:noProof/>
          <w:kern w:val="0"/>
          <w:sz w:val="24"/>
          <w:szCs w:val="24"/>
        </w:rPr>
        <w:t xml:space="preserve">Sante, Zevanya Vaneca, Sri Murni, and Joy Elly Tulung. “Pengaruh Risiko Kredit, Risiko Likuiditas Dan Risiko Operasional Terhadap Profitabilitas Perusahaan Perbankan Yang Terdaftar Di LQ45, Buku III Dan Buku IV Periode 2017-2019.” </w:t>
      </w:r>
      <w:r w:rsidRPr="001F420D">
        <w:rPr>
          <w:rFonts w:asciiTheme="majorBidi" w:hAnsiTheme="majorBidi" w:cstheme="majorBidi"/>
          <w:i/>
          <w:iCs/>
          <w:noProof/>
          <w:kern w:val="0"/>
          <w:sz w:val="24"/>
          <w:szCs w:val="24"/>
          <w:lang w:val="pt-BR"/>
        </w:rPr>
        <w:t>Emba</w:t>
      </w:r>
      <w:r w:rsidRPr="001F420D">
        <w:rPr>
          <w:rFonts w:asciiTheme="majorBidi" w:hAnsiTheme="majorBidi" w:cstheme="majorBidi"/>
          <w:noProof/>
          <w:kern w:val="0"/>
          <w:sz w:val="24"/>
          <w:szCs w:val="24"/>
          <w:lang w:val="pt-BR"/>
        </w:rPr>
        <w:t xml:space="preserve"> 9, no. 3 (2021): 1451–62.</w:t>
      </w:r>
    </w:p>
    <w:p w14:paraId="779DC3FE"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pt-BR"/>
        </w:rPr>
        <w:t xml:space="preserve">Saputra, Maulana Islam, and Wahidahwati. “Pengaruh Inflasi, Suku Bunga, Likuiditas Dan Bagi Hasil Terhadap Deposito Mudharabah.” </w:t>
      </w:r>
      <w:r w:rsidRPr="001F420D">
        <w:rPr>
          <w:rFonts w:asciiTheme="majorBidi" w:hAnsiTheme="majorBidi" w:cstheme="majorBidi"/>
          <w:i/>
          <w:iCs/>
          <w:noProof/>
          <w:kern w:val="0"/>
          <w:sz w:val="24"/>
          <w:szCs w:val="24"/>
          <w:lang w:val="pt-BR"/>
        </w:rPr>
        <w:t>Ilmu Dan Riset Akuntansi</w:t>
      </w:r>
      <w:r w:rsidRPr="001F420D">
        <w:rPr>
          <w:rFonts w:asciiTheme="majorBidi" w:hAnsiTheme="majorBidi" w:cstheme="majorBidi"/>
          <w:noProof/>
          <w:kern w:val="0"/>
          <w:sz w:val="24"/>
          <w:szCs w:val="24"/>
          <w:lang w:val="pt-BR"/>
        </w:rPr>
        <w:t xml:space="preserve"> 7, no. 7 (2018): 21.</w:t>
      </w:r>
    </w:p>
    <w:p w14:paraId="7A74E560"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pt-BR"/>
        </w:rPr>
        <w:t xml:space="preserve">Sholikha, Akhris Fuadatis. “Pengaruh Tingkat Suku Bunga, Tingkat Bagi Hasil, Likuiditas, Inflasi, Ukuran Bank, Dan Pertumbuhan Produk Domestik Bruto Terhadap Deposito Mudharabah Bank Umum Syariah Di Indonesia.” </w:t>
      </w:r>
      <w:r w:rsidRPr="001F420D">
        <w:rPr>
          <w:rFonts w:asciiTheme="majorBidi" w:hAnsiTheme="majorBidi" w:cstheme="majorBidi"/>
          <w:i/>
          <w:iCs/>
          <w:noProof/>
          <w:kern w:val="0"/>
          <w:sz w:val="24"/>
          <w:szCs w:val="24"/>
          <w:lang w:val="pt-BR"/>
        </w:rPr>
        <w:t>El-Jizya : Jurnal Ekonomi Islam</w:t>
      </w:r>
      <w:r w:rsidRPr="001F420D">
        <w:rPr>
          <w:rFonts w:asciiTheme="majorBidi" w:hAnsiTheme="majorBidi" w:cstheme="majorBidi"/>
          <w:noProof/>
          <w:kern w:val="0"/>
          <w:sz w:val="24"/>
          <w:szCs w:val="24"/>
          <w:lang w:val="pt-BR"/>
        </w:rPr>
        <w:t xml:space="preserve"> 6, no. 1 (2018): 1–22. </w:t>
      </w:r>
      <w:r w:rsidRPr="001F420D">
        <w:rPr>
          <w:rFonts w:asciiTheme="majorBidi" w:hAnsiTheme="majorBidi" w:cstheme="majorBidi"/>
          <w:noProof/>
          <w:kern w:val="0"/>
          <w:sz w:val="24"/>
          <w:szCs w:val="24"/>
          <w:lang w:val="pt-BR"/>
        </w:rPr>
        <w:lastRenderedPageBreak/>
        <w:t>https://doi.org/10.24090/ej.v6i1.2045.</w:t>
      </w:r>
    </w:p>
    <w:p w14:paraId="719088AF"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pt-BR"/>
        </w:rPr>
        <w:t xml:space="preserve">Sifki, Nurhidayatus, and Ibram Pinondang Dalimunthe. “Pengaruh Bagi Hasil, Biaya Promosi, Efisiensi Operasional Dan Ukuran Perusahaan Terhadap Jumlah Deposito Mudharabah.” </w:t>
      </w:r>
      <w:r w:rsidRPr="00E23066">
        <w:rPr>
          <w:rFonts w:asciiTheme="majorBidi" w:hAnsiTheme="majorBidi" w:cstheme="majorBidi"/>
          <w:i/>
          <w:iCs/>
          <w:noProof/>
          <w:kern w:val="0"/>
          <w:sz w:val="24"/>
          <w:szCs w:val="24"/>
        </w:rPr>
        <w:t>JAS (Jurnal Akuntansi Syariah)</w:t>
      </w:r>
      <w:r w:rsidRPr="00E23066">
        <w:rPr>
          <w:rFonts w:asciiTheme="majorBidi" w:hAnsiTheme="majorBidi" w:cstheme="majorBidi"/>
          <w:noProof/>
          <w:kern w:val="0"/>
          <w:sz w:val="24"/>
          <w:szCs w:val="24"/>
        </w:rPr>
        <w:t xml:space="preserve"> 6, no. 1 (2022): 28–44. https://doi.org/10.46367/jas.v6i1.505.</w:t>
      </w:r>
    </w:p>
    <w:p w14:paraId="50D8A8AB" w14:textId="688595F6"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Somantri, Yeni Fitriani, and Wawan Sukmana. “Analisis Faktor- Faktor Yang Mempengaruhi Financing to Deposit Ratio (FDR) Pada Bank Umum Syariah Di Indonesia.” </w:t>
      </w:r>
      <w:r w:rsidRPr="00E23066">
        <w:rPr>
          <w:rFonts w:asciiTheme="majorBidi" w:hAnsiTheme="majorBidi" w:cstheme="majorBidi"/>
          <w:i/>
          <w:iCs/>
          <w:noProof/>
          <w:kern w:val="0"/>
          <w:sz w:val="24"/>
          <w:szCs w:val="24"/>
        </w:rPr>
        <w:t>Berkala Akuntansi Dan Keuangan Indonesia</w:t>
      </w:r>
      <w:r w:rsidRPr="00E23066">
        <w:rPr>
          <w:rFonts w:asciiTheme="majorBidi" w:hAnsiTheme="majorBidi" w:cstheme="majorBidi"/>
          <w:noProof/>
          <w:kern w:val="0"/>
          <w:sz w:val="24"/>
          <w:szCs w:val="24"/>
        </w:rPr>
        <w:t xml:space="preserve"> 4, no. 2 (2020): 61. https://doi.org/10.20473</w:t>
      </w:r>
      <w:r w:rsidR="00242D07">
        <w:rPr>
          <w:rFonts w:asciiTheme="majorBidi" w:hAnsiTheme="majorBidi" w:cstheme="majorBidi"/>
          <w:noProof/>
          <w:kern w:val="0"/>
          <w:sz w:val="24"/>
          <w:szCs w:val="24"/>
        </w:rPr>
        <w:t xml:space="preserve"> </w:t>
      </w:r>
      <w:r w:rsidRPr="00E23066">
        <w:rPr>
          <w:rFonts w:asciiTheme="majorBidi" w:hAnsiTheme="majorBidi" w:cstheme="majorBidi"/>
          <w:noProof/>
          <w:kern w:val="0"/>
          <w:sz w:val="24"/>
          <w:szCs w:val="24"/>
        </w:rPr>
        <w:t>/baki.v4i2.18404.</w:t>
      </w:r>
    </w:p>
    <w:p w14:paraId="22CB9525"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Sormin, Samsu Karim, Muhammad Vikri Ardiasnsyah, and Muhammad bin Darda. “Kurangnya Nasabah Di Bank Syariah Dibandingkan Bank Konvensional.” </w:t>
      </w:r>
      <w:r w:rsidRPr="001F420D">
        <w:rPr>
          <w:rFonts w:asciiTheme="majorBidi" w:hAnsiTheme="majorBidi" w:cstheme="majorBidi"/>
          <w:i/>
          <w:iCs/>
          <w:noProof/>
          <w:kern w:val="0"/>
          <w:sz w:val="24"/>
          <w:szCs w:val="24"/>
          <w:lang w:val="sv-SE"/>
        </w:rPr>
        <w:t>Karimah Tauhid</w:t>
      </w:r>
      <w:r w:rsidRPr="001F420D">
        <w:rPr>
          <w:rFonts w:asciiTheme="majorBidi" w:hAnsiTheme="majorBidi" w:cstheme="majorBidi"/>
          <w:noProof/>
          <w:kern w:val="0"/>
          <w:sz w:val="24"/>
          <w:szCs w:val="24"/>
          <w:lang w:val="sv-SE"/>
        </w:rPr>
        <w:t xml:space="preserve"> 2, no. 4 (2023): 1080–86.</w:t>
      </w:r>
    </w:p>
    <w:p w14:paraId="77256AEE"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sv-SE"/>
        </w:rPr>
        <w:t xml:space="preserve">Sudariana, and Yoedani. “Analisis Statistik Regresi Linier Berganda.” </w:t>
      </w:r>
      <w:r w:rsidRPr="00E23066">
        <w:rPr>
          <w:rFonts w:asciiTheme="majorBidi" w:hAnsiTheme="majorBidi" w:cstheme="majorBidi"/>
          <w:i/>
          <w:iCs/>
          <w:noProof/>
          <w:kern w:val="0"/>
          <w:sz w:val="24"/>
          <w:szCs w:val="24"/>
        </w:rPr>
        <w:t>Seniman Transaction</w:t>
      </w:r>
      <w:r w:rsidRPr="00E23066">
        <w:rPr>
          <w:rFonts w:asciiTheme="majorBidi" w:hAnsiTheme="majorBidi" w:cstheme="majorBidi"/>
          <w:noProof/>
          <w:kern w:val="0"/>
          <w:sz w:val="24"/>
          <w:szCs w:val="24"/>
        </w:rPr>
        <w:t xml:space="preserve"> 2, no. 2 (2022): 1–11.</w:t>
      </w:r>
    </w:p>
    <w:p w14:paraId="71841908"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Suharsimi, Arikunto. “Prosedur Penelitian” 2, no. 3 (2010): 211–13.</w:t>
      </w:r>
    </w:p>
    <w:p w14:paraId="73C12963"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Suriani, Suriani, and Rayyan Firdaus. “Pengaruh Akuntansi Deposito Mudharabah Dalam Unit Syariah Bank Konvensional Pada Laporan Keuangan Bank Tersebut.” </w:t>
      </w:r>
      <w:r w:rsidRPr="00E23066">
        <w:rPr>
          <w:rFonts w:asciiTheme="majorBidi" w:hAnsiTheme="majorBidi" w:cstheme="majorBidi"/>
          <w:i/>
          <w:iCs/>
          <w:noProof/>
          <w:kern w:val="0"/>
          <w:sz w:val="24"/>
          <w:szCs w:val="24"/>
        </w:rPr>
        <w:t>Jurnal Intelek Dan Cendikiawan Nusantara</w:t>
      </w:r>
      <w:r w:rsidRPr="00E23066">
        <w:rPr>
          <w:rFonts w:asciiTheme="majorBidi" w:hAnsiTheme="majorBidi" w:cstheme="majorBidi"/>
          <w:noProof/>
          <w:kern w:val="0"/>
          <w:sz w:val="24"/>
          <w:szCs w:val="24"/>
        </w:rPr>
        <w:t xml:space="preserve"> 1, no. 6 (2025): 9612–23.</w:t>
      </w:r>
    </w:p>
    <w:p w14:paraId="545DA0F1"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Sutra Lena, Shery, and Muhammad Syarofi. “Penetapan Margin Dan Nisbah Bagi Hasil Pada Pembiayaan Mudharabah Di Bank Syariah Indonesia.” </w:t>
      </w:r>
      <w:r w:rsidRPr="001F420D">
        <w:rPr>
          <w:rFonts w:asciiTheme="majorBidi" w:hAnsiTheme="majorBidi" w:cstheme="majorBidi"/>
          <w:i/>
          <w:iCs/>
          <w:noProof/>
          <w:kern w:val="0"/>
          <w:sz w:val="24"/>
          <w:szCs w:val="24"/>
          <w:lang w:val="sv-SE"/>
        </w:rPr>
        <w:t>Jurnal Ekonomi Dan Bisnis Islam (JEBI)</w:t>
      </w:r>
      <w:r w:rsidRPr="001F420D">
        <w:rPr>
          <w:rFonts w:asciiTheme="majorBidi" w:hAnsiTheme="majorBidi" w:cstheme="majorBidi"/>
          <w:noProof/>
          <w:kern w:val="0"/>
          <w:sz w:val="24"/>
          <w:szCs w:val="24"/>
          <w:lang w:val="sv-SE"/>
        </w:rPr>
        <w:t xml:space="preserve"> 2, no. 2 (2022): 153–62. https://doi.org/10.56013/jebi.v2i2.1529.</w:t>
      </w:r>
    </w:p>
    <w:p w14:paraId="26F41FA2"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Syaipudin, Latif, and Ahmad Luthfi. “Pengaruh Financing to Debt Ratio Dan Net Profit Margin Terhadap Profitabilitas Bank Muamalat Indonesia Periode 2013-2022” 1, no. 1 (2024): 10–21.</w:t>
      </w:r>
    </w:p>
    <w:p w14:paraId="7E6E5AC5" w14:textId="0F3BA7A2"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E23066">
        <w:rPr>
          <w:rFonts w:asciiTheme="majorBidi" w:hAnsiTheme="majorBidi" w:cstheme="majorBidi"/>
          <w:noProof/>
          <w:kern w:val="0"/>
          <w:sz w:val="24"/>
          <w:szCs w:val="24"/>
        </w:rPr>
        <w:t xml:space="preserve">Syarvina, Wahyu. “Penerapan Akad Mudharabah Muqayyadah Pada Bank Syariah Di Indonesia.” </w:t>
      </w:r>
      <w:r w:rsidRPr="001F420D">
        <w:rPr>
          <w:rFonts w:asciiTheme="majorBidi" w:hAnsiTheme="majorBidi" w:cstheme="majorBidi"/>
          <w:i/>
          <w:iCs/>
          <w:noProof/>
          <w:kern w:val="0"/>
          <w:sz w:val="24"/>
          <w:szCs w:val="24"/>
          <w:lang w:val="pt-BR"/>
        </w:rPr>
        <w:t>Studia Economica : Jurnal Ekonomi Islam</w:t>
      </w:r>
      <w:r w:rsidRPr="001F420D">
        <w:rPr>
          <w:rFonts w:asciiTheme="majorBidi" w:hAnsiTheme="majorBidi" w:cstheme="majorBidi"/>
          <w:noProof/>
          <w:kern w:val="0"/>
          <w:sz w:val="24"/>
          <w:szCs w:val="24"/>
          <w:lang w:val="pt-BR"/>
        </w:rPr>
        <w:t xml:space="preserve"> 7, no. 1 (2021): 21. https://doi.org/10.30821</w:t>
      </w:r>
      <w:r w:rsidR="00242D07" w:rsidRPr="001F420D">
        <w:rPr>
          <w:rFonts w:asciiTheme="majorBidi" w:hAnsiTheme="majorBidi" w:cstheme="majorBidi"/>
          <w:noProof/>
          <w:kern w:val="0"/>
          <w:sz w:val="24"/>
          <w:szCs w:val="24"/>
          <w:lang w:val="pt-BR"/>
        </w:rPr>
        <w:t xml:space="preserve"> </w:t>
      </w:r>
      <w:r w:rsidRPr="001F420D">
        <w:rPr>
          <w:rFonts w:asciiTheme="majorBidi" w:hAnsiTheme="majorBidi" w:cstheme="majorBidi"/>
          <w:noProof/>
          <w:kern w:val="0"/>
          <w:sz w:val="24"/>
          <w:szCs w:val="24"/>
          <w:lang w:val="pt-BR"/>
        </w:rPr>
        <w:t>/se.v7i1.9806.</w:t>
      </w:r>
    </w:p>
    <w:p w14:paraId="6A9D3E5C"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pt-BR"/>
        </w:rPr>
        <w:t xml:space="preserve">Syi’aruddin.dkk, Muhammad Anwar. “Dinamika Pengalaman Keagamaan Umat Islam Melayu Di Asia Tenggara.” </w:t>
      </w:r>
      <w:r w:rsidRPr="001F420D">
        <w:rPr>
          <w:rFonts w:asciiTheme="majorBidi" w:hAnsiTheme="majorBidi" w:cstheme="majorBidi"/>
          <w:i/>
          <w:iCs/>
          <w:noProof/>
          <w:kern w:val="0"/>
          <w:sz w:val="24"/>
          <w:szCs w:val="24"/>
          <w:lang w:val="pt-BR"/>
        </w:rPr>
        <w:t>Dinamika Pengalaman Keagamaan Umat Islam Melayu Di Asia Tenggara</w:t>
      </w:r>
      <w:r w:rsidRPr="001F420D">
        <w:rPr>
          <w:rFonts w:asciiTheme="majorBidi" w:hAnsiTheme="majorBidi" w:cstheme="majorBidi"/>
          <w:noProof/>
          <w:kern w:val="0"/>
          <w:sz w:val="24"/>
          <w:szCs w:val="24"/>
          <w:lang w:val="pt-BR"/>
        </w:rPr>
        <w:t>, no. April (2023): 1–584.</w:t>
      </w:r>
    </w:p>
    <w:p w14:paraId="2D6E46EF"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pt-BR"/>
        </w:rPr>
        <w:t xml:space="preserve">Tahun, Syariah, and Inna Cikita Mahdatika. “Pengaruh Manajemen Gap, Modal, Likuiditas, Risiko Pemboayaan, Tingkat Efisiensi Dan Ukuran Bank (Size) Terhadap Net Interest Margin </w:t>
      </w:r>
      <w:r w:rsidRPr="001F420D">
        <w:rPr>
          <w:rFonts w:asciiTheme="majorBidi" w:hAnsiTheme="majorBidi" w:cstheme="majorBidi"/>
          <w:noProof/>
          <w:kern w:val="0"/>
          <w:sz w:val="24"/>
          <w:szCs w:val="24"/>
          <w:lang w:val="pt-BR"/>
        </w:rPr>
        <w:lastRenderedPageBreak/>
        <w:t>Pada Bank Syariah Mandiri Bank BRI Syariah Dan Bank BNI” 7 (2022): 315–32.</w:t>
      </w:r>
    </w:p>
    <w:p w14:paraId="7AA40DCC"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pt-BR"/>
        </w:rPr>
      </w:pPr>
      <w:r w:rsidRPr="001F420D">
        <w:rPr>
          <w:rFonts w:asciiTheme="majorBidi" w:hAnsiTheme="majorBidi" w:cstheme="majorBidi"/>
          <w:noProof/>
          <w:kern w:val="0"/>
          <w:sz w:val="24"/>
          <w:szCs w:val="24"/>
          <w:lang w:val="pt-BR"/>
        </w:rPr>
        <w:t>Tolitoli, Di Kabupaten, Moh Nasir, Hasan Dg, and Cytra Dewi Peuru. “Pengaruh Jumlah Penduduk Dan Pengangguran Terhadap Tingkat Kemiskinan Ekonomi Pembangunan , Sekolah Tinggi Ilmu Ekonomi Mujahidin CitraDewiPeuru@gmail.Com The Effect of Population and Unemployment on Poverty Levels in Tolitoli District Menurut Sukirno ( 2” 4, no. 1 (2022): 19–26.</w:t>
      </w:r>
    </w:p>
    <w:p w14:paraId="02B23630"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Utama, Andrew Shandy. “Digitalisasi Produk Bank Konvensional Dan Bank Syariah Di Indonesia.” </w:t>
      </w:r>
      <w:r w:rsidRPr="001F420D">
        <w:rPr>
          <w:rFonts w:asciiTheme="majorBidi" w:hAnsiTheme="majorBidi" w:cstheme="majorBidi"/>
          <w:i/>
          <w:iCs/>
          <w:noProof/>
          <w:kern w:val="0"/>
          <w:sz w:val="24"/>
          <w:szCs w:val="24"/>
          <w:lang w:val="sv-SE"/>
        </w:rPr>
        <w:t>Jurnal Justisia : Jurnal Ilmu Hukum, Perundang-Undangan Dan Pranata Sosial</w:t>
      </w:r>
      <w:r w:rsidRPr="001F420D">
        <w:rPr>
          <w:rFonts w:asciiTheme="majorBidi" w:hAnsiTheme="majorBidi" w:cstheme="majorBidi"/>
          <w:noProof/>
          <w:kern w:val="0"/>
          <w:sz w:val="24"/>
          <w:szCs w:val="24"/>
          <w:lang w:val="sv-SE"/>
        </w:rPr>
        <w:t xml:space="preserve"> 6, no. 2 (2021): 113. https://doi.org/10.22373/justisia.v6i2.11532.</w:t>
      </w:r>
    </w:p>
    <w:p w14:paraId="09D57248" w14:textId="6FBEA763"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Wahyu Fauziah, Nafisah, and Segaf. “Seberapa Pengaruh Penetapan Nisbah Bagi Hasil, Inflasi, Dan Jumlah Uang Beredar Terhadap Deposito Mudharabah Di Indonesia.” </w:t>
      </w:r>
      <w:r w:rsidRPr="00E23066">
        <w:rPr>
          <w:rFonts w:asciiTheme="majorBidi" w:hAnsiTheme="majorBidi" w:cstheme="majorBidi"/>
          <w:i/>
          <w:iCs/>
          <w:noProof/>
          <w:kern w:val="0"/>
          <w:sz w:val="24"/>
          <w:szCs w:val="24"/>
        </w:rPr>
        <w:t>Jurnal Tabarru’: Islamic Banking and Finance</w:t>
      </w:r>
      <w:r w:rsidRPr="00E23066">
        <w:rPr>
          <w:rFonts w:asciiTheme="majorBidi" w:hAnsiTheme="majorBidi" w:cstheme="majorBidi"/>
          <w:noProof/>
          <w:kern w:val="0"/>
          <w:sz w:val="24"/>
          <w:szCs w:val="24"/>
        </w:rPr>
        <w:t xml:space="preserve"> 5, no. 2 (2022): 435–47. https://doi.org/10.25299</w:t>
      </w:r>
      <w:r>
        <w:rPr>
          <w:rFonts w:asciiTheme="majorBidi" w:hAnsiTheme="majorBidi" w:cstheme="majorBidi"/>
          <w:noProof/>
          <w:kern w:val="0"/>
          <w:sz w:val="24"/>
          <w:szCs w:val="24"/>
        </w:rPr>
        <w:t xml:space="preserve"> </w:t>
      </w:r>
      <w:r w:rsidRPr="00E23066">
        <w:rPr>
          <w:rFonts w:asciiTheme="majorBidi" w:hAnsiTheme="majorBidi" w:cstheme="majorBidi"/>
          <w:noProof/>
          <w:kern w:val="0"/>
          <w:sz w:val="24"/>
          <w:szCs w:val="24"/>
        </w:rPr>
        <w:t>/jtb.2022.vol5(2).9681.</w:t>
      </w:r>
    </w:p>
    <w:p w14:paraId="5C8DF964"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Wahyuni, Sri Vita, and Afriyeni Afriyeni. “Aktivitas Penghimpunan Dana Deposito Pada Pt. Bank Pembangunan Daerah (Bpd) Sumatera Barat Cabang Lintau.” </w:t>
      </w:r>
      <w:r w:rsidRPr="001F420D">
        <w:rPr>
          <w:rFonts w:asciiTheme="majorBidi" w:hAnsiTheme="majorBidi" w:cstheme="majorBidi"/>
          <w:i/>
          <w:iCs/>
          <w:noProof/>
          <w:kern w:val="0"/>
          <w:sz w:val="24"/>
          <w:szCs w:val="24"/>
          <w:lang w:val="sv-SE"/>
        </w:rPr>
        <w:t>Management</w:t>
      </w:r>
      <w:r w:rsidRPr="001F420D">
        <w:rPr>
          <w:rFonts w:asciiTheme="majorBidi" w:hAnsiTheme="majorBidi" w:cstheme="majorBidi"/>
          <w:noProof/>
          <w:kern w:val="0"/>
          <w:sz w:val="24"/>
          <w:szCs w:val="24"/>
          <w:lang w:val="sv-SE"/>
        </w:rPr>
        <w:t xml:space="preserve"> 2, no. 1 (2019): 25–26.</w:t>
      </w:r>
    </w:p>
    <w:p w14:paraId="4DA55BDE" w14:textId="42FC0E53"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Waty, Ervina, Annisa Fitri Anggraeni, and Anita Apriani. </w:t>
      </w:r>
      <w:r w:rsidRPr="001F420D">
        <w:rPr>
          <w:rFonts w:asciiTheme="majorBidi" w:hAnsiTheme="majorBidi" w:cstheme="majorBidi"/>
          <w:i/>
          <w:iCs/>
          <w:noProof/>
          <w:kern w:val="0"/>
          <w:sz w:val="24"/>
          <w:szCs w:val="24"/>
          <w:lang w:val="sv-SE"/>
        </w:rPr>
        <w:t>Metodologi Penelitian Bisnis</w:t>
      </w:r>
      <w:r w:rsidRPr="001F420D">
        <w:rPr>
          <w:rFonts w:asciiTheme="majorBidi" w:hAnsiTheme="majorBidi" w:cstheme="majorBidi"/>
          <w:noProof/>
          <w:kern w:val="0"/>
          <w:sz w:val="24"/>
          <w:szCs w:val="24"/>
          <w:lang w:val="sv-SE"/>
        </w:rPr>
        <w:t>. Pertama. Jambi: PT. Sonpedia Publishing Indonesia, 2023. https://www.google.co.id/books/</w:t>
      </w:r>
      <w:r w:rsidR="00242D07" w:rsidRPr="001F420D">
        <w:rPr>
          <w:rFonts w:asciiTheme="majorBidi" w:hAnsiTheme="majorBidi" w:cstheme="majorBidi"/>
          <w:noProof/>
          <w:kern w:val="0"/>
          <w:sz w:val="24"/>
          <w:szCs w:val="24"/>
          <w:lang w:val="sv-SE"/>
        </w:rPr>
        <w:t xml:space="preserve"> </w:t>
      </w:r>
      <w:r w:rsidRPr="001F420D">
        <w:rPr>
          <w:rFonts w:asciiTheme="majorBidi" w:hAnsiTheme="majorBidi" w:cstheme="majorBidi"/>
          <w:noProof/>
          <w:kern w:val="0"/>
          <w:sz w:val="24"/>
          <w:szCs w:val="24"/>
          <w:lang w:val="sv-SE"/>
        </w:rPr>
        <w:t>edition/</w:t>
      </w:r>
      <w:r w:rsidR="00242D07" w:rsidRPr="001F420D">
        <w:rPr>
          <w:rFonts w:asciiTheme="majorBidi" w:hAnsiTheme="majorBidi" w:cstheme="majorBidi"/>
          <w:noProof/>
          <w:kern w:val="0"/>
          <w:sz w:val="24"/>
          <w:szCs w:val="24"/>
          <w:lang w:val="sv-SE"/>
        </w:rPr>
        <w:t>Metodologi_Penelitian_Bisnis</w:t>
      </w:r>
      <w:r w:rsidRPr="001F420D">
        <w:rPr>
          <w:rFonts w:asciiTheme="majorBidi" w:hAnsiTheme="majorBidi" w:cstheme="majorBidi"/>
          <w:noProof/>
          <w:kern w:val="0"/>
          <w:sz w:val="24"/>
          <w:szCs w:val="24"/>
          <w:lang w:val="sv-SE"/>
        </w:rPr>
        <w:t>_Teori_Pandu/MVzfEAAAQBAJ?hl=id&amp;gbpv=1&amp;dq=uji asumsi klasik&amp;pg=PR1&amp;printsec=frontcover.</w:t>
      </w:r>
    </w:p>
    <w:p w14:paraId="5BC22971" w14:textId="543347EB"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E23066">
        <w:rPr>
          <w:rFonts w:asciiTheme="majorBidi" w:hAnsiTheme="majorBidi" w:cstheme="majorBidi"/>
          <w:noProof/>
          <w:kern w:val="0"/>
          <w:sz w:val="24"/>
          <w:szCs w:val="24"/>
        </w:rPr>
        <w:t xml:space="preserve">Wibowo, Edhi Satriyo, and Muhammad Syaichu. “Analisis Pengaruh Suku Bunga, INFLASI, CAR, BOPO, NPF </w:t>
      </w:r>
      <w:r w:rsidR="00242D07" w:rsidRPr="00E23066">
        <w:rPr>
          <w:rFonts w:asciiTheme="majorBidi" w:hAnsiTheme="majorBidi" w:cstheme="majorBidi"/>
          <w:noProof/>
          <w:kern w:val="0"/>
          <w:sz w:val="24"/>
          <w:szCs w:val="24"/>
        </w:rPr>
        <w:t>Terhadap Profitabilitas Bank Syariah</w:t>
      </w:r>
      <w:r w:rsidRPr="00E23066">
        <w:rPr>
          <w:rFonts w:asciiTheme="majorBidi" w:hAnsiTheme="majorBidi" w:cstheme="majorBidi"/>
          <w:noProof/>
          <w:kern w:val="0"/>
          <w:sz w:val="24"/>
          <w:szCs w:val="24"/>
        </w:rPr>
        <w:t xml:space="preserve">.” </w:t>
      </w:r>
      <w:r w:rsidRPr="00E23066">
        <w:rPr>
          <w:rFonts w:asciiTheme="majorBidi" w:hAnsiTheme="majorBidi" w:cstheme="majorBidi"/>
          <w:i/>
          <w:iCs/>
          <w:noProof/>
          <w:kern w:val="0"/>
          <w:sz w:val="24"/>
          <w:szCs w:val="24"/>
        </w:rPr>
        <w:t>Diponegoro Journal Of Management</w:t>
      </w:r>
      <w:r w:rsidRPr="00E23066">
        <w:rPr>
          <w:rFonts w:asciiTheme="majorBidi" w:hAnsiTheme="majorBidi" w:cstheme="majorBidi"/>
          <w:noProof/>
          <w:kern w:val="0"/>
          <w:sz w:val="24"/>
          <w:szCs w:val="24"/>
        </w:rPr>
        <w:t xml:space="preserve"> 10, no. 6 (1955): 191.</w:t>
      </w:r>
    </w:p>
    <w:p w14:paraId="42BCAD11"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Winanti, Wiwin. “Manajemen Risiko Likuiditas Pada Perbankan Syariah.” </w:t>
      </w:r>
      <w:r w:rsidRPr="001F420D">
        <w:rPr>
          <w:rFonts w:asciiTheme="majorBidi" w:hAnsiTheme="majorBidi" w:cstheme="majorBidi"/>
          <w:i/>
          <w:iCs/>
          <w:noProof/>
          <w:kern w:val="0"/>
          <w:sz w:val="24"/>
          <w:szCs w:val="24"/>
          <w:lang w:val="sv-SE"/>
        </w:rPr>
        <w:t>EKSISBANK: Ekonomi Syariah Dan Bisnis Perbankan</w:t>
      </w:r>
      <w:r w:rsidRPr="001F420D">
        <w:rPr>
          <w:rFonts w:asciiTheme="majorBidi" w:hAnsiTheme="majorBidi" w:cstheme="majorBidi"/>
          <w:noProof/>
          <w:kern w:val="0"/>
          <w:sz w:val="24"/>
          <w:szCs w:val="24"/>
          <w:lang w:val="sv-SE"/>
        </w:rPr>
        <w:t xml:space="preserve"> 3, no. 1 (2019): 81–90. https://doi.org/10.37726/ee.v3i1.34.</w:t>
      </w:r>
    </w:p>
    <w:p w14:paraId="5B4836EC" w14:textId="2CB3CC4E"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 xml:space="preserve">Winarni, Endang Widi. </w:t>
      </w:r>
      <w:r w:rsidRPr="001F420D">
        <w:rPr>
          <w:rFonts w:asciiTheme="majorBidi" w:hAnsiTheme="majorBidi" w:cstheme="majorBidi"/>
          <w:i/>
          <w:iCs/>
          <w:noProof/>
          <w:kern w:val="0"/>
          <w:sz w:val="24"/>
          <w:szCs w:val="24"/>
          <w:lang w:val="sv-SE"/>
        </w:rPr>
        <w:t>Teori Dan Praktik Penelitian Kuantitatif Kualitatif</w:t>
      </w:r>
      <w:r w:rsidRPr="001F420D">
        <w:rPr>
          <w:rFonts w:asciiTheme="majorBidi" w:hAnsiTheme="majorBidi" w:cstheme="majorBidi"/>
          <w:noProof/>
          <w:kern w:val="0"/>
          <w:sz w:val="24"/>
          <w:szCs w:val="24"/>
          <w:lang w:val="sv-SE"/>
        </w:rPr>
        <w:t>. Pertama. Jakarta: Bumi Aksara, 2018. https://www.google.co.id/books/edition/Teori_dan_Praktik_Penelitian_ Kuantitatif/Fx0mEAAAQBAJ?hl=id&amp;gbpv=1&amp;dq=pengertian populasi dan sampel&amp;pg =PR4&amp;printsec=frontcover.</w:t>
      </w:r>
    </w:p>
    <w:p w14:paraId="7C6FDC17" w14:textId="77777777" w:rsidR="00E23066" w:rsidRPr="00E23066"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rPr>
      </w:pPr>
      <w:r w:rsidRPr="001F420D">
        <w:rPr>
          <w:rFonts w:asciiTheme="majorBidi" w:hAnsiTheme="majorBidi" w:cstheme="majorBidi"/>
          <w:noProof/>
          <w:kern w:val="0"/>
          <w:sz w:val="24"/>
          <w:szCs w:val="24"/>
          <w:lang w:val="sv-SE"/>
        </w:rPr>
        <w:t xml:space="preserve">Wulandari, Puput. “Ekosistem Perbankan Syariah Dalam Mendukung Indonesia Menjadi Trend Setter Industri Halal.” </w:t>
      </w:r>
      <w:r w:rsidRPr="00E23066">
        <w:rPr>
          <w:rFonts w:asciiTheme="majorBidi" w:hAnsiTheme="majorBidi" w:cstheme="majorBidi"/>
          <w:i/>
          <w:iCs/>
          <w:noProof/>
          <w:kern w:val="0"/>
          <w:sz w:val="24"/>
          <w:szCs w:val="24"/>
        </w:rPr>
        <w:t>Jurnal Tabarru’ : Islamic Banking and Finance</w:t>
      </w:r>
      <w:r w:rsidRPr="00E23066">
        <w:rPr>
          <w:rFonts w:asciiTheme="majorBidi" w:hAnsiTheme="majorBidi" w:cstheme="majorBidi"/>
          <w:noProof/>
          <w:kern w:val="0"/>
          <w:sz w:val="24"/>
          <w:szCs w:val="24"/>
        </w:rPr>
        <w:t xml:space="preserve"> 6, no. November </w:t>
      </w:r>
      <w:r w:rsidRPr="00E23066">
        <w:rPr>
          <w:rFonts w:asciiTheme="majorBidi" w:hAnsiTheme="majorBidi" w:cstheme="majorBidi"/>
          <w:noProof/>
          <w:kern w:val="0"/>
          <w:sz w:val="24"/>
          <w:szCs w:val="24"/>
        </w:rPr>
        <w:lastRenderedPageBreak/>
        <w:t>(2023): 388.</w:t>
      </w:r>
    </w:p>
    <w:p w14:paraId="6A5B4ED2"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E23066">
        <w:rPr>
          <w:rFonts w:asciiTheme="majorBidi" w:hAnsiTheme="majorBidi" w:cstheme="majorBidi"/>
          <w:noProof/>
          <w:kern w:val="0"/>
          <w:sz w:val="24"/>
          <w:szCs w:val="24"/>
        </w:rPr>
        <w:t xml:space="preserve">Yahya, Muchlis, and Edy Yusuf Agunggunanto. </w:t>
      </w:r>
      <w:r w:rsidRPr="001F420D">
        <w:rPr>
          <w:rFonts w:asciiTheme="majorBidi" w:hAnsiTheme="majorBidi" w:cstheme="majorBidi"/>
          <w:noProof/>
          <w:kern w:val="0"/>
          <w:sz w:val="24"/>
          <w:szCs w:val="24"/>
          <w:lang w:val="sv-SE"/>
        </w:rPr>
        <w:t xml:space="preserve">“Teori Bagi Hasil (Profit and Loss Sharing) Dan Perbankan Syariah Dalam Ekonomi Syariah.” </w:t>
      </w:r>
      <w:r w:rsidRPr="001F420D">
        <w:rPr>
          <w:rFonts w:asciiTheme="majorBidi" w:hAnsiTheme="majorBidi" w:cstheme="majorBidi"/>
          <w:i/>
          <w:iCs/>
          <w:noProof/>
          <w:kern w:val="0"/>
          <w:sz w:val="24"/>
          <w:szCs w:val="24"/>
          <w:lang w:val="sv-SE"/>
        </w:rPr>
        <w:t>Jurnal Dinamika Ekonomi Pembangunan</w:t>
      </w:r>
      <w:r w:rsidRPr="001F420D">
        <w:rPr>
          <w:rFonts w:asciiTheme="majorBidi" w:hAnsiTheme="majorBidi" w:cstheme="majorBidi"/>
          <w:noProof/>
          <w:kern w:val="0"/>
          <w:sz w:val="24"/>
          <w:szCs w:val="24"/>
          <w:lang w:val="sv-SE"/>
        </w:rPr>
        <w:t xml:space="preserve"> 1, no. 1 (2012): 65. https://doi.org/10.14710/jdep.1.1.65-73.</w:t>
      </w:r>
    </w:p>
    <w:p w14:paraId="4BEBC0DB"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Yulianah, and Euis Komariah. “Risiko Pembiayaan Murabahah, Mudharabah Dan Musyarakah BUS Terhadap Profitabilitas (ROA) Periode 2011-2015” 10, no. 1 (2017).</w:t>
      </w:r>
    </w:p>
    <w:p w14:paraId="2E5260FC"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kern w:val="0"/>
          <w:sz w:val="24"/>
          <w:szCs w:val="24"/>
          <w:lang w:val="sv-SE"/>
        </w:rPr>
      </w:pPr>
      <w:r w:rsidRPr="001F420D">
        <w:rPr>
          <w:rFonts w:asciiTheme="majorBidi" w:hAnsiTheme="majorBidi" w:cstheme="majorBidi"/>
          <w:noProof/>
          <w:kern w:val="0"/>
          <w:sz w:val="24"/>
          <w:szCs w:val="24"/>
          <w:lang w:val="sv-SE"/>
        </w:rPr>
        <w:t>Zannah, Mitha Miftahul, Imam Abdul, Aziz Universitas, and Djuanda Bogor. “Analisis Mitigasi Risiko Pembiayaan Bermasalah Pada PT BPRS Amanah Ummah KC Cicurug,” 2025, 14–24. https://doi.org/10.24252/iqtisaduna.v11i.</w:t>
      </w:r>
    </w:p>
    <w:p w14:paraId="295F6BB4" w14:textId="77777777" w:rsidR="00E23066" w:rsidRPr="001F420D" w:rsidRDefault="00E23066" w:rsidP="00E23066">
      <w:pPr>
        <w:widowControl w:val="0"/>
        <w:autoSpaceDE w:val="0"/>
        <w:autoSpaceDN w:val="0"/>
        <w:adjustRightInd w:val="0"/>
        <w:spacing w:line="360" w:lineRule="auto"/>
        <w:ind w:left="480" w:hanging="480"/>
        <w:jc w:val="both"/>
        <w:rPr>
          <w:rFonts w:asciiTheme="majorBidi" w:hAnsiTheme="majorBidi" w:cstheme="majorBidi"/>
          <w:noProof/>
          <w:sz w:val="24"/>
          <w:szCs w:val="24"/>
          <w:lang w:val="sv-SE"/>
        </w:rPr>
      </w:pPr>
      <w:r w:rsidRPr="001F420D">
        <w:rPr>
          <w:rFonts w:asciiTheme="majorBidi" w:hAnsiTheme="majorBidi" w:cstheme="majorBidi"/>
          <w:noProof/>
          <w:kern w:val="0"/>
          <w:sz w:val="24"/>
          <w:szCs w:val="24"/>
          <w:lang w:val="sv-SE"/>
        </w:rPr>
        <w:t>Zulkifli, Aklilah, Juita Gusniati, Marshella Septi Zulefni, and Raesa Aldania Afendi. “Dengan Tutorial Uji Normalitas Dan Menggunakan Aplikasi SPSS Uji Homogenitas” 1, no. 2 (2025): 55–68.</w:t>
      </w:r>
    </w:p>
    <w:p w14:paraId="48F00A8B" w14:textId="77777777" w:rsidR="00CB67EB" w:rsidRPr="00B51544" w:rsidRDefault="00CB67EB" w:rsidP="00E23066">
      <w:pPr>
        <w:spacing w:line="360" w:lineRule="auto"/>
        <w:jc w:val="both"/>
        <w:rPr>
          <w:rFonts w:asciiTheme="majorBidi" w:hAnsiTheme="majorBidi" w:cstheme="majorBidi"/>
          <w:sz w:val="24"/>
          <w:szCs w:val="24"/>
          <w:lang w:val="sv-SE"/>
        </w:rPr>
      </w:pPr>
      <w:r w:rsidRPr="00E23066">
        <w:rPr>
          <w:rFonts w:asciiTheme="majorBidi" w:hAnsiTheme="majorBidi" w:cstheme="majorBidi"/>
          <w:sz w:val="24"/>
          <w:szCs w:val="24"/>
          <w:lang w:val="sv-SE"/>
        </w:rPr>
        <w:fldChar w:fldCharType="end"/>
      </w:r>
    </w:p>
    <w:bookmarkEnd w:id="91"/>
    <w:bookmarkEnd w:id="95"/>
    <w:p w14:paraId="67148CC8" w14:textId="77777777" w:rsidR="00CB67EB" w:rsidRPr="00B51544" w:rsidRDefault="00CB67EB" w:rsidP="00B51544">
      <w:pPr>
        <w:spacing w:line="360" w:lineRule="auto"/>
        <w:jc w:val="both"/>
        <w:rPr>
          <w:rFonts w:asciiTheme="majorBidi" w:hAnsiTheme="majorBidi" w:cstheme="majorBidi"/>
          <w:sz w:val="24"/>
          <w:szCs w:val="24"/>
          <w:lang w:val="sv-SE"/>
        </w:rPr>
      </w:pPr>
    </w:p>
    <w:p w14:paraId="0B446E63" w14:textId="77777777" w:rsidR="00CB67EB" w:rsidRPr="00B51544" w:rsidRDefault="00CB67EB" w:rsidP="00B51544">
      <w:pPr>
        <w:spacing w:line="360" w:lineRule="auto"/>
        <w:jc w:val="both"/>
        <w:rPr>
          <w:rFonts w:asciiTheme="majorBidi" w:hAnsiTheme="majorBidi" w:cstheme="majorBidi"/>
          <w:sz w:val="24"/>
          <w:szCs w:val="24"/>
          <w:lang w:val="sv-SE"/>
        </w:rPr>
      </w:pPr>
    </w:p>
    <w:p w14:paraId="5B4B8C8E" w14:textId="77777777" w:rsidR="00CB67EB" w:rsidRPr="00B51544" w:rsidRDefault="00CB67EB" w:rsidP="00B51544">
      <w:pPr>
        <w:spacing w:line="360" w:lineRule="auto"/>
        <w:jc w:val="both"/>
        <w:rPr>
          <w:rFonts w:asciiTheme="majorBidi" w:hAnsiTheme="majorBidi" w:cstheme="majorBidi"/>
          <w:sz w:val="24"/>
          <w:szCs w:val="24"/>
          <w:lang w:val="sv-SE"/>
        </w:rPr>
      </w:pPr>
    </w:p>
    <w:p w14:paraId="5558DF07" w14:textId="77777777" w:rsidR="00CB67EB" w:rsidRDefault="00CB67EB" w:rsidP="00484DA9">
      <w:pPr>
        <w:spacing w:line="360" w:lineRule="auto"/>
        <w:jc w:val="both"/>
        <w:rPr>
          <w:rFonts w:asciiTheme="majorBidi" w:hAnsiTheme="majorBidi" w:cstheme="majorBidi"/>
          <w:sz w:val="24"/>
          <w:szCs w:val="24"/>
          <w:lang w:val="sv-SE"/>
        </w:rPr>
      </w:pPr>
    </w:p>
    <w:p w14:paraId="1C306328" w14:textId="77777777" w:rsidR="00811D1F" w:rsidRDefault="00811D1F" w:rsidP="00484DA9">
      <w:pPr>
        <w:spacing w:line="360" w:lineRule="auto"/>
        <w:jc w:val="both"/>
        <w:rPr>
          <w:rFonts w:asciiTheme="majorBidi" w:hAnsiTheme="majorBidi" w:cstheme="majorBidi"/>
          <w:sz w:val="24"/>
          <w:szCs w:val="24"/>
          <w:lang w:val="sv-SE"/>
        </w:rPr>
      </w:pPr>
    </w:p>
    <w:p w14:paraId="405C0633" w14:textId="77777777" w:rsidR="00FE470D" w:rsidRDefault="00FE470D" w:rsidP="00484DA9">
      <w:pPr>
        <w:spacing w:line="360" w:lineRule="auto"/>
        <w:jc w:val="both"/>
        <w:rPr>
          <w:rFonts w:asciiTheme="majorBidi" w:hAnsiTheme="majorBidi" w:cstheme="majorBidi"/>
          <w:sz w:val="24"/>
          <w:szCs w:val="24"/>
          <w:lang w:val="sv-SE"/>
        </w:rPr>
      </w:pPr>
    </w:p>
    <w:p w14:paraId="6FA19BCD" w14:textId="77777777" w:rsidR="00FE470D" w:rsidRDefault="00FE470D" w:rsidP="00484DA9">
      <w:pPr>
        <w:spacing w:line="360" w:lineRule="auto"/>
        <w:jc w:val="both"/>
        <w:rPr>
          <w:rFonts w:asciiTheme="majorBidi" w:hAnsiTheme="majorBidi" w:cstheme="majorBidi"/>
          <w:sz w:val="24"/>
          <w:szCs w:val="24"/>
          <w:lang w:val="sv-SE"/>
        </w:rPr>
      </w:pPr>
    </w:p>
    <w:p w14:paraId="0BFA0BB9" w14:textId="77777777" w:rsidR="00FE470D" w:rsidRDefault="00FE470D" w:rsidP="00484DA9">
      <w:pPr>
        <w:spacing w:line="360" w:lineRule="auto"/>
        <w:jc w:val="both"/>
        <w:rPr>
          <w:rFonts w:asciiTheme="majorBidi" w:hAnsiTheme="majorBidi" w:cstheme="majorBidi"/>
          <w:sz w:val="24"/>
          <w:szCs w:val="24"/>
          <w:lang w:val="sv-SE"/>
        </w:rPr>
      </w:pPr>
    </w:p>
    <w:p w14:paraId="116256E7" w14:textId="77777777" w:rsidR="00242D07" w:rsidRDefault="00242D07" w:rsidP="00484DA9">
      <w:pPr>
        <w:spacing w:line="360" w:lineRule="auto"/>
        <w:jc w:val="both"/>
        <w:rPr>
          <w:rFonts w:asciiTheme="majorBidi" w:hAnsiTheme="majorBidi" w:cstheme="majorBidi"/>
          <w:sz w:val="24"/>
          <w:szCs w:val="24"/>
          <w:lang w:val="sv-SE"/>
        </w:rPr>
      </w:pPr>
    </w:p>
    <w:p w14:paraId="698D584D" w14:textId="77777777" w:rsidR="00242D07" w:rsidRDefault="00242D07" w:rsidP="00484DA9">
      <w:pPr>
        <w:spacing w:line="360" w:lineRule="auto"/>
        <w:jc w:val="both"/>
        <w:rPr>
          <w:rFonts w:asciiTheme="majorBidi" w:hAnsiTheme="majorBidi" w:cstheme="majorBidi"/>
          <w:sz w:val="24"/>
          <w:szCs w:val="24"/>
          <w:lang w:val="sv-SE"/>
        </w:rPr>
      </w:pPr>
    </w:p>
    <w:p w14:paraId="79C4E602" w14:textId="77777777" w:rsidR="00242D07" w:rsidRDefault="00242D07" w:rsidP="00484DA9">
      <w:pPr>
        <w:spacing w:line="360" w:lineRule="auto"/>
        <w:jc w:val="both"/>
        <w:rPr>
          <w:rFonts w:asciiTheme="majorBidi" w:hAnsiTheme="majorBidi" w:cstheme="majorBidi"/>
          <w:sz w:val="24"/>
          <w:szCs w:val="24"/>
          <w:lang w:val="sv-SE"/>
        </w:rPr>
      </w:pPr>
    </w:p>
    <w:p w14:paraId="79BF84B5" w14:textId="77777777" w:rsidR="00242D07" w:rsidRDefault="00242D07" w:rsidP="00484DA9">
      <w:pPr>
        <w:spacing w:line="360" w:lineRule="auto"/>
        <w:jc w:val="both"/>
        <w:rPr>
          <w:rFonts w:asciiTheme="majorBidi" w:hAnsiTheme="majorBidi" w:cstheme="majorBidi"/>
          <w:sz w:val="24"/>
          <w:szCs w:val="24"/>
          <w:lang w:val="sv-SE"/>
        </w:rPr>
      </w:pPr>
    </w:p>
    <w:p w14:paraId="4426EA2B" w14:textId="77777777" w:rsidR="00FE470D" w:rsidRDefault="00FE470D" w:rsidP="00484DA9">
      <w:pPr>
        <w:spacing w:line="360" w:lineRule="auto"/>
        <w:jc w:val="both"/>
        <w:rPr>
          <w:rFonts w:asciiTheme="majorBidi" w:hAnsiTheme="majorBidi" w:cstheme="majorBidi"/>
          <w:sz w:val="24"/>
          <w:szCs w:val="24"/>
          <w:lang w:val="sv-SE"/>
        </w:rPr>
      </w:pPr>
    </w:p>
    <w:p w14:paraId="28B0E654" w14:textId="4897D034" w:rsidR="00C72842" w:rsidRPr="00FE470D" w:rsidRDefault="00811D1F" w:rsidP="00FE470D">
      <w:pPr>
        <w:pStyle w:val="Heading1"/>
        <w:spacing w:before="0" w:line="240" w:lineRule="auto"/>
        <w:jc w:val="center"/>
        <w:rPr>
          <w:rFonts w:asciiTheme="majorBidi" w:hAnsiTheme="majorBidi"/>
          <w:b/>
          <w:bCs/>
          <w:color w:val="auto"/>
          <w:sz w:val="24"/>
          <w:szCs w:val="24"/>
          <w:lang w:val="sv-SE"/>
        </w:rPr>
      </w:pPr>
      <w:bookmarkStart w:id="96" w:name="_Toc201063345"/>
      <w:bookmarkStart w:id="97" w:name="_Hlk201245427"/>
      <w:r w:rsidRPr="00811D1F">
        <w:rPr>
          <w:rFonts w:asciiTheme="majorBidi" w:hAnsiTheme="majorBidi"/>
          <w:b/>
          <w:bCs/>
          <w:color w:val="auto"/>
          <w:sz w:val="24"/>
          <w:szCs w:val="24"/>
          <w:lang w:val="sv-SE"/>
        </w:rPr>
        <w:lastRenderedPageBreak/>
        <w:t>LAMPIRAN</w:t>
      </w:r>
      <w:bookmarkEnd w:id="96"/>
    </w:p>
    <w:p w14:paraId="315D82FE" w14:textId="56524F88" w:rsidR="00811D1F" w:rsidRPr="00811D1F" w:rsidRDefault="00811D1F" w:rsidP="00FE470D">
      <w:pPr>
        <w:pStyle w:val="Caption"/>
        <w:jc w:val="center"/>
        <w:rPr>
          <w:rFonts w:asciiTheme="majorBidi" w:hAnsiTheme="majorBidi" w:cstheme="majorBidi"/>
          <w:b/>
          <w:bCs/>
          <w:i w:val="0"/>
          <w:iCs w:val="0"/>
          <w:color w:val="auto"/>
          <w:sz w:val="24"/>
          <w:szCs w:val="24"/>
          <w:lang w:val="sv-SE"/>
        </w:rPr>
      </w:pPr>
      <w:r w:rsidRPr="00811D1F">
        <w:rPr>
          <w:rFonts w:asciiTheme="majorBidi" w:hAnsiTheme="majorBidi" w:cstheme="majorBidi"/>
          <w:b/>
          <w:bCs/>
          <w:i w:val="0"/>
          <w:iCs w:val="0"/>
          <w:color w:val="auto"/>
          <w:sz w:val="24"/>
          <w:szCs w:val="24"/>
          <w:lang w:val="sv-SE"/>
        </w:rPr>
        <w:t>Data Risiko Pembiayaan (NPF), Risiko Likuiditas (FDR), Nisbah Bagi Hasil dan Deposito Mudharabah Bank Muamalat Indonesia Periode 2017-2024</w:t>
      </w:r>
    </w:p>
    <w:p w14:paraId="380369BE" w14:textId="02246709" w:rsidR="00811D1F" w:rsidRDefault="00811D1F" w:rsidP="00811D1F">
      <w:pPr>
        <w:rPr>
          <w:lang w:val="sv-SE"/>
        </w:rPr>
      </w:pPr>
      <w:r>
        <w:rPr>
          <w:noProof/>
          <w:lang w:val="sv-SE"/>
        </w:rPr>
        <w:drawing>
          <wp:anchor distT="0" distB="0" distL="114300" distR="114300" simplePos="0" relativeHeight="251766784" behindDoc="1" locked="0" layoutInCell="1" allowOverlap="1" wp14:anchorId="70DBCB36" wp14:editId="51639C9B">
            <wp:simplePos x="0" y="0"/>
            <wp:positionH relativeFrom="column">
              <wp:posOffset>499745</wp:posOffset>
            </wp:positionH>
            <wp:positionV relativeFrom="paragraph">
              <wp:posOffset>139700</wp:posOffset>
            </wp:positionV>
            <wp:extent cx="5110480" cy="7077075"/>
            <wp:effectExtent l="0" t="0" r="0" b="9525"/>
            <wp:wrapTight wrapText="bothSides">
              <wp:wrapPolygon edited="0">
                <wp:start x="0" y="0"/>
                <wp:lineTo x="0" y="21571"/>
                <wp:lineTo x="21498" y="21571"/>
                <wp:lineTo x="21498" y="0"/>
                <wp:lineTo x="0" y="0"/>
              </wp:wrapPolygon>
            </wp:wrapTight>
            <wp:docPr id="175162847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10480" cy="7077075"/>
                    </a:xfrm>
                    <a:prstGeom prst="rect">
                      <a:avLst/>
                    </a:prstGeom>
                    <a:noFill/>
                  </pic:spPr>
                </pic:pic>
              </a:graphicData>
            </a:graphic>
            <wp14:sizeRelH relativeFrom="page">
              <wp14:pctWidth>0</wp14:pctWidth>
            </wp14:sizeRelH>
            <wp14:sizeRelV relativeFrom="page">
              <wp14:pctHeight>0</wp14:pctHeight>
            </wp14:sizeRelV>
          </wp:anchor>
        </w:drawing>
      </w:r>
    </w:p>
    <w:p w14:paraId="733897D0" w14:textId="77777777" w:rsidR="00811D1F" w:rsidRDefault="00811D1F" w:rsidP="00811D1F">
      <w:pPr>
        <w:rPr>
          <w:lang w:val="sv-SE"/>
        </w:rPr>
      </w:pPr>
    </w:p>
    <w:p w14:paraId="710B58BD" w14:textId="77777777" w:rsidR="00811D1F" w:rsidRDefault="00811D1F" w:rsidP="00811D1F">
      <w:pPr>
        <w:rPr>
          <w:lang w:val="sv-SE"/>
        </w:rPr>
      </w:pPr>
    </w:p>
    <w:p w14:paraId="6550F133" w14:textId="7702CA62" w:rsidR="00811D1F" w:rsidRDefault="00811D1F" w:rsidP="00811D1F">
      <w:pPr>
        <w:rPr>
          <w:lang w:val="sv-SE"/>
        </w:rPr>
      </w:pPr>
    </w:p>
    <w:p w14:paraId="2930B057" w14:textId="77777777" w:rsidR="00811D1F" w:rsidRDefault="00811D1F" w:rsidP="00811D1F">
      <w:pPr>
        <w:rPr>
          <w:lang w:val="sv-SE"/>
        </w:rPr>
      </w:pPr>
    </w:p>
    <w:p w14:paraId="5F2BCA17" w14:textId="77777777" w:rsidR="00811D1F" w:rsidRDefault="00811D1F" w:rsidP="00811D1F">
      <w:pPr>
        <w:rPr>
          <w:lang w:val="sv-SE"/>
        </w:rPr>
      </w:pPr>
    </w:p>
    <w:p w14:paraId="23940EBF" w14:textId="77777777" w:rsidR="00811D1F" w:rsidRDefault="00811D1F" w:rsidP="00811D1F">
      <w:pPr>
        <w:rPr>
          <w:lang w:val="sv-SE"/>
        </w:rPr>
      </w:pPr>
    </w:p>
    <w:p w14:paraId="4C3F28F4" w14:textId="77777777" w:rsidR="00811D1F" w:rsidRDefault="00811D1F" w:rsidP="00811D1F">
      <w:pPr>
        <w:rPr>
          <w:lang w:val="sv-SE"/>
        </w:rPr>
      </w:pPr>
    </w:p>
    <w:p w14:paraId="2AF55E71" w14:textId="77777777" w:rsidR="00811D1F" w:rsidRDefault="00811D1F" w:rsidP="00811D1F">
      <w:pPr>
        <w:rPr>
          <w:lang w:val="sv-SE"/>
        </w:rPr>
      </w:pPr>
    </w:p>
    <w:p w14:paraId="624AA32E" w14:textId="77777777" w:rsidR="00811D1F" w:rsidRDefault="00811D1F" w:rsidP="00811D1F">
      <w:pPr>
        <w:rPr>
          <w:lang w:val="sv-SE"/>
        </w:rPr>
      </w:pPr>
    </w:p>
    <w:p w14:paraId="484F9BE5" w14:textId="77777777" w:rsidR="00811D1F" w:rsidRDefault="00811D1F" w:rsidP="00811D1F">
      <w:pPr>
        <w:rPr>
          <w:lang w:val="sv-SE"/>
        </w:rPr>
      </w:pPr>
    </w:p>
    <w:p w14:paraId="2F3CD727" w14:textId="77777777" w:rsidR="00811D1F" w:rsidRDefault="00811D1F" w:rsidP="00811D1F">
      <w:pPr>
        <w:rPr>
          <w:lang w:val="sv-SE"/>
        </w:rPr>
      </w:pPr>
    </w:p>
    <w:p w14:paraId="2119FF08" w14:textId="77777777" w:rsidR="00811D1F" w:rsidRDefault="00811D1F" w:rsidP="00811D1F">
      <w:pPr>
        <w:rPr>
          <w:lang w:val="sv-SE"/>
        </w:rPr>
      </w:pPr>
    </w:p>
    <w:p w14:paraId="70D850AC" w14:textId="77777777" w:rsidR="00811D1F" w:rsidRDefault="00811D1F" w:rsidP="00811D1F">
      <w:pPr>
        <w:rPr>
          <w:lang w:val="sv-SE"/>
        </w:rPr>
      </w:pPr>
    </w:p>
    <w:p w14:paraId="36D2AC53" w14:textId="77777777" w:rsidR="00811D1F" w:rsidRDefault="00811D1F" w:rsidP="00811D1F">
      <w:pPr>
        <w:rPr>
          <w:lang w:val="sv-SE"/>
        </w:rPr>
      </w:pPr>
    </w:p>
    <w:p w14:paraId="19087C34" w14:textId="77777777" w:rsidR="00811D1F" w:rsidRDefault="00811D1F" w:rsidP="00811D1F">
      <w:pPr>
        <w:rPr>
          <w:lang w:val="sv-SE"/>
        </w:rPr>
      </w:pPr>
    </w:p>
    <w:p w14:paraId="6CEE98E0" w14:textId="77777777" w:rsidR="00811D1F" w:rsidRDefault="00811D1F" w:rsidP="00811D1F">
      <w:pPr>
        <w:rPr>
          <w:lang w:val="sv-SE"/>
        </w:rPr>
      </w:pPr>
    </w:p>
    <w:p w14:paraId="79A849F1" w14:textId="77777777" w:rsidR="00811D1F" w:rsidRDefault="00811D1F" w:rsidP="00811D1F">
      <w:pPr>
        <w:rPr>
          <w:lang w:val="sv-SE"/>
        </w:rPr>
      </w:pPr>
    </w:p>
    <w:p w14:paraId="7E810CDD" w14:textId="77777777" w:rsidR="00811D1F" w:rsidRDefault="00811D1F" w:rsidP="00811D1F">
      <w:pPr>
        <w:rPr>
          <w:lang w:val="sv-SE"/>
        </w:rPr>
      </w:pPr>
    </w:p>
    <w:p w14:paraId="5DA02078" w14:textId="77777777" w:rsidR="00811D1F" w:rsidRDefault="00811D1F" w:rsidP="00811D1F">
      <w:pPr>
        <w:rPr>
          <w:lang w:val="sv-SE"/>
        </w:rPr>
      </w:pPr>
    </w:p>
    <w:p w14:paraId="230B97B7" w14:textId="77777777" w:rsidR="00811D1F" w:rsidRDefault="00811D1F" w:rsidP="00811D1F">
      <w:pPr>
        <w:rPr>
          <w:lang w:val="sv-SE"/>
        </w:rPr>
      </w:pPr>
    </w:p>
    <w:p w14:paraId="2A5AAA83" w14:textId="77777777" w:rsidR="00811D1F" w:rsidRDefault="00811D1F" w:rsidP="00811D1F">
      <w:pPr>
        <w:rPr>
          <w:lang w:val="sv-SE"/>
        </w:rPr>
      </w:pPr>
    </w:p>
    <w:p w14:paraId="4C56B3BB" w14:textId="77777777" w:rsidR="00811D1F" w:rsidRDefault="00811D1F" w:rsidP="00811D1F">
      <w:pPr>
        <w:rPr>
          <w:lang w:val="sv-SE"/>
        </w:rPr>
      </w:pPr>
    </w:p>
    <w:p w14:paraId="0A42C100" w14:textId="77777777" w:rsidR="00811D1F" w:rsidRDefault="00811D1F" w:rsidP="00811D1F">
      <w:pPr>
        <w:rPr>
          <w:lang w:val="sv-SE"/>
        </w:rPr>
      </w:pPr>
    </w:p>
    <w:p w14:paraId="283D1E19" w14:textId="77777777" w:rsidR="00811D1F" w:rsidRDefault="00811D1F" w:rsidP="00811D1F">
      <w:pPr>
        <w:rPr>
          <w:lang w:val="sv-SE"/>
        </w:rPr>
      </w:pPr>
    </w:p>
    <w:p w14:paraId="7AC570A2" w14:textId="77777777" w:rsidR="00811D1F" w:rsidRDefault="00811D1F" w:rsidP="00811D1F">
      <w:pPr>
        <w:rPr>
          <w:lang w:val="sv-SE"/>
        </w:rPr>
      </w:pPr>
    </w:p>
    <w:p w14:paraId="39EC996B" w14:textId="77777777" w:rsidR="00811D1F" w:rsidRDefault="00811D1F" w:rsidP="00811D1F">
      <w:pPr>
        <w:rPr>
          <w:lang w:val="sv-SE"/>
        </w:rPr>
      </w:pPr>
    </w:p>
    <w:p w14:paraId="7DD2E359" w14:textId="77777777" w:rsidR="00811D1F" w:rsidRDefault="00811D1F" w:rsidP="00811D1F">
      <w:pPr>
        <w:rPr>
          <w:lang w:val="sv-SE"/>
        </w:rPr>
      </w:pPr>
    </w:p>
    <w:p w14:paraId="378D5C7A" w14:textId="259F70C5" w:rsidR="00811D1F" w:rsidRDefault="00BB72E7" w:rsidP="00811D1F">
      <w:pPr>
        <w:rPr>
          <w:rFonts w:asciiTheme="majorBidi" w:hAnsiTheme="majorBidi" w:cstheme="majorBidi"/>
          <w:b/>
          <w:bCs/>
          <w:sz w:val="24"/>
          <w:szCs w:val="24"/>
          <w:lang w:val="sv-SE"/>
        </w:rPr>
      </w:pPr>
      <w:r w:rsidRPr="0027636A">
        <w:rPr>
          <w:rFonts w:asciiTheme="majorBidi" w:hAnsiTheme="majorBidi" w:cstheme="majorBidi"/>
          <w:b/>
          <w:bCs/>
          <w:i/>
          <w:iCs/>
          <w:noProof/>
          <w:sz w:val="24"/>
          <w:szCs w:val="24"/>
        </w:rPr>
        <w:lastRenderedPageBreak/>
        <w:drawing>
          <wp:anchor distT="0" distB="0" distL="114300" distR="114300" simplePos="0" relativeHeight="251769856" behindDoc="0" locked="0" layoutInCell="1" allowOverlap="1" wp14:anchorId="20E1F912" wp14:editId="192149A8">
            <wp:simplePos x="0" y="0"/>
            <wp:positionH relativeFrom="column">
              <wp:posOffset>304800</wp:posOffset>
            </wp:positionH>
            <wp:positionV relativeFrom="paragraph">
              <wp:posOffset>438150</wp:posOffset>
            </wp:positionV>
            <wp:extent cx="5353050" cy="2857500"/>
            <wp:effectExtent l="0" t="0" r="0" b="0"/>
            <wp:wrapSquare wrapText="bothSides"/>
            <wp:docPr id="12698355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53050" cy="2857500"/>
                    </a:xfrm>
                    <a:prstGeom prst="rect">
                      <a:avLst/>
                    </a:prstGeom>
                    <a:noFill/>
                    <a:ln>
                      <a:noFill/>
                    </a:ln>
                  </pic:spPr>
                </pic:pic>
              </a:graphicData>
            </a:graphic>
          </wp:anchor>
        </w:drawing>
      </w:r>
      <w:r w:rsidR="00811D1F" w:rsidRPr="00811D1F">
        <w:rPr>
          <w:rFonts w:asciiTheme="majorBidi" w:hAnsiTheme="majorBidi" w:cstheme="majorBidi"/>
          <w:b/>
          <w:bCs/>
          <w:sz w:val="24"/>
          <w:szCs w:val="24"/>
          <w:lang w:val="sv-SE"/>
        </w:rPr>
        <w:t xml:space="preserve">Uji </w:t>
      </w:r>
      <w:r w:rsidR="00811D1F">
        <w:rPr>
          <w:rFonts w:asciiTheme="majorBidi" w:hAnsiTheme="majorBidi" w:cstheme="majorBidi"/>
          <w:b/>
          <w:bCs/>
          <w:sz w:val="24"/>
          <w:szCs w:val="24"/>
          <w:lang w:val="sv-SE"/>
        </w:rPr>
        <w:t>D</w:t>
      </w:r>
      <w:r w:rsidR="00811D1F" w:rsidRPr="00811D1F">
        <w:rPr>
          <w:rFonts w:asciiTheme="majorBidi" w:hAnsiTheme="majorBidi" w:cstheme="majorBidi"/>
          <w:b/>
          <w:bCs/>
          <w:sz w:val="24"/>
          <w:szCs w:val="24"/>
          <w:lang w:val="sv-SE"/>
        </w:rPr>
        <w:t>eskriptif</w:t>
      </w:r>
    </w:p>
    <w:p w14:paraId="2408D2D0" w14:textId="0159F9F3" w:rsidR="00BB72E7" w:rsidRDefault="00BB72E7" w:rsidP="00811D1F">
      <w:pPr>
        <w:rPr>
          <w:rFonts w:asciiTheme="majorBidi" w:hAnsiTheme="majorBidi" w:cstheme="majorBidi"/>
          <w:b/>
          <w:bCs/>
          <w:sz w:val="24"/>
          <w:szCs w:val="24"/>
          <w:lang w:val="sv-SE"/>
        </w:rPr>
      </w:pPr>
    </w:p>
    <w:p w14:paraId="52716B16" w14:textId="77777777" w:rsidR="00BB72E7" w:rsidRDefault="00BB72E7" w:rsidP="00811D1F">
      <w:pPr>
        <w:rPr>
          <w:rFonts w:asciiTheme="majorBidi" w:hAnsiTheme="majorBidi" w:cstheme="majorBidi"/>
          <w:b/>
          <w:bCs/>
          <w:sz w:val="24"/>
          <w:szCs w:val="24"/>
          <w:lang w:val="sv-SE"/>
        </w:rPr>
      </w:pPr>
    </w:p>
    <w:p w14:paraId="71E55717" w14:textId="1399FA2E" w:rsidR="00811D1F" w:rsidRDefault="00811D1F" w:rsidP="00811D1F">
      <w:pPr>
        <w:rPr>
          <w:rFonts w:asciiTheme="majorBidi" w:hAnsiTheme="majorBidi" w:cstheme="majorBidi"/>
          <w:b/>
          <w:bCs/>
          <w:sz w:val="24"/>
          <w:szCs w:val="24"/>
          <w:lang w:val="sv-SE"/>
        </w:rPr>
      </w:pPr>
      <w:r>
        <w:rPr>
          <w:rFonts w:asciiTheme="majorBidi" w:hAnsiTheme="majorBidi" w:cstheme="majorBidi"/>
          <w:b/>
          <w:bCs/>
          <w:sz w:val="24"/>
          <w:szCs w:val="24"/>
          <w:lang w:val="sv-SE"/>
        </w:rPr>
        <w:t>Uji Normalitas</w:t>
      </w:r>
    </w:p>
    <w:p w14:paraId="0A2FE6AC" w14:textId="03366BBF" w:rsidR="00BB72E7" w:rsidRDefault="00BB72E7" w:rsidP="00811D1F">
      <w:pPr>
        <w:rPr>
          <w:rFonts w:asciiTheme="majorBidi" w:hAnsiTheme="majorBidi" w:cstheme="majorBidi"/>
          <w:b/>
          <w:bCs/>
          <w:sz w:val="24"/>
          <w:szCs w:val="24"/>
          <w:lang w:val="sv-SE"/>
        </w:rPr>
      </w:pPr>
      <w:r>
        <w:rPr>
          <w:rFonts w:asciiTheme="majorBidi" w:hAnsiTheme="majorBidi" w:cstheme="majorBidi"/>
          <w:b/>
          <w:bCs/>
          <w:noProof/>
          <w:sz w:val="24"/>
          <w:szCs w:val="24"/>
          <w:lang w:val="sv-SE"/>
        </w:rPr>
        <w:drawing>
          <wp:anchor distT="0" distB="0" distL="114300" distR="114300" simplePos="0" relativeHeight="251767808" behindDoc="0" locked="0" layoutInCell="1" allowOverlap="1" wp14:anchorId="727E9C5D" wp14:editId="52651104">
            <wp:simplePos x="0" y="0"/>
            <wp:positionH relativeFrom="column">
              <wp:posOffset>382905</wp:posOffset>
            </wp:positionH>
            <wp:positionV relativeFrom="paragraph">
              <wp:posOffset>118110</wp:posOffset>
            </wp:positionV>
            <wp:extent cx="5391150" cy="2237740"/>
            <wp:effectExtent l="0" t="0" r="0" b="0"/>
            <wp:wrapSquare wrapText="bothSides"/>
            <wp:docPr id="81761898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91150" cy="2237740"/>
                    </a:xfrm>
                    <a:prstGeom prst="rect">
                      <a:avLst/>
                    </a:prstGeom>
                    <a:noFill/>
                  </pic:spPr>
                </pic:pic>
              </a:graphicData>
            </a:graphic>
            <wp14:sizeRelH relativeFrom="page">
              <wp14:pctWidth>0</wp14:pctWidth>
            </wp14:sizeRelH>
            <wp14:sizeRelV relativeFrom="page">
              <wp14:pctHeight>0</wp14:pctHeight>
            </wp14:sizeRelV>
          </wp:anchor>
        </w:drawing>
      </w:r>
    </w:p>
    <w:p w14:paraId="446B5298" w14:textId="5831A291" w:rsidR="00BB72E7" w:rsidRDefault="00BB72E7" w:rsidP="00811D1F">
      <w:pPr>
        <w:rPr>
          <w:rFonts w:asciiTheme="majorBidi" w:hAnsiTheme="majorBidi" w:cstheme="majorBidi"/>
          <w:b/>
          <w:bCs/>
          <w:sz w:val="24"/>
          <w:szCs w:val="24"/>
          <w:lang w:val="sv-SE"/>
        </w:rPr>
      </w:pPr>
    </w:p>
    <w:p w14:paraId="62B3F01F" w14:textId="37F06476" w:rsidR="00BB72E7" w:rsidRDefault="00BB72E7" w:rsidP="00811D1F">
      <w:pPr>
        <w:rPr>
          <w:rFonts w:asciiTheme="majorBidi" w:hAnsiTheme="majorBidi" w:cstheme="majorBidi"/>
          <w:b/>
          <w:bCs/>
          <w:sz w:val="24"/>
          <w:szCs w:val="24"/>
          <w:lang w:val="sv-SE"/>
        </w:rPr>
      </w:pPr>
    </w:p>
    <w:p w14:paraId="70AC0AE4" w14:textId="0ED537FB" w:rsidR="00BB72E7" w:rsidRDefault="00BB72E7" w:rsidP="00811D1F">
      <w:pPr>
        <w:rPr>
          <w:rFonts w:asciiTheme="majorBidi" w:hAnsiTheme="majorBidi" w:cstheme="majorBidi"/>
          <w:b/>
          <w:bCs/>
          <w:sz w:val="24"/>
          <w:szCs w:val="24"/>
          <w:lang w:val="sv-SE"/>
        </w:rPr>
      </w:pPr>
    </w:p>
    <w:p w14:paraId="69EC15F7" w14:textId="6B4523B8" w:rsidR="00BB72E7" w:rsidRDefault="00BB72E7" w:rsidP="00811D1F">
      <w:pPr>
        <w:rPr>
          <w:rFonts w:asciiTheme="majorBidi" w:hAnsiTheme="majorBidi" w:cstheme="majorBidi"/>
          <w:b/>
          <w:bCs/>
          <w:sz w:val="24"/>
          <w:szCs w:val="24"/>
          <w:lang w:val="sv-SE"/>
        </w:rPr>
      </w:pPr>
    </w:p>
    <w:p w14:paraId="06050088" w14:textId="2BECC3F6" w:rsidR="00BB72E7" w:rsidRDefault="00BB72E7" w:rsidP="00811D1F">
      <w:pPr>
        <w:rPr>
          <w:rFonts w:asciiTheme="majorBidi" w:hAnsiTheme="majorBidi" w:cstheme="majorBidi"/>
          <w:b/>
          <w:bCs/>
          <w:sz w:val="24"/>
          <w:szCs w:val="24"/>
          <w:lang w:val="sv-SE"/>
        </w:rPr>
      </w:pPr>
    </w:p>
    <w:p w14:paraId="49855A5E" w14:textId="0291EC83" w:rsidR="00BB72E7" w:rsidRDefault="00BB72E7" w:rsidP="00811D1F">
      <w:pPr>
        <w:rPr>
          <w:rFonts w:asciiTheme="majorBidi" w:hAnsiTheme="majorBidi" w:cstheme="majorBidi"/>
          <w:b/>
          <w:bCs/>
          <w:sz w:val="24"/>
          <w:szCs w:val="24"/>
          <w:lang w:val="sv-SE"/>
        </w:rPr>
      </w:pPr>
    </w:p>
    <w:p w14:paraId="494A39AC" w14:textId="3F8A5F37" w:rsidR="00BB72E7" w:rsidRDefault="00BB72E7" w:rsidP="00811D1F">
      <w:pPr>
        <w:rPr>
          <w:rFonts w:asciiTheme="majorBidi" w:hAnsiTheme="majorBidi" w:cstheme="majorBidi"/>
          <w:b/>
          <w:bCs/>
          <w:sz w:val="24"/>
          <w:szCs w:val="24"/>
          <w:lang w:val="sv-SE"/>
        </w:rPr>
      </w:pPr>
    </w:p>
    <w:p w14:paraId="791E2EDD" w14:textId="138DE96B" w:rsidR="00BB72E7" w:rsidRDefault="00BB72E7" w:rsidP="00811D1F">
      <w:pPr>
        <w:rPr>
          <w:rFonts w:asciiTheme="majorBidi" w:hAnsiTheme="majorBidi" w:cstheme="majorBidi"/>
          <w:b/>
          <w:bCs/>
          <w:sz w:val="24"/>
          <w:szCs w:val="24"/>
          <w:lang w:val="sv-SE"/>
        </w:rPr>
      </w:pPr>
    </w:p>
    <w:p w14:paraId="15FA7F1A" w14:textId="3AE8DABB" w:rsidR="00811D1F" w:rsidRDefault="00811D1F" w:rsidP="00811D1F">
      <w:pPr>
        <w:rPr>
          <w:rFonts w:asciiTheme="majorBidi" w:hAnsiTheme="majorBidi" w:cstheme="majorBidi"/>
          <w:b/>
          <w:bCs/>
          <w:sz w:val="24"/>
          <w:szCs w:val="24"/>
          <w:lang w:val="sv-SE"/>
        </w:rPr>
      </w:pPr>
      <w:r>
        <w:rPr>
          <w:rFonts w:asciiTheme="majorBidi" w:hAnsiTheme="majorBidi" w:cstheme="majorBidi"/>
          <w:b/>
          <w:bCs/>
          <w:sz w:val="24"/>
          <w:szCs w:val="24"/>
          <w:lang w:val="sv-SE"/>
        </w:rPr>
        <w:t>Uji Multikolinearitas</w:t>
      </w:r>
    </w:p>
    <w:p w14:paraId="59708827" w14:textId="121C057D" w:rsidR="00BB72E7" w:rsidRDefault="00BB72E7" w:rsidP="00811D1F">
      <w:pPr>
        <w:rPr>
          <w:rFonts w:asciiTheme="majorBidi" w:hAnsiTheme="majorBidi" w:cstheme="majorBidi"/>
          <w:b/>
          <w:bCs/>
          <w:sz w:val="24"/>
          <w:szCs w:val="24"/>
          <w:lang w:val="sv-SE"/>
        </w:rPr>
      </w:pPr>
      <w:r w:rsidRPr="004C00B1">
        <w:rPr>
          <w:rFonts w:asciiTheme="majorBidi" w:hAnsiTheme="majorBidi" w:cstheme="majorBidi"/>
          <w:noProof/>
          <w:sz w:val="24"/>
          <w:szCs w:val="24"/>
        </w:rPr>
        <w:drawing>
          <wp:anchor distT="0" distB="0" distL="114300" distR="114300" simplePos="0" relativeHeight="251771904" behindDoc="0" locked="0" layoutInCell="1" allowOverlap="1" wp14:anchorId="590AFB2D" wp14:editId="48C2DF66">
            <wp:simplePos x="0" y="0"/>
            <wp:positionH relativeFrom="column">
              <wp:posOffset>1038225</wp:posOffset>
            </wp:positionH>
            <wp:positionV relativeFrom="paragraph">
              <wp:posOffset>59055</wp:posOffset>
            </wp:positionV>
            <wp:extent cx="3467100" cy="1847850"/>
            <wp:effectExtent l="0" t="0" r="0" b="0"/>
            <wp:wrapSquare wrapText="bothSides"/>
            <wp:docPr id="55029748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67100" cy="1847850"/>
                    </a:xfrm>
                    <a:prstGeom prst="rect">
                      <a:avLst/>
                    </a:prstGeom>
                    <a:noFill/>
                    <a:ln>
                      <a:noFill/>
                    </a:ln>
                  </pic:spPr>
                </pic:pic>
              </a:graphicData>
            </a:graphic>
          </wp:anchor>
        </w:drawing>
      </w:r>
    </w:p>
    <w:p w14:paraId="588BC065" w14:textId="77777777" w:rsidR="00BB72E7" w:rsidRDefault="00BB72E7" w:rsidP="00811D1F">
      <w:pPr>
        <w:rPr>
          <w:rFonts w:asciiTheme="majorBidi" w:hAnsiTheme="majorBidi" w:cstheme="majorBidi"/>
          <w:b/>
          <w:bCs/>
          <w:sz w:val="24"/>
          <w:szCs w:val="24"/>
          <w:lang w:val="sv-SE"/>
        </w:rPr>
      </w:pPr>
    </w:p>
    <w:p w14:paraId="0D89A674" w14:textId="77777777" w:rsidR="00BB72E7" w:rsidRDefault="00BB72E7" w:rsidP="00811D1F">
      <w:pPr>
        <w:rPr>
          <w:rFonts w:asciiTheme="majorBidi" w:hAnsiTheme="majorBidi" w:cstheme="majorBidi"/>
          <w:b/>
          <w:bCs/>
          <w:sz w:val="24"/>
          <w:szCs w:val="24"/>
          <w:lang w:val="sv-SE"/>
        </w:rPr>
      </w:pPr>
    </w:p>
    <w:p w14:paraId="07754EB4" w14:textId="77777777" w:rsidR="00BB72E7" w:rsidRDefault="00BB72E7" w:rsidP="00811D1F">
      <w:pPr>
        <w:rPr>
          <w:rFonts w:asciiTheme="majorBidi" w:hAnsiTheme="majorBidi" w:cstheme="majorBidi"/>
          <w:b/>
          <w:bCs/>
          <w:sz w:val="24"/>
          <w:szCs w:val="24"/>
          <w:lang w:val="sv-SE"/>
        </w:rPr>
      </w:pPr>
    </w:p>
    <w:p w14:paraId="030C591E" w14:textId="77777777" w:rsidR="00BB72E7" w:rsidRDefault="00BB72E7" w:rsidP="00811D1F">
      <w:pPr>
        <w:rPr>
          <w:rFonts w:asciiTheme="majorBidi" w:hAnsiTheme="majorBidi" w:cstheme="majorBidi"/>
          <w:b/>
          <w:bCs/>
          <w:sz w:val="24"/>
          <w:szCs w:val="24"/>
          <w:lang w:val="sv-SE"/>
        </w:rPr>
      </w:pPr>
    </w:p>
    <w:p w14:paraId="68DC6C26" w14:textId="77777777" w:rsidR="00BB72E7" w:rsidRDefault="00BB72E7" w:rsidP="00811D1F">
      <w:pPr>
        <w:rPr>
          <w:rFonts w:asciiTheme="majorBidi" w:hAnsiTheme="majorBidi" w:cstheme="majorBidi"/>
          <w:b/>
          <w:bCs/>
          <w:sz w:val="24"/>
          <w:szCs w:val="24"/>
          <w:lang w:val="sv-SE"/>
        </w:rPr>
      </w:pPr>
    </w:p>
    <w:p w14:paraId="359A202B" w14:textId="77777777" w:rsidR="00BB72E7" w:rsidRDefault="00BB72E7" w:rsidP="00811D1F">
      <w:pPr>
        <w:rPr>
          <w:rFonts w:asciiTheme="majorBidi" w:hAnsiTheme="majorBidi" w:cstheme="majorBidi"/>
          <w:b/>
          <w:bCs/>
          <w:sz w:val="24"/>
          <w:szCs w:val="24"/>
          <w:lang w:val="sv-SE"/>
        </w:rPr>
      </w:pPr>
    </w:p>
    <w:p w14:paraId="038A632F" w14:textId="6E9A5DB8" w:rsidR="00BB72E7" w:rsidRDefault="00811D1F" w:rsidP="00BB72E7">
      <w:pPr>
        <w:rPr>
          <w:rFonts w:asciiTheme="majorBidi" w:hAnsiTheme="majorBidi" w:cstheme="majorBidi"/>
          <w:b/>
          <w:bCs/>
          <w:sz w:val="24"/>
          <w:szCs w:val="24"/>
          <w:lang w:val="sv-SE"/>
        </w:rPr>
      </w:pPr>
      <w:r>
        <w:rPr>
          <w:rFonts w:asciiTheme="majorBidi" w:hAnsiTheme="majorBidi" w:cstheme="majorBidi"/>
          <w:b/>
          <w:bCs/>
          <w:sz w:val="24"/>
          <w:szCs w:val="24"/>
          <w:lang w:val="sv-SE"/>
        </w:rPr>
        <w:lastRenderedPageBreak/>
        <w:t>Uji Heteroskedastisitas</w:t>
      </w:r>
    </w:p>
    <w:p w14:paraId="391EFA96" w14:textId="22C3BA16" w:rsidR="00BB72E7" w:rsidRDefault="00BB72E7" w:rsidP="00811D1F">
      <w:pPr>
        <w:rPr>
          <w:rFonts w:asciiTheme="majorBidi" w:hAnsiTheme="majorBidi" w:cstheme="majorBidi"/>
          <w:b/>
          <w:bCs/>
          <w:sz w:val="24"/>
          <w:szCs w:val="24"/>
          <w:lang w:val="sv-SE"/>
        </w:rPr>
      </w:pPr>
      <w:r w:rsidRPr="0027636A">
        <w:rPr>
          <w:rFonts w:asciiTheme="majorBidi" w:hAnsiTheme="majorBidi" w:cstheme="majorBidi"/>
          <w:b/>
          <w:bCs/>
          <w:i/>
          <w:iCs/>
          <w:noProof/>
          <w:sz w:val="24"/>
          <w:szCs w:val="24"/>
        </w:rPr>
        <w:drawing>
          <wp:anchor distT="0" distB="0" distL="114300" distR="114300" simplePos="0" relativeHeight="251773952" behindDoc="1" locked="0" layoutInCell="1" allowOverlap="1" wp14:anchorId="49C698BC" wp14:editId="2637B3E9">
            <wp:simplePos x="0" y="0"/>
            <wp:positionH relativeFrom="column">
              <wp:posOffset>756920</wp:posOffset>
            </wp:positionH>
            <wp:positionV relativeFrom="paragraph">
              <wp:posOffset>236855</wp:posOffset>
            </wp:positionV>
            <wp:extent cx="4000500" cy="990600"/>
            <wp:effectExtent l="0" t="0" r="0" b="0"/>
            <wp:wrapTight wrapText="bothSides">
              <wp:wrapPolygon edited="0">
                <wp:start x="0" y="0"/>
                <wp:lineTo x="0" y="21185"/>
                <wp:lineTo x="21497" y="21185"/>
                <wp:lineTo x="21497" y="0"/>
                <wp:lineTo x="0" y="0"/>
              </wp:wrapPolygon>
            </wp:wrapTight>
            <wp:docPr id="47540442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00500" cy="990600"/>
                    </a:xfrm>
                    <a:prstGeom prst="rect">
                      <a:avLst/>
                    </a:prstGeom>
                    <a:noFill/>
                    <a:ln>
                      <a:noFill/>
                    </a:ln>
                  </pic:spPr>
                </pic:pic>
              </a:graphicData>
            </a:graphic>
          </wp:anchor>
        </w:drawing>
      </w:r>
    </w:p>
    <w:p w14:paraId="6F63098E" w14:textId="77777777" w:rsidR="00BB72E7" w:rsidRDefault="00BB72E7" w:rsidP="00811D1F">
      <w:pPr>
        <w:rPr>
          <w:rFonts w:asciiTheme="majorBidi" w:hAnsiTheme="majorBidi" w:cstheme="majorBidi"/>
          <w:b/>
          <w:bCs/>
          <w:sz w:val="24"/>
          <w:szCs w:val="24"/>
          <w:lang w:val="sv-SE"/>
        </w:rPr>
      </w:pPr>
    </w:p>
    <w:p w14:paraId="52F81C83" w14:textId="77777777" w:rsidR="00BB72E7" w:rsidRDefault="00BB72E7" w:rsidP="00811D1F">
      <w:pPr>
        <w:rPr>
          <w:rFonts w:asciiTheme="majorBidi" w:hAnsiTheme="majorBidi" w:cstheme="majorBidi"/>
          <w:b/>
          <w:bCs/>
          <w:sz w:val="24"/>
          <w:szCs w:val="24"/>
          <w:lang w:val="sv-SE"/>
        </w:rPr>
      </w:pPr>
    </w:p>
    <w:p w14:paraId="00C7F48E" w14:textId="77777777" w:rsidR="00BB72E7" w:rsidRDefault="00BB72E7" w:rsidP="00811D1F">
      <w:pPr>
        <w:rPr>
          <w:rFonts w:asciiTheme="majorBidi" w:hAnsiTheme="majorBidi" w:cstheme="majorBidi"/>
          <w:b/>
          <w:bCs/>
          <w:sz w:val="24"/>
          <w:szCs w:val="24"/>
          <w:lang w:val="sv-SE"/>
        </w:rPr>
      </w:pPr>
    </w:p>
    <w:p w14:paraId="7EEF03D1" w14:textId="77777777" w:rsidR="00BB72E7" w:rsidRDefault="00BB72E7" w:rsidP="00811D1F">
      <w:pPr>
        <w:rPr>
          <w:rFonts w:asciiTheme="majorBidi" w:hAnsiTheme="majorBidi" w:cstheme="majorBidi"/>
          <w:b/>
          <w:bCs/>
          <w:sz w:val="24"/>
          <w:szCs w:val="24"/>
          <w:lang w:val="sv-SE"/>
        </w:rPr>
      </w:pPr>
    </w:p>
    <w:p w14:paraId="303D8150" w14:textId="22A1A48E" w:rsidR="00BB72E7" w:rsidRDefault="00811D1F" w:rsidP="00BB72E7">
      <w:pPr>
        <w:rPr>
          <w:rFonts w:asciiTheme="majorBidi" w:hAnsiTheme="majorBidi" w:cstheme="majorBidi"/>
          <w:b/>
          <w:bCs/>
          <w:sz w:val="24"/>
          <w:szCs w:val="24"/>
          <w:lang w:val="sv-SE"/>
        </w:rPr>
      </w:pPr>
      <w:r>
        <w:rPr>
          <w:rFonts w:asciiTheme="majorBidi" w:hAnsiTheme="majorBidi" w:cstheme="majorBidi"/>
          <w:b/>
          <w:bCs/>
          <w:sz w:val="24"/>
          <w:szCs w:val="24"/>
          <w:lang w:val="sv-SE"/>
        </w:rPr>
        <w:t>Uji Autokorelasi</w:t>
      </w:r>
    </w:p>
    <w:p w14:paraId="29BA1F84" w14:textId="2E720FC9" w:rsidR="00BB72E7" w:rsidRDefault="00BB72E7" w:rsidP="00811D1F">
      <w:pPr>
        <w:rPr>
          <w:rFonts w:asciiTheme="majorBidi" w:hAnsiTheme="majorBidi" w:cstheme="majorBidi"/>
          <w:b/>
          <w:bCs/>
          <w:sz w:val="24"/>
          <w:szCs w:val="24"/>
          <w:lang w:val="sv-SE"/>
        </w:rPr>
      </w:pPr>
      <w:r w:rsidRPr="00B9251A">
        <w:rPr>
          <w:rFonts w:asciiTheme="majorBidi" w:hAnsiTheme="majorBidi" w:cstheme="majorBidi"/>
          <w:noProof/>
          <w:sz w:val="24"/>
          <w:szCs w:val="24"/>
        </w:rPr>
        <w:drawing>
          <wp:anchor distT="0" distB="0" distL="114300" distR="114300" simplePos="0" relativeHeight="251776000" behindDoc="0" locked="0" layoutInCell="1" allowOverlap="1" wp14:anchorId="68D467E3" wp14:editId="456AF2F4">
            <wp:simplePos x="0" y="0"/>
            <wp:positionH relativeFrom="column">
              <wp:posOffset>752475</wp:posOffset>
            </wp:positionH>
            <wp:positionV relativeFrom="paragraph">
              <wp:posOffset>237490</wp:posOffset>
            </wp:positionV>
            <wp:extent cx="4000500" cy="4562475"/>
            <wp:effectExtent l="0" t="0" r="0" b="9525"/>
            <wp:wrapSquare wrapText="bothSides"/>
            <wp:docPr id="15947738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00500" cy="4562475"/>
                    </a:xfrm>
                    <a:prstGeom prst="rect">
                      <a:avLst/>
                    </a:prstGeom>
                    <a:noFill/>
                    <a:ln>
                      <a:noFill/>
                    </a:ln>
                  </pic:spPr>
                </pic:pic>
              </a:graphicData>
            </a:graphic>
          </wp:anchor>
        </w:drawing>
      </w:r>
    </w:p>
    <w:p w14:paraId="177E9920" w14:textId="77777777" w:rsidR="00BB72E7" w:rsidRDefault="00BB72E7" w:rsidP="00811D1F">
      <w:pPr>
        <w:rPr>
          <w:rFonts w:asciiTheme="majorBidi" w:hAnsiTheme="majorBidi" w:cstheme="majorBidi"/>
          <w:b/>
          <w:bCs/>
          <w:sz w:val="24"/>
          <w:szCs w:val="24"/>
          <w:lang w:val="sv-SE"/>
        </w:rPr>
      </w:pPr>
    </w:p>
    <w:p w14:paraId="19701D52" w14:textId="77777777" w:rsidR="00BB72E7" w:rsidRDefault="00BB72E7" w:rsidP="00811D1F">
      <w:pPr>
        <w:rPr>
          <w:rFonts w:asciiTheme="majorBidi" w:hAnsiTheme="majorBidi" w:cstheme="majorBidi"/>
          <w:b/>
          <w:bCs/>
          <w:sz w:val="24"/>
          <w:szCs w:val="24"/>
          <w:lang w:val="sv-SE"/>
        </w:rPr>
      </w:pPr>
    </w:p>
    <w:p w14:paraId="091A7C89" w14:textId="77777777" w:rsidR="00BB72E7" w:rsidRDefault="00BB72E7" w:rsidP="00811D1F">
      <w:pPr>
        <w:rPr>
          <w:rFonts w:asciiTheme="majorBidi" w:hAnsiTheme="majorBidi" w:cstheme="majorBidi"/>
          <w:b/>
          <w:bCs/>
          <w:sz w:val="24"/>
          <w:szCs w:val="24"/>
          <w:lang w:val="sv-SE"/>
        </w:rPr>
      </w:pPr>
    </w:p>
    <w:p w14:paraId="1CC087DF" w14:textId="77777777" w:rsidR="00BB72E7" w:rsidRDefault="00BB72E7" w:rsidP="00811D1F">
      <w:pPr>
        <w:rPr>
          <w:rFonts w:asciiTheme="majorBidi" w:hAnsiTheme="majorBidi" w:cstheme="majorBidi"/>
          <w:b/>
          <w:bCs/>
          <w:sz w:val="24"/>
          <w:szCs w:val="24"/>
          <w:lang w:val="sv-SE"/>
        </w:rPr>
      </w:pPr>
    </w:p>
    <w:p w14:paraId="6B0A8A7F" w14:textId="77777777" w:rsidR="00BB72E7" w:rsidRDefault="00BB72E7" w:rsidP="00811D1F">
      <w:pPr>
        <w:rPr>
          <w:rFonts w:asciiTheme="majorBidi" w:hAnsiTheme="majorBidi" w:cstheme="majorBidi"/>
          <w:b/>
          <w:bCs/>
          <w:sz w:val="24"/>
          <w:szCs w:val="24"/>
          <w:lang w:val="sv-SE"/>
        </w:rPr>
      </w:pPr>
    </w:p>
    <w:p w14:paraId="7B18D6C5" w14:textId="77777777" w:rsidR="00BB72E7" w:rsidRDefault="00BB72E7" w:rsidP="00811D1F">
      <w:pPr>
        <w:rPr>
          <w:rFonts w:asciiTheme="majorBidi" w:hAnsiTheme="majorBidi" w:cstheme="majorBidi"/>
          <w:b/>
          <w:bCs/>
          <w:sz w:val="24"/>
          <w:szCs w:val="24"/>
          <w:lang w:val="sv-SE"/>
        </w:rPr>
      </w:pPr>
    </w:p>
    <w:p w14:paraId="6F12574F" w14:textId="77777777" w:rsidR="00BB72E7" w:rsidRDefault="00BB72E7" w:rsidP="00811D1F">
      <w:pPr>
        <w:rPr>
          <w:rFonts w:asciiTheme="majorBidi" w:hAnsiTheme="majorBidi" w:cstheme="majorBidi"/>
          <w:b/>
          <w:bCs/>
          <w:sz w:val="24"/>
          <w:szCs w:val="24"/>
          <w:lang w:val="sv-SE"/>
        </w:rPr>
      </w:pPr>
    </w:p>
    <w:p w14:paraId="4A3EC351" w14:textId="77777777" w:rsidR="00BB72E7" w:rsidRDefault="00BB72E7" w:rsidP="00811D1F">
      <w:pPr>
        <w:rPr>
          <w:rFonts w:asciiTheme="majorBidi" w:hAnsiTheme="majorBidi" w:cstheme="majorBidi"/>
          <w:b/>
          <w:bCs/>
          <w:sz w:val="24"/>
          <w:szCs w:val="24"/>
          <w:lang w:val="sv-SE"/>
        </w:rPr>
      </w:pPr>
    </w:p>
    <w:p w14:paraId="46926AE7" w14:textId="77777777" w:rsidR="00BB72E7" w:rsidRDefault="00BB72E7" w:rsidP="00811D1F">
      <w:pPr>
        <w:rPr>
          <w:rFonts w:asciiTheme="majorBidi" w:hAnsiTheme="majorBidi" w:cstheme="majorBidi"/>
          <w:b/>
          <w:bCs/>
          <w:sz w:val="24"/>
          <w:szCs w:val="24"/>
          <w:lang w:val="sv-SE"/>
        </w:rPr>
      </w:pPr>
    </w:p>
    <w:p w14:paraId="1CD689D5" w14:textId="77777777" w:rsidR="00BB72E7" w:rsidRDefault="00BB72E7" w:rsidP="00811D1F">
      <w:pPr>
        <w:rPr>
          <w:rFonts w:asciiTheme="majorBidi" w:hAnsiTheme="majorBidi" w:cstheme="majorBidi"/>
          <w:b/>
          <w:bCs/>
          <w:sz w:val="24"/>
          <w:szCs w:val="24"/>
          <w:lang w:val="sv-SE"/>
        </w:rPr>
      </w:pPr>
    </w:p>
    <w:p w14:paraId="5D4D221A" w14:textId="77777777" w:rsidR="00BB72E7" w:rsidRDefault="00BB72E7" w:rsidP="00811D1F">
      <w:pPr>
        <w:rPr>
          <w:rFonts w:asciiTheme="majorBidi" w:hAnsiTheme="majorBidi" w:cstheme="majorBidi"/>
          <w:b/>
          <w:bCs/>
          <w:sz w:val="24"/>
          <w:szCs w:val="24"/>
          <w:lang w:val="sv-SE"/>
        </w:rPr>
      </w:pPr>
    </w:p>
    <w:p w14:paraId="004D3EE2" w14:textId="77777777" w:rsidR="00BB72E7" w:rsidRDefault="00BB72E7" w:rsidP="00811D1F">
      <w:pPr>
        <w:rPr>
          <w:rFonts w:asciiTheme="majorBidi" w:hAnsiTheme="majorBidi" w:cstheme="majorBidi"/>
          <w:b/>
          <w:bCs/>
          <w:sz w:val="24"/>
          <w:szCs w:val="24"/>
          <w:lang w:val="sv-SE"/>
        </w:rPr>
      </w:pPr>
    </w:p>
    <w:p w14:paraId="1E54C1BD" w14:textId="77777777" w:rsidR="00BB72E7" w:rsidRDefault="00BB72E7" w:rsidP="00811D1F">
      <w:pPr>
        <w:rPr>
          <w:rFonts w:asciiTheme="majorBidi" w:hAnsiTheme="majorBidi" w:cstheme="majorBidi"/>
          <w:b/>
          <w:bCs/>
          <w:sz w:val="24"/>
          <w:szCs w:val="24"/>
          <w:lang w:val="sv-SE"/>
        </w:rPr>
      </w:pPr>
    </w:p>
    <w:p w14:paraId="728F5FC1" w14:textId="77777777" w:rsidR="00BB72E7" w:rsidRDefault="00BB72E7" w:rsidP="00811D1F">
      <w:pPr>
        <w:rPr>
          <w:rFonts w:asciiTheme="majorBidi" w:hAnsiTheme="majorBidi" w:cstheme="majorBidi"/>
          <w:b/>
          <w:bCs/>
          <w:sz w:val="24"/>
          <w:szCs w:val="24"/>
          <w:lang w:val="sv-SE"/>
        </w:rPr>
      </w:pPr>
    </w:p>
    <w:p w14:paraId="5D0DBF3F" w14:textId="77777777" w:rsidR="00BB72E7" w:rsidRDefault="00BB72E7" w:rsidP="00811D1F">
      <w:pPr>
        <w:rPr>
          <w:rFonts w:asciiTheme="majorBidi" w:hAnsiTheme="majorBidi" w:cstheme="majorBidi"/>
          <w:b/>
          <w:bCs/>
          <w:sz w:val="24"/>
          <w:szCs w:val="24"/>
          <w:lang w:val="sv-SE"/>
        </w:rPr>
      </w:pPr>
    </w:p>
    <w:p w14:paraId="44AAA0C1" w14:textId="77777777" w:rsidR="00BB72E7" w:rsidRDefault="00BB72E7" w:rsidP="00811D1F">
      <w:pPr>
        <w:rPr>
          <w:rFonts w:asciiTheme="majorBidi" w:hAnsiTheme="majorBidi" w:cstheme="majorBidi"/>
          <w:b/>
          <w:bCs/>
          <w:sz w:val="24"/>
          <w:szCs w:val="24"/>
          <w:lang w:val="sv-SE"/>
        </w:rPr>
      </w:pPr>
    </w:p>
    <w:p w14:paraId="6C5DAE36" w14:textId="77777777" w:rsidR="00BB72E7" w:rsidRDefault="00BB72E7" w:rsidP="00811D1F">
      <w:pPr>
        <w:rPr>
          <w:rFonts w:asciiTheme="majorBidi" w:hAnsiTheme="majorBidi" w:cstheme="majorBidi"/>
          <w:b/>
          <w:bCs/>
          <w:sz w:val="24"/>
          <w:szCs w:val="24"/>
          <w:lang w:val="sv-SE"/>
        </w:rPr>
      </w:pPr>
    </w:p>
    <w:p w14:paraId="206C2F44" w14:textId="77777777" w:rsidR="00BB72E7" w:rsidRDefault="00BB72E7" w:rsidP="00811D1F">
      <w:pPr>
        <w:rPr>
          <w:rFonts w:asciiTheme="majorBidi" w:hAnsiTheme="majorBidi" w:cstheme="majorBidi"/>
          <w:b/>
          <w:bCs/>
          <w:sz w:val="24"/>
          <w:szCs w:val="24"/>
          <w:lang w:val="sv-SE"/>
        </w:rPr>
      </w:pPr>
    </w:p>
    <w:p w14:paraId="401B09BA" w14:textId="77777777" w:rsidR="00BB72E7" w:rsidRDefault="00BB72E7" w:rsidP="00811D1F">
      <w:pPr>
        <w:rPr>
          <w:rFonts w:asciiTheme="majorBidi" w:hAnsiTheme="majorBidi" w:cstheme="majorBidi"/>
          <w:b/>
          <w:bCs/>
          <w:sz w:val="24"/>
          <w:szCs w:val="24"/>
          <w:lang w:val="sv-SE"/>
        </w:rPr>
      </w:pPr>
    </w:p>
    <w:p w14:paraId="08115EBD" w14:textId="77777777" w:rsidR="00BB72E7" w:rsidRDefault="00BB72E7" w:rsidP="00811D1F">
      <w:pPr>
        <w:rPr>
          <w:rFonts w:asciiTheme="majorBidi" w:hAnsiTheme="majorBidi" w:cstheme="majorBidi"/>
          <w:b/>
          <w:bCs/>
          <w:sz w:val="24"/>
          <w:szCs w:val="24"/>
          <w:lang w:val="sv-SE"/>
        </w:rPr>
      </w:pPr>
    </w:p>
    <w:p w14:paraId="5CA64CB3" w14:textId="77777777" w:rsidR="00BB72E7" w:rsidRDefault="00BB72E7" w:rsidP="00811D1F">
      <w:pPr>
        <w:rPr>
          <w:rFonts w:asciiTheme="majorBidi" w:hAnsiTheme="majorBidi" w:cstheme="majorBidi"/>
          <w:b/>
          <w:bCs/>
          <w:sz w:val="24"/>
          <w:szCs w:val="24"/>
          <w:lang w:val="sv-SE"/>
        </w:rPr>
      </w:pPr>
    </w:p>
    <w:p w14:paraId="18A731F7" w14:textId="77777777" w:rsidR="00BB72E7" w:rsidRDefault="00BB72E7" w:rsidP="00811D1F">
      <w:pPr>
        <w:rPr>
          <w:rFonts w:asciiTheme="majorBidi" w:hAnsiTheme="majorBidi" w:cstheme="majorBidi"/>
          <w:b/>
          <w:bCs/>
          <w:sz w:val="24"/>
          <w:szCs w:val="24"/>
          <w:lang w:val="sv-SE"/>
        </w:rPr>
      </w:pPr>
    </w:p>
    <w:p w14:paraId="37956D5B" w14:textId="77777777" w:rsidR="00BB72E7" w:rsidRDefault="00BB72E7" w:rsidP="00811D1F">
      <w:pPr>
        <w:rPr>
          <w:rFonts w:asciiTheme="majorBidi" w:hAnsiTheme="majorBidi" w:cstheme="majorBidi"/>
          <w:b/>
          <w:bCs/>
          <w:sz w:val="24"/>
          <w:szCs w:val="24"/>
          <w:lang w:val="sv-SE"/>
        </w:rPr>
      </w:pPr>
    </w:p>
    <w:p w14:paraId="366914DC" w14:textId="5642D95D" w:rsidR="00811D1F" w:rsidRDefault="00811D1F" w:rsidP="00811D1F">
      <w:pPr>
        <w:rPr>
          <w:rFonts w:asciiTheme="majorBidi" w:hAnsiTheme="majorBidi" w:cstheme="majorBidi"/>
          <w:b/>
          <w:bCs/>
          <w:sz w:val="24"/>
          <w:szCs w:val="24"/>
          <w:lang w:val="sv-SE"/>
        </w:rPr>
      </w:pPr>
      <w:r>
        <w:rPr>
          <w:rFonts w:asciiTheme="majorBidi" w:hAnsiTheme="majorBidi" w:cstheme="majorBidi"/>
          <w:b/>
          <w:bCs/>
          <w:sz w:val="24"/>
          <w:szCs w:val="24"/>
          <w:lang w:val="sv-SE"/>
        </w:rPr>
        <w:lastRenderedPageBreak/>
        <w:t>Uji Regresi Linier Berganda</w:t>
      </w:r>
    </w:p>
    <w:p w14:paraId="2B3B67A4" w14:textId="05D51CE5" w:rsidR="00BB72E7" w:rsidRDefault="00BB72E7" w:rsidP="00811D1F">
      <w:pPr>
        <w:rPr>
          <w:rFonts w:asciiTheme="majorBidi" w:hAnsiTheme="majorBidi" w:cstheme="majorBidi"/>
          <w:b/>
          <w:bCs/>
          <w:sz w:val="24"/>
          <w:szCs w:val="24"/>
          <w:lang w:val="sv-SE"/>
        </w:rPr>
      </w:pPr>
      <w:r w:rsidRPr="007F7C0B">
        <w:rPr>
          <w:rFonts w:asciiTheme="majorBidi" w:hAnsiTheme="majorBidi" w:cstheme="majorBidi"/>
          <w:b/>
          <w:bCs/>
          <w:i/>
          <w:iCs/>
          <w:noProof/>
          <w:sz w:val="24"/>
          <w:szCs w:val="24"/>
        </w:rPr>
        <w:drawing>
          <wp:anchor distT="0" distB="0" distL="114300" distR="114300" simplePos="0" relativeHeight="251778048" behindDoc="0" locked="0" layoutInCell="1" allowOverlap="1" wp14:anchorId="111E36E8" wp14:editId="5E8C8854">
            <wp:simplePos x="0" y="0"/>
            <wp:positionH relativeFrom="column">
              <wp:posOffset>723900</wp:posOffset>
            </wp:positionH>
            <wp:positionV relativeFrom="paragraph">
              <wp:posOffset>109220</wp:posOffset>
            </wp:positionV>
            <wp:extent cx="4467225" cy="3211195"/>
            <wp:effectExtent l="0" t="0" r="9525" b="8255"/>
            <wp:wrapSquare wrapText="bothSides"/>
            <wp:docPr id="15393088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67225" cy="3211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AC5CE4" w14:textId="225DDC32" w:rsidR="00BB72E7" w:rsidRDefault="00BB72E7" w:rsidP="00811D1F">
      <w:pPr>
        <w:rPr>
          <w:rFonts w:asciiTheme="majorBidi" w:hAnsiTheme="majorBidi" w:cstheme="majorBidi"/>
          <w:b/>
          <w:bCs/>
          <w:sz w:val="24"/>
          <w:szCs w:val="24"/>
          <w:lang w:val="sv-SE"/>
        </w:rPr>
      </w:pPr>
    </w:p>
    <w:p w14:paraId="58ABFD78" w14:textId="77777777" w:rsidR="00BB72E7" w:rsidRDefault="00BB72E7" w:rsidP="00811D1F">
      <w:pPr>
        <w:rPr>
          <w:rFonts w:asciiTheme="majorBidi" w:hAnsiTheme="majorBidi" w:cstheme="majorBidi"/>
          <w:b/>
          <w:bCs/>
          <w:sz w:val="24"/>
          <w:szCs w:val="24"/>
          <w:lang w:val="sv-SE"/>
        </w:rPr>
      </w:pPr>
    </w:p>
    <w:p w14:paraId="649EFB8C" w14:textId="77777777" w:rsidR="00BB72E7" w:rsidRDefault="00BB72E7" w:rsidP="00811D1F">
      <w:pPr>
        <w:rPr>
          <w:rFonts w:asciiTheme="majorBidi" w:hAnsiTheme="majorBidi" w:cstheme="majorBidi"/>
          <w:b/>
          <w:bCs/>
          <w:sz w:val="24"/>
          <w:szCs w:val="24"/>
          <w:lang w:val="sv-SE"/>
        </w:rPr>
      </w:pPr>
    </w:p>
    <w:p w14:paraId="22A3E956" w14:textId="77777777" w:rsidR="00BB72E7" w:rsidRDefault="00BB72E7" w:rsidP="00811D1F">
      <w:pPr>
        <w:rPr>
          <w:rFonts w:asciiTheme="majorBidi" w:hAnsiTheme="majorBidi" w:cstheme="majorBidi"/>
          <w:b/>
          <w:bCs/>
          <w:sz w:val="24"/>
          <w:szCs w:val="24"/>
          <w:lang w:val="sv-SE"/>
        </w:rPr>
      </w:pPr>
    </w:p>
    <w:p w14:paraId="50A7A2E3" w14:textId="77777777" w:rsidR="00BB72E7" w:rsidRDefault="00BB72E7" w:rsidP="00811D1F">
      <w:pPr>
        <w:rPr>
          <w:rFonts w:asciiTheme="majorBidi" w:hAnsiTheme="majorBidi" w:cstheme="majorBidi"/>
          <w:b/>
          <w:bCs/>
          <w:sz w:val="24"/>
          <w:szCs w:val="24"/>
          <w:lang w:val="sv-SE"/>
        </w:rPr>
      </w:pPr>
    </w:p>
    <w:p w14:paraId="67BAF26F" w14:textId="77777777" w:rsidR="00BB72E7" w:rsidRDefault="00BB72E7" w:rsidP="00811D1F">
      <w:pPr>
        <w:rPr>
          <w:rFonts w:asciiTheme="majorBidi" w:hAnsiTheme="majorBidi" w:cstheme="majorBidi"/>
          <w:b/>
          <w:bCs/>
          <w:sz w:val="24"/>
          <w:szCs w:val="24"/>
          <w:lang w:val="sv-SE"/>
        </w:rPr>
      </w:pPr>
    </w:p>
    <w:p w14:paraId="5A4FA32B" w14:textId="77777777" w:rsidR="00BB72E7" w:rsidRDefault="00BB72E7" w:rsidP="00811D1F">
      <w:pPr>
        <w:rPr>
          <w:rFonts w:asciiTheme="majorBidi" w:hAnsiTheme="majorBidi" w:cstheme="majorBidi"/>
          <w:b/>
          <w:bCs/>
          <w:sz w:val="24"/>
          <w:szCs w:val="24"/>
          <w:lang w:val="sv-SE"/>
        </w:rPr>
      </w:pPr>
    </w:p>
    <w:p w14:paraId="223FD697" w14:textId="77777777" w:rsidR="00BB72E7" w:rsidRDefault="00BB72E7" w:rsidP="00811D1F">
      <w:pPr>
        <w:rPr>
          <w:rFonts w:asciiTheme="majorBidi" w:hAnsiTheme="majorBidi" w:cstheme="majorBidi"/>
          <w:b/>
          <w:bCs/>
          <w:sz w:val="24"/>
          <w:szCs w:val="24"/>
          <w:lang w:val="sv-SE"/>
        </w:rPr>
      </w:pPr>
    </w:p>
    <w:p w14:paraId="653C1046" w14:textId="77777777" w:rsidR="00BB72E7" w:rsidRDefault="00BB72E7" w:rsidP="00811D1F">
      <w:pPr>
        <w:rPr>
          <w:rFonts w:asciiTheme="majorBidi" w:hAnsiTheme="majorBidi" w:cstheme="majorBidi"/>
          <w:b/>
          <w:bCs/>
          <w:sz w:val="24"/>
          <w:szCs w:val="24"/>
          <w:lang w:val="sv-SE"/>
        </w:rPr>
      </w:pPr>
    </w:p>
    <w:p w14:paraId="2E1B0C3D" w14:textId="77777777" w:rsidR="00BB72E7" w:rsidRDefault="00BB72E7" w:rsidP="00811D1F">
      <w:pPr>
        <w:rPr>
          <w:rFonts w:asciiTheme="majorBidi" w:hAnsiTheme="majorBidi" w:cstheme="majorBidi"/>
          <w:b/>
          <w:bCs/>
          <w:sz w:val="24"/>
          <w:szCs w:val="24"/>
          <w:lang w:val="sv-SE"/>
        </w:rPr>
      </w:pPr>
    </w:p>
    <w:p w14:paraId="601BDE9B" w14:textId="77777777" w:rsidR="00BB72E7" w:rsidRDefault="00BB72E7" w:rsidP="00811D1F">
      <w:pPr>
        <w:rPr>
          <w:rFonts w:asciiTheme="majorBidi" w:hAnsiTheme="majorBidi" w:cstheme="majorBidi"/>
          <w:b/>
          <w:bCs/>
          <w:sz w:val="24"/>
          <w:szCs w:val="24"/>
          <w:lang w:val="sv-SE"/>
        </w:rPr>
      </w:pPr>
    </w:p>
    <w:p w14:paraId="22358491" w14:textId="1863BD4E" w:rsidR="00811D1F" w:rsidRDefault="00811D1F" w:rsidP="00811D1F">
      <w:pPr>
        <w:rPr>
          <w:rFonts w:asciiTheme="majorBidi" w:hAnsiTheme="majorBidi" w:cstheme="majorBidi"/>
          <w:b/>
          <w:bCs/>
          <w:sz w:val="24"/>
          <w:szCs w:val="24"/>
          <w:lang w:val="sv-SE"/>
        </w:rPr>
      </w:pPr>
      <w:r>
        <w:rPr>
          <w:rFonts w:asciiTheme="majorBidi" w:hAnsiTheme="majorBidi" w:cstheme="majorBidi"/>
          <w:b/>
          <w:bCs/>
          <w:sz w:val="24"/>
          <w:szCs w:val="24"/>
          <w:lang w:val="sv-SE"/>
        </w:rPr>
        <w:t>Uji t</w:t>
      </w:r>
    </w:p>
    <w:p w14:paraId="43A6C3BC" w14:textId="2EE179EB" w:rsidR="00BB72E7" w:rsidRDefault="00BB72E7" w:rsidP="00811D1F">
      <w:pPr>
        <w:rPr>
          <w:rFonts w:asciiTheme="majorBidi" w:hAnsiTheme="majorBidi" w:cstheme="majorBidi"/>
          <w:b/>
          <w:bCs/>
          <w:sz w:val="24"/>
          <w:szCs w:val="24"/>
          <w:lang w:val="sv-SE"/>
        </w:rPr>
      </w:pPr>
      <w:r w:rsidRPr="008B2471">
        <w:rPr>
          <w:rFonts w:asciiTheme="majorBidi" w:hAnsiTheme="majorBidi" w:cstheme="majorBidi"/>
          <w:b/>
          <w:bCs/>
          <w:i/>
          <w:iCs/>
          <w:noProof/>
          <w:sz w:val="24"/>
          <w:szCs w:val="24"/>
        </w:rPr>
        <w:drawing>
          <wp:anchor distT="0" distB="0" distL="114300" distR="114300" simplePos="0" relativeHeight="251780096" behindDoc="0" locked="0" layoutInCell="1" allowOverlap="1" wp14:anchorId="5E379CCA" wp14:editId="65DA75CF">
            <wp:simplePos x="0" y="0"/>
            <wp:positionH relativeFrom="column">
              <wp:posOffset>1085850</wp:posOffset>
            </wp:positionH>
            <wp:positionV relativeFrom="paragraph">
              <wp:posOffset>228600</wp:posOffset>
            </wp:positionV>
            <wp:extent cx="4000500" cy="1847850"/>
            <wp:effectExtent l="0" t="0" r="0" b="0"/>
            <wp:wrapSquare wrapText="bothSides"/>
            <wp:docPr id="19531760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00500" cy="1847850"/>
                    </a:xfrm>
                    <a:prstGeom prst="rect">
                      <a:avLst/>
                    </a:prstGeom>
                    <a:noFill/>
                    <a:ln>
                      <a:noFill/>
                    </a:ln>
                  </pic:spPr>
                </pic:pic>
              </a:graphicData>
            </a:graphic>
          </wp:anchor>
        </w:drawing>
      </w:r>
    </w:p>
    <w:p w14:paraId="467613E6" w14:textId="15D178C2" w:rsidR="00BB72E7" w:rsidRDefault="00BB72E7" w:rsidP="00811D1F">
      <w:pPr>
        <w:rPr>
          <w:rFonts w:asciiTheme="majorBidi" w:hAnsiTheme="majorBidi" w:cstheme="majorBidi"/>
          <w:b/>
          <w:bCs/>
          <w:sz w:val="24"/>
          <w:szCs w:val="24"/>
          <w:lang w:val="sv-SE"/>
        </w:rPr>
      </w:pPr>
    </w:p>
    <w:p w14:paraId="2D1F8B97" w14:textId="12E9D01C" w:rsidR="00BB72E7" w:rsidRDefault="00BB72E7" w:rsidP="00811D1F">
      <w:pPr>
        <w:rPr>
          <w:rFonts w:asciiTheme="majorBidi" w:hAnsiTheme="majorBidi" w:cstheme="majorBidi"/>
          <w:b/>
          <w:bCs/>
          <w:sz w:val="24"/>
          <w:szCs w:val="24"/>
          <w:lang w:val="sv-SE"/>
        </w:rPr>
      </w:pPr>
    </w:p>
    <w:p w14:paraId="23C41ECB" w14:textId="77777777" w:rsidR="00BB72E7" w:rsidRDefault="00BB72E7" w:rsidP="00811D1F">
      <w:pPr>
        <w:rPr>
          <w:rFonts w:asciiTheme="majorBidi" w:hAnsiTheme="majorBidi" w:cstheme="majorBidi"/>
          <w:b/>
          <w:bCs/>
          <w:sz w:val="24"/>
          <w:szCs w:val="24"/>
          <w:lang w:val="sv-SE"/>
        </w:rPr>
      </w:pPr>
    </w:p>
    <w:p w14:paraId="21F3E7F3" w14:textId="77777777" w:rsidR="00BB72E7" w:rsidRDefault="00BB72E7" w:rsidP="00811D1F">
      <w:pPr>
        <w:rPr>
          <w:rFonts w:asciiTheme="majorBidi" w:hAnsiTheme="majorBidi" w:cstheme="majorBidi"/>
          <w:b/>
          <w:bCs/>
          <w:sz w:val="24"/>
          <w:szCs w:val="24"/>
          <w:lang w:val="sv-SE"/>
        </w:rPr>
      </w:pPr>
    </w:p>
    <w:p w14:paraId="5C18063A" w14:textId="77777777" w:rsidR="00BB72E7" w:rsidRDefault="00BB72E7" w:rsidP="00811D1F">
      <w:pPr>
        <w:rPr>
          <w:rFonts w:asciiTheme="majorBidi" w:hAnsiTheme="majorBidi" w:cstheme="majorBidi"/>
          <w:b/>
          <w:bCs/>
          <w:sz w:val="24"/>
          <w:szCs w:val="24"/>
          <w:lang w:val="sv-SE"/>
        </w:rPr>
      </w:pPr>
    </w:p>
    <w:p w14:paraId="2E41A0D9" w14:textId="77777777" w:rsidR="00BB72E7" w:rsidRDefault="00BB72E7" w:rsidP="00811D1F">
      <w:pPr>
        <w:rPr>
          <w:rFonts w:asciiTheme="majorBidi" w:hAnsiTheme="majorBidi" w:cstheme="majorBidi"/>
          <w:b/>
          <w:bCs/>
          <w:sz w:val="24"/>
          <w:szCs w:val="24"/>
          <w:lang w:val="sv-SE"/>
        </w:rPr>
      </w:pPr>
    </w:p>
    <w:p w14:paraId="671BFF05" w14:textId="77777777" w:rsidR="00BB72E7" w:rsidRDefault="00BB72E7" w:rsidP="00811D1F">
      <w:pPr>
        <w:rPr>
          <w:rFonts w:asciiTheme="majorBidi" w:hAnsiTheme="majorBidi" w:cstheme="majorBidi"/>
          <w:b/>
          <w:bCs/>
          <w:sz w:val="24"/>
          <w:szCs w:val="24"/>
          <w:lang w:val="sv-SE"/>
        </w:rPr>
      </w:pPr>
    </w:p>
    <w:p w14:paraId="5E27D282" w14:textId="42C1B91E" w:rsidR="00811D1F" w:rsidRDefault="00811D1F" w:rsidP="00811D1F">
      <w:pPr>
        <w:rPr>
          <w:rFonts w:asciiTheme="majorBidi" w:hAnsiTheme="majorBidi" w:cstheme="majorBidi"/>
          <w:b/>
          <w:bCs/>
          <w:sz w:val="24"/>
          <w:szCs w:val="24"/>
          <w:lang w:val="sv-SE"/>
        </w:rPr>
      </w:pPr>
      <w:r>
        <w:rPr>
          <w:rFonts w:asciiTheme="majorBidi" w:hAnsiTheme="majorBidi" w:cstheme="majorBidi"/>
          <w:b/>
          <w:bCs/>
          <w:sz w:val="24"/>
          <w:szCs w:val="24"/>
          <w:lang w:val="sv-SE"/>
        </w:rPr>
        <w:t>Uji F</w:t>
      </w:r>
    </w:p>
    <w:p w14:paraId="1E9D5155" w14:textId="1CE79888" w:rsidR="00BB72E7" w:rsidRDefault="0051620D" w:rsidP="00811D1F">
      <w:pPr>
        <w:rPr>
          <w:rFonts w:asciiTheme="majorBidi" w:hAnsiTheme="majorBidi" w:cstheme="majorBidi"/>
          <w:b/>
          <w:bCs/>
          <w:sz w:val="24"/>
          <w:szCs w:val="24"/>
          <w:lang w:val="sv-SE"/>
        </w:rPr>
      </w:pPr>
      <w:r w:rsidRPr="007F7C0B">
        <w:rPr>
          <w:rFonts w:asciiTheme="majorBidi" w:hAnsiTheme="majorBidi" w:cstheme="majorBidi"/>
          <w:b/>
          <w:bCs/>
          <w:i/>
          <w:iCs/>
          <w:noProof/>
          <w:sz w:val="24"/>
          <w:szCs w:val="24"/>
        </w:rPr>
        <w:drawing>
          <wp:anchor distT="0" distB="0" distL="114300" distR="114300" simplePos="0" relativeHeight="251782144" behindDoc="0" locked="0" layoutInCell="1" allowOverlap="1" wp14:anchorId="00937369" wp14:editId="570835E9">
            <wp:simplePos x="0" y="0"/>
            <wp:positionH relativeFrom="column">
              <wp:posOffset>1038225</wp:posOffset>
            </wp:positionH>
            <wp:positionV relativeFrom="paragraph">
              <wp:posOffset>209550</wp:posOffset>
            </wp:positionV>
            <wp:extent cx="4048125" cy="1133475"/>
            <wp:effectExtent l="0" t="0" r="9525" b="9525"/>
            <wp:wrapSquare wrapText="bothSides"/>
            <wp:docPr id="153949590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48125" cy="1133475"/>
                    </a:xfrm>
                    <a:prstGeom prst="rect">
                      <a:avLst/>
                    </a:prstGeom>
                    <a:noFill/>
                    <a:ln>
                      <a:noFill/>
                    </a:ln>
                  </pic:spPr>
                </pic:pic>
              </a:graphicData>
            </a:graphic>
            <wp14:sizeRelH relativeFrom="margin">
              <wp14:pctWidth>0</wp14:pctWidth>
            </wp14:sizeRelH>
          </wp:anchor>
        </w:drawing>
      </w:r>
    </w:p>
    <w:p w14:paraId="57553D36" w14:textId="16ADEC14" w:rsidR="00BB72E7" w:rsidRDefault="00BB72E7" w:rsidP="00811D1F">
      <w:pPr>
        <w:rPr>
          <w:rFonts w:asciiTheme="majorBidi" w:hAnsiTheme="majorBidi" w:cstheme="majorBidi"/>
          <w:b/>
          <w:bCs/>
          <w:sz w:val="24"/>
          <w:szCs w:val="24"/>
          <w:lang w:val="sv-SE"/>
        </w:rPr>
      </w:pPr>
    </w:p>
    <w:p w14:paraId="13ABE731" w14:textId="20253A72" w:rsidR="00BB72E7" w:rsidRDefault="00BB72E7" w:rsidP="00811D1F">
      <w:pPr>
        <w:rPr>
          <w:rFonts w:asciiTheme="majorBidi" w:hAnsiTheme="majorBidi" w:cstheme="majorBidi"/>
          <w:b/>
          <w:bCs/>
          <w:sz w:val="24"/>
          <w:szCs w:val="24"/>
          <w:lang w:val="sv-SE"/>
        </w:rPr>
      </w:pPr>
    </w:p>
    <w:p w14:paraId="210BC1E1" w14:textId="77777777" w:rsidR="00BB72E7" w:rsidRDefault="00BB72E7" w:rsidP="00811D1F">
      <w:pPr>
        <w:rPr>
          <w:rFonts w:asciiTheme="majorBidi" w:hAnsiTheme="majorBidi" w:cstheme="majorBidi"/>
          <w:b/>
          <w:bCs/>
          <w:sz w:val="24"/>
          <w:szCs w:val="24"/>
          <w:lang w:val="sv-SE"/>
        </w:rPr>
      </w:pPr>
    </w:p>
    <w:p w14:paraId="7FB91E8F" w14:textId="77777777" w:rsidR="00BB72E7" w:rsidRDefault="00BB72E7" w:rsidP="00811D1F">
      <w:pPr>
        <w:rPr>
          <w:rFonts w:asciiTheme="majorBidi" w:hAnsiTheme="majorBidi" w:cstheme="majorBidi"/>
          <w:b/>
          <w:bCs/>
          <w:sz w:val="24"/>
          <w:szCs w:val="24"/>
          <w:lang w:val="sv-SE"/>
        </w:rPr>
      </w:pPr>
    </w:p>
    <w:p w14:paraId="6941A415" w14:textId="77777777" w:rsidR="00BB72E7" w:rsidRDefault="00BB72E7" w:rsidP="00811D1F">
      <w:pPr>
        <w:rPr>
          <w:rFonts w:asciiTheme="majorBidi" w:hAnsiTheme="majorBidi" w:cstheme="majorBidi"/>
          <w:b/>
          <w:bCs/>
          <w:sz w:val="24"/>
          <w:szCs w:val="24"/>
          <w:lang w:val="sv-SE"/>
        </w:rPr>
      </w:pPr>
    </w:p>
    <w:p w14:paraId="4C317188" w14:textId="77777777" w:rsidR="00BB72E7" w:rsidRDefault="00BB72E7" w:rsidP="00811D1F">
      <w:pPr>
        <w:rPr>
          <w:rFonts w:asciiTheme="majorBidi" w:hAnsiTheme="majorBidi" w:cstheme="majorBidi"/>
          <w:b/>
          <w:bCs/>
          <w:sz w:val="24"/>
          <w:szCs w:val="24"/>
          <w:lang w:val="sv-SE"/>
        </w:rPr>
      </w:pPr>
    </w:p>
    <w:p w14:paraId="5265BB95" w14:textId="77777777" w:rsidR="00BB72E7" w:rsidRDefault="00BB72E7" w:rsidP="00811D1F">
      <w:pPr>
        <w:rPr>
          <w:rFonts w:asciiTheme="majorBidi" w:hAnsiTheme="majorBidi" w:cstheme="majorBidi"/>
          <w:b/>
          <w:bCs/>
          <w:sz w:val="24"/>
          <w:szCs w:val="24"/>
          <w:lang w:val="sv-SE"/>
        </w:rPr>
      </w:pPr>
    </w:p>
    <w:p w14:paraId="25F21078" w14:textId="6FE69BD0" w:rsidR="00811D1F" w:rsidRDefault="00811D1F" w:rsidP="00811D1F">
      <w:pPr>
        <w:rPr>
          <w:rFonts w:asciiTheme="majorBidi" w:hAnsiTheme="majorBidi" w:cstheme="majorBidi"/>
          <w:b/>
          <w:bCs/>
          <w:sz w:val="24"/>
          <w:szCs w:val="24"/>
          <w:lang w:val="sv-SE"/>
        </w:rPr>
      </w:pPr>
      <w:r>
        <w:rPr>
          <w:rFonts w:asciiTheme="majorBidi" w:hAnsiTheme="majorBidi" w:cstheme="majorBidi"/>
          <w:b/>
          <w:bCs/>
          <w:sz w:val="24"/>
          <w:szCs w:val="24"/>
          <w:lang w:val="sv-SE"/>
        </w:rPr>
        <w:lastRenderedPageBreak/>
        <w:t>Uji Koefisien Determinasi (Adjusted R</w:t>
      </w:r>
      <w:r>
        <w:rPr>
          <w:rFonts w:asciiTheme="majorBidi" w:hAnsiTheme="majorBidi" w:cstheme="majorBidi"/>
          <w:b/>
          <w:bCs/>
          <w:sz w:val="24"/>
          <w:szCs w:val="24"/>
          <w:vertAlign w:val="superscript"/>
          <w:lang w:val="sv-SE"/>
        </w:rPr>
        <w:t>2</w:t>
      </w:r>
      <w:r>
        <w:rPr>
          <w:rFonts w:asciiTheme="majorBidi" w:hAnsiTheme="majorBidi" w:cstheme="majorBidi"/>
          <w:b/>
          <w:bCs/>
          <w:sz w:val="24"/>
          <w:szCs w:val="24"/>
          <w:lang w:val="sv-SE"/>
        </w:rPr>
        <w:t>)</w:t>
      </w:r>
    </w:p>
    <w:p w14:paraId="4A9D9CF2" w14:textId="166DCF33" w:rsidR="00811D1F" w:rsidRDefault="0051620D" w:rsidP="00811D1F">
      <w:pPr>
        <w:rPr>
          <w:rFonts w:asciiTheme="majorBidi" w:hAnsiTheme="majorBidi" w:cstheme="majorBidi"/>
          <w:b/>
          <w:bCs/>
          <w:sz w:val="24"/>
          <w:szCs w:val="24"/>
          <w:lang w:val="sv-SE"/>
        </w:rPr>
      </w:pPr>
      <w:r w:rsidRPr="007F7C0B">
        <w:rPr>
          <w:rFonts w:asciiTheme="majorBidi" w:hAnsiTheme="majorBidi" w:cstheme="majorBidi"/>
          <w:b/>
          <w:bCs/>
          <w:i/>
          <w:iCs/>
          <w:noProof/>
          <w:sz w:val="24"/>
          <w:szCs w:val="24"/>
        </w:rPr>
        <w:drawing>
          <wp:anchor distT="0" distB="0" distL="114300" distR="114300" simplePos="0" relativeHeight="251784192" behindDoc="0" locked="0" layoutInCell="1" allowOverlap="1" wp14:anchorId="3272F7A4" wp14:editId="7DD775F6">
            <wp:simplePos x="0" y="0"/>
            <wp:positionH relativeFrom="column">
              <wp:posOffset>857250</wp:posOffset>
            </wp:positionH>
            <wp:positionV relativeFrom="paragraph">
              <wp:posOffset>123190</wp:posOffset>
            </wp:positionV>
            <wp:extent cx="4048125" cy="1133475"/>
            <wp:effectExtent l="0" t="0" r="9525" b="9525"/>
            <wp:wrapSquare wrapText="bothSides"/>
            <wp:docPr id="20240759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48125" cy="1133475"/>
                    </a:xfrm>
                    <a:prstGeom prst="rect">
                      <a:avLst/>
                    </a:prstGeom>
                    <a:noFill/>
                    <a:ln>
                      <a:noFill/>
                    </a:ln>
                  </pic:spPr>
                </pic:pic>
              </a:graphicData>
            </a:graphic>
            <wp14:sizeRelH relativeFrom="margin">
              <wp14:pctWidth>0</wp14:pctWidth>
            </wp14:sizeRelH>
          </wp:anchor>
        </w:drawing>
      </w:r>
    </w:p>
    <w:p w14:paraId="1DFB2E9D" w14:textId="284558F7" w:rsidR="00811D1F" w:rsidRDefault="00811D1F" w:rsidP="00811D1F">
      <w:pPr>
        <w:rPr>
          <w:rFonts w:asciiTheme="majorBidi" w:hAnsiTheme="majorBidi" w:cstheme="majorBidi"/>
          <w:b/>
          <w:bCs/>
          <w:sz w:val="24"/>
          <w:szCs w:val="24"/>
          <w:lang w:val="sv-SE"/>
        </w:rPr>
      </w:pPr>
    </w:p>
    <w:p w14:paraId="2665D401" w14:textId="104A88C6" w:rsidR="00811D1F" w:rsidRDefault="00811D1F" w:rsidP="00811D1F">
      <w:pPr>
        <w:rPr>
          <w:rFonts w:asciiTheme="majorBidi" w:hAnsiTheme="majorBidi" w:cstheme="majorBidi"/>
          <w:b/>
          <w:bCs/>
          <w:sz w:val="24"/>
          <w:szCs w:val="24"/>
          <w:lang w:val="sv-SE"/>
        </w:rPr>
      </w:pPr>
    </w:p>
    <w:p w14:paraId="58513E16" w14:textId="77777777" w:rsidR="00811D1F" w:rsidRDefault="00811D1F" w:rsidP="00811D1F">
      <w:pPr>
        <w:rPr>
          <w:rFonts w:asciiTheme="majorBidi" w:hAnsiTheme="majorBidi" w:cstheme="majorBidi"/>
          <w:b/>
          <w:bCs/>
          <w:sz w:val="24"/>
          <w:szCs w:val="24"/>
          <w:lang w:val="sv-SE"/>
        </w:rPr>
      </w:pPr>
    </w:p>
    <w:p w14:paraId="68F2A93D" w14:textId="77777777" w:rsidR="00811D1F" w:rsidRDefault="00811D1F" w:rsidP="00811D1F">
      <w:pPr>
        <w:rPr>
          <w:rFonts w:asciiTheme="majorBidi" w:hAnsiTheme="majorBidi" w:cstheme="majorBidi"/>
          <w:b/>
          <w:bCs/>
          <w:sz w:val="24"/>
          <w:szCs w:val="24"/>
          <w:lang w:val="sv-SE"/>
        </w:rPr>
      </w:pPr>
    </w:p>
    <w:p w14:paraId="5F790A14" w14:textId="77777777" w:rsidR="00811D1F" w:rsidRDefault="00811D1F" w:rsidP="00811D1F">
      <w:pPr>
        <w:rPr>
          <w:rFonts w:asciiTheme="majorBidi" w:hAnsiTheme="majorBidi" w:cstheme="majorBidi"/>
          <w:b/>
          <w:bCs/>
          <w:sz w:val="24"/>
          <w:szCs w:val="24"/>
          <w:lang w:val="sv-SE"/>
        </w:rPr>
      </w:pPr>
    </w:p>
    <w:p w14:paraId="126DCCBE" w14:textId="77777777" w:rsidR="00811D1F" w:rsidRDefault="00811D1F" w:rsidP="00811D1F">
      <w:pPr>
        <w:rPr>
          <w:rFonts w:asciiTheme="majorBidi" w:hAnsiTheme="majorBidi" w:cstheme="majorBidi"/>
          <w:b/>
          <w:bCs/>
          <w:sz w:val="24"/>
          <w:szCs w:val="24"/>
          <w:lang w:val="sv-SE"/>
        </w:rPr>
      </w:pPr>
    </w:p>
    <w:p w14:paraId="52991AB9" w14:textId="77777777" w:rsidR="00811D1F" w:rsidRDefault="00811D1F" w:rsidP="00811D1F">
      <w:pPr>
        <w:rPr>
          <w:rFonts w:asciiTheme="majorBidi" w:hAnsiTheme="majorBidi" w:cstheme="majorBidi"/>
          <w:b/>
          <w:bCs/>
          <w:sz w:val="24"/>
          <w:szCs w:val="24"/>
          <w:lang w:val="sv-SE"/>
        </w:rPr>
      </w:pPr>
    </w:p>
    <w:p w14:paraId="45F73B30" w14:textId="77777777" w:rsidR="00811D1F" w:rsidRDefault="00811D1F" w:rsidP="00811D1F">
      <w:pPr>
        <w:rPr>
          <w:rFonts w:asciiTheme="majorBidi" w:hAnsiTheme="majorBidi" w:cstheme="majorBidi"/>
          <w:b/>
          <w:bCs/>
          <w:sz w:val="24"/>
          <w:szCs w:val="24"/>
          <w:lang w:val="sv-SE"/>
        </w:rPr>
      </w:pPr>
    </w:p>
    <w:p w14:paraId="662C41C6" w14:textId="77777777" w:rsidR="00811D1F" w:rsidRDefault="00811D1F" w:rsidP="00811D1F">
      <w:pPr>
        <w:rPr>
          <w:rFonts w:asciiTheme="majorBidi" w:hAnsiTheme="majorBidi" w:cstheme="majorBidi"/>
          <w:b/>
          <w:bCs/>
          <w:sz w:val="24"/>
          <w:szCs w:val="24"/>
          <w:lang w:val="sv-SE"/>
        </w:rPr>
      </w:pPr>
    </w:p>
    <w:p w14:paraId="2E97DFE9" w14:textId="77777777" w:rsidR="00811D1F" w:rsidRDefault="00811D1F" w:rsidP="00811D1F">
      <w:pPr>
        <w:rPr>
          <w:rFonts w:asciiTheme="majorBidi" w:hAnsiTheme="majorBidi" w:cstheme="majorBidi"/>
          <w:b/>
          <w:bCs/>
          <w:sz w:val="24"/>
          <w:szCs w:val="24"/>
          <w:lang w:val="sv-SE"/>
        </w:rPr>
      </w:pPr>
    </w:p>
    <w:p w14:paraId="261CCC9F" w14:textId="77777777" w:rsidR="00811D1F" w:rsidRDefault="00811D1F" w:rsidP="00811D1F">
      <w:pPr>
        <w:rPr>
          <w:rFonts w:asciiTheme="majorBidi" w:hAnsiTheme="majorBidi" w:cstheme="majorBidi"/>
          <w:b/>
          <w:bCs/>
          <w:sz w:val="24"/>
          <w:szCs w:val="24"/>
          <w:lang w:val="sv-SE"/>
        </w:rPr>
      </w:pPr>
    </w:p>
    <w:p w14:paraId="4885D6D9" w14:textId="77777777" w:rsidR="00811D1F" w:rsidRDefault="00811D1F" w:rsidP="00811D1F">
      <w:pPr>
        <w:rPr>
          <w:rFonts w:asciiTheme="majorBidi" w:hAnsiTheme="majorBidi" w:cstheme="majorBidi"/>
          <w:b/>
          <w:bCs/>
          <w:sz w:val="24"/>
          <w:szCs w:val="24"/>
          <w:lang w:val="sv-SE"/>
        </w:rPr>
      </w:pPr>
    </w:p>
    <w:p w14:paraId="1F165644" w14:textId="77777777" w:rsidR="00811D1F" w:rsidRDefault="00811D1F" w:rsidP="00811D1F">
      <w:pPr>
        <w:rPr>
          <w:rFonts w:asciiTheme="majorBidi" w:hAnsiTheme="majorBidi" w:cstheme="majorBidi"/>
          <w:b/>
          <w:bCs/>
          <w:sz w:val="24"/>
          <w:szCs w:val="24"/>
          <w:lang w:val="sv-SE"/>
        </w:rPr>
      </w:pPr>
    </w:p>
    <w:p w14:paraId="686C4E92" w14:textId="77777777" w:rsidR="00811D1F" w:rsidRDefault="00811D1F" w:rsidP="00811D1F">
      <w:pPr>
        <w:rPr>
          <w:rFonts w:asciiTheme="majorBidi" w:hAnsiTheme="majorBidi" w:cstheme="majorBidi"/>
          <w:b/>
          <w:bCs/>
          <w:sz w:val="24"/>
          <w:szCs w:val="24"/>
          <w:lang w:val="sv-SE"/>
        </w:rPr>
      </w:pPr>
    </w:p>
    <w:p w14:paraId="45D03956" w14:textId="77777777" w:rsidR="00811D1F" w:rsidRDefault="00811D1F" w:rsidP="00811D1F">
      <w:pPr>
        <w:rPr>
          <w:rFonts w:asciiTheme="majorBidi" w:hAnsiTheme="majorBidi" w:cstheme="majorBidi"/>
          <w:b/>
          <w:bCs/>
          <w:sz w:val="24"/>
          <w:szCs w:val="24"/>
          <w:lang w:val="sv-SE"/>
        </w:rPr>
      </w:pPr>
    </w:p>
    <w:p w14:paraId="59090A48" w14:textId="77777777" w:rsidR="00811D1F" w:rsidRDefault="00811D1F" w:rsidP="00811D1F">
      <w:pPr>
        <w:rPr>
          <w:rFonts w:asciiTheme="majorBidi" w:hAnsiTheme="majorBidi" w:cstheme="majorBidi"/>
          <w:b/>
          <w:bCs/>
          <w:sz w:val="24"/>
          <w:szCs w:val="24"/>
          <w:lang w:val="sv-SE"/>
        </w:rPr>
      </w:pPr>
    </w:p>
    <w:p w14:paraId="7EB2A219" w14:textId="77777777" w:rsidR="00811D1F" w:rsidRDefault="00811D1F" w:rsidP="00811D1F">
      <w:pPr>
        <w:rPr>
          <w:rFonts w:asciiTheme="majorBidi" w:hAnsiTheme="majorBidi" w:cstheme="majorBidi"/>
          <w:b/>
          <w:bCs/>
          <w:sz w:val="24"/>
          <w:szCs w:val="24"/>
          <w:lang w:val="sv-SE"/>
        </w:rPr>
      </w:pPr>
    </w:p>
    <w:p w14:paraId="0EDDAFC0" w14:textId="77777777" w:rsidR="009C0296" w:rsidRDefault="009C0296" w:rsidP="00811D1F">
      <w:pPr>
        <w:rPr>
          <w:rFonts w:asciiTheme="majorBidi" w:hAnsiTheme="majorBidi" w:cstheme="majorBidi"/>
          <w:b/>
          <w:bCs/>
          <w:sz w:val="24"/>
          <w:szCs w:val="24"/>
          <w:lang w:val="sv-SE"/>
        </w:rPr>
      </w:pPr>
    </w:p>
    <w:p w14:paraId="281183DF" w14:textId="77777777" w:rsidR="00811D1F" w:rsidRDefault="00811D1F" w:rsidP="00811D1F">
      <w:pPr>
        <w:rPr>
          <w:rFonts w:asciiTheme="majorBidi" w:hAnsiTheme="majorBidi" w:cstheme="majorBidi"/>
          <w:b/>
          <w:bCs/>
          <w:sz w:val="24"/>
          <w:szCs w:val="24"/>
          <w:lang w:val="sv-SE"/>
        </w:rPr>
      </w:pPr>
    </w:p>
    <w:p w14:paraId="741EAA54" w14:textId="77777777" w:rsidR="00811D1F" w:rsidRDefault="00811D1F" w:rsidP="00811D1F">
      <w:pPr>
        <w:rPr>
          <w:rFonts w:asciiTheme="majorBidi" w:hAnsiTheme="majorBidi" w:cstheme="majorBidi"/>
          <w:b/>
          <w:bCs/>
          <w:sz w:val="24"/>
          <w:szCs w:val="24"/>
          <w:lang w:val="sv-SE"/>
        </w:rPr>
      </w:pPr>
    </w:p>
    <w:p w14:paraId="64928512" w14:textId="77777777" w:rsidR="00811D1F" w:rsidRDefault="00811D1F" w:rsidP="00811D1F">
      <w:pPr>
        <w:rPr>
          <w:rFonts w:asciiTheme="majorBidi" w:hAnsiTheme="majorBidi" w:cstheme="majorBidi"/>
          <w:b/>
          <w:bCs/>
          <w:sz w:val="24"/>
          <w:szCs w:val="24"/>
          <w:lang w:val="sv-SE"/>
        </w:rPr>
      </w:pPr>
    </w:p>
    <w:p w14:paraId="050DC817" w14:textId="77777777" w:rsidR="0051620D" w:rsidRDefault="0051620D" w:rsidP="00811D1F">
      <w:pPr>
        <w:rPr>
          <w:rFonts w:asciiTheme="majorBidi" w:hAnsiTheme="majorBidi" w:cstheme="majorBidi"/>
          <w:b/>
          <w:bCs/>
          <w:sz w:val="24"/>
          <w:szCs w:val="24"/>
          <w:lang w:val="sv-SE"/>
        </w:rPr>
      </w:pPr>
    </w:p>
    <w:p w14:paraId="58DEC736" w14:textId="1F0BF4EE" w:rsidR="00811D1F" w:rsidRPr="0051620D" w:rsidRDefault="00811D1F" w:rsidP="0051620D">
      <w:pPr>
        <w:pStyle w:val="Heading1"/>
        <w:jc w:val="center"/>
        <w:rPr>
          <w:rFonts w:asciiTheme="majorBidi" w:hAnsiTheme="majorBidi"/>
          <w:b/>
          <w:bCs/>
          <w:color w:val="auto"/>
          <w:sz w:val="24"/>
          <w:szCs w:val="24"/>
          <w:lang w:val="sv-SE"/>
        </w:rPr>
      </w:pPr>
      <w:bookmarkStart w:id="98" w:name="_Toc201063346"/>
      <w:bookmarkStart w:id="99" w:name="_Hlk201245484"/>
      <w:bookmarkEnd w:id="97"/>
      <w:r w:rsidRPr="0051620D">
        <w:rPr>
          <w:rFonts w:asciiTheme="majorBidi" w:hAnsiTheme="majorBidi"/>
          <w:b/>
          <w:bCs/>
          <w:color w:val="auto"/>
          <w:sz w:val="24"/>
          <w:szCs w:val="24"/>
          <w:lang w:val="sv-SE"/>
        </w:rPr>
        <w:lastRenderedPageBreak/>
        <w:t>DAFTAR RIWAYAT HIDUP</w:t>
      </w:r>
      <w:bookmarkEnd w:id="98"/>
    </w:p>
    <w:p w14:paraId="2C2A7BE8" w14:textId="28C00A2E" w:rsidR="00811D1F" w:rsidRDefault="00482FE5" w:rsidP="00811D1F">
      <w:pPr>
        <w:rPr>
          <w:rFonts w:asciiTheme="majorBidi" w:hAnsiTheme="majorBidi" w:cstheme="majorBidi"/>
          <w:b/>
          <w:bCs/>
          <w:sz w:val="24"/>
          <w:szCs w:val="24"/>
          <w:lang w:val="sv-SE"/>
        </w:rPr>
      </w:pPr>
      <w:r w:rsidRPr="00482FE5">
        <w:rPr>
          <w:rFonts w:asciiTheme="majorBidi" w:hAnsiTheme="majorBidi" w:cstheme="majorBidi"/>
          <w:b/>
          <w:bCs/>
          <w:noProof/>
          <w:sz w:val="24"/>
          <w:szCs w:val="24"/>
        </w:rPr>
        <w:drawing>
          <wp:anchor distT="0" distB="0" distL="114300" distR="114300" simplePos="0" relativeHeight="251786240" behindDoc="0" locked="0" layoutInCell="1" allowOverlap="1" wp14:anchorId="49B3E7DA" wp14:editId="563F8A18">
            <wp:simplePos x="0" y="0"/>
            <wp:positionH relativeFrom="column">
              <wp:posOffset>2299970</wp:posOffset>
            </wp:positionH>
            <wp:positionV relativeFrom="paragraph">
              <wp:posOffset>163830</wp:posOffset>
            </wp:positionV>
            <wp:extent cx="1196975" cy="1733550"/>
            <wp:effectExtent l="0" t="0" r="3175" b="0"/>
            <wp:wrapSquare wrapText="bothSides"/>
            <wp:docPr id="11360859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96975"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C80948" w14:textId="029935F8" w:rsidR="00811D1F" w:rsidRDefault="00811D1F" w:rsidP="00811D1F">
      <w:pPr>
        <w:rPr>
          <w:rFonts w:asciiTheme="majorBidi" w:hAnsiTheme="majorBidi" w:cstheme="majorBidi"/>
          <w:b/>
          <w:bCs/>
          <w:sz w:val="24"/>
          <w:szCs w:val="24"/>
          <w:lang w:val="sv-SE"/>
        </w:rPr>
      </w:pPr>
    </w:p>
    <w:p w14:paraId="58F44D34" w14:textId="77777777" w:rsidR="00811D1F" w:rsidRDefault="00811D1F" w:rsidP="00811D1F">
      <w:pPr>
        <w:rPr>
          <w:rFonts w:asciiTheme="majorBidi" w:hAnsiTheme="majorBidi" w:cstheme="majorBidi"/>
          <w:b/>
          <w:bCs/>
          <w:sz w:val="24"/>
          <w:szCs w:val="24"/>
          <w:lang w:val="sv-SE"/>
        </w:rPr>
      </w:pPr>
    </w:p>
    <w:p w14:paraId="15D27A61" w14:textId="4475CBB2" w:rsidR="00482FE5" w:rsidRPr="00991A8D" w:rsidRDefault="00482FE5" w:rsidP="00482FE5">
      <w:pPr>
        <w:rPr>
          <w:rFonts w:asciiTheme="majorBidi" w:hAnsiTheme="majorBidi" w:cstheme="majorBidi"/>
          <w:b/>
          <w:bCs/>
          <w:sz w:val="24"/>
          <w:szCs w:val="24"/>
          <w:lang w:val="sv-SE"/>
        </w:rPr>
      </w:pPr>
    </w:p>
    <w:p w14:paraId="2C058573" w14:textId="77777777" w:rsidR="00811D1F" w:rsidRDefault="00811D1F" w:rsidP="00811D1F">
      <w:pPr>
        <w:rPr>
          <w:rFonts w:asciiTheme="majorBidi" w:hAnsiTheme="majorBidi" w:cstheme="majorBidi"/>
          <w:b/>
          <w:bCs/>
          <w:sz w:val="24"/>
          <w:szCs w:val="24"/>
          <w:lang w:val="sv-SE"/>
        </w:rPr>
      </w:pPr>
    </w:p>
    <w:p w14:paraId="476F32D5" w14:textId="77777777" w:rsidR="00811D1F" w:rsidRDefault="00811D1F" w:rsidP="00811D1F">
      <w:pPr>
        <w:rPr>
          <w:rFonts w:asciiTheme="majorBidi" w:hAnsiTheme="majorBidi" w:cstheme="majorBidi"/>
          <w:b/>
          <w:bCs/>
          <w:sz w:val="24"/>
          <w:szCs w:val="24"/>
          <w:lang w:val="sv-SE"/>
        </w:rPr>
      </w:pPr>
    </w:p>
    <w:p w14:paraId="1DDFF139" w14:textId="77777777" w:rsidR="00811D1F" w:rsidRDefault="00811D1F" w:rsidP="00811D1F">
      <w:pPr>
        <w:rPr>
          <w:rFonts w:asciiTheme="majorBidi" w:hAnsiTheme="majorBidi" w:cstheme="majorBidi"/>
          <w:b/>
          <w:bCs/>
          <w:sz w:val="24"/>
          <w:szCs w:val="24"/>
          <w:lang w:val="sv-SE"/>
        </w:rPr>
      </w:pPr>
    </w:p>
    <w:p w14:paraId="33084D01" w14:textId="77777777" w:rsidR="00811D1F" w:rsidRDefault="00811D1F" w:rsidP="00811D1F">
      <w:pPr>
        <w:rPr>
          <w:rFonts w:asciiTheme="majorBidi" w:hAnsiTheme="majorBidi" w:cstheme="majorBidi"/>
          <w:b/>
          <w:bCs/>
          <w:sz w:val="24"/>
          <w:szCs w:val="24"/>
          <w:lang w:val="sv-SE"/>
        </w:rPr>
      </w:pPr>
    </w:p>
    <w:p w14:paraId="23A79296" w14:textId="77777777" w:rsidR="00ED7CF3" w:rsidRDefault="00ED7CF3">
      <w:pPr>
        <w:pStyle w:val="ListParagraph"/>
        <w:numPr>
          <w:ilvl w:val="0"/>
          <w:numId w:val="30"/>
        </w:numPr>
        <w:rPr>
          <w:rFonts w:asciiTheme="majorBidi" w:hAnsiTheme="majorBidi" w:cstheme="majorBidi"/>
          <w:b/>
          <w:bCs/>
          <w:sz w:val="24"/>
          <w:szCs w:val="24"/>
          <w:lang w:val="sv-SE"/>
        </w:rPr>
      </w:pPr>
      <w:r>
        <w:rPr>
          <w:rFonts w:asciiTheme="majorBidi" w:hAnsiTheme="majorBidi" w:cstheme="majorBidi"/>
          <w:b/>
          <w:bCs/>
          <w:sz w:val="24"/>
          <w:szCs w:val="24"/>
          <w:lang w:val="sv-SE"/>
        </w:rPr>
        <w:t>IDENTITAS PENULIS</w:t>
      </w:r>
    </w:p>
    <w:p w14:paraId="564A5100" w14:textId="77777777" w:rsidR="00ED7CF3" w:rsidRDefault="00ED7CF3" w:rsidP="00ED7CF3">
      <w:pPr>
        <w:pStyle w:val="ListParagraph"/>
        <w:rPr>
          <w:rFonts w:asciiTheme="majorBidi" w:hAnsiTheme="majorBidi" w:cstheme="majorBidi"/>
          <w:b/>
          <w:bCs/>
          <w:sz w:val="24"/>
          <w:szCs w:val="24"/>
          <w:lang w:val="sv-SE"/>
        </w:rPr>
      </w:pPr>
    </w:p>
    <w:p w14:paraId="23E843D9" w14:textId="07E8F920" w:rsidR="00ED7CF3" w:rsidRPr="00ED7CF3" w:rsidRDefault="00811D1F" w:rsidP="00ED7CF3">
      <w:pPr>
        <w:pStyle w:val="ListParagraph"/>
        <w:spacing w:line="360" w:lineRule="auto"/>
        <w:rPr>
          <w:rFonts w:asciiTheme="majorBidi" w:hAnsiTheme="majorBidi" w:cstheme="majorBidi"/>
          <w:sz w:val="24"/>
          <w:szCs w:val="24"/>
          <w:lang w:val="sv-SE"/>
        </w:rPr>
      </w:pPr>
      <w:r w:rsidRPr="00ED7CF3">
        <w:rPr>
          <w:rFonts w:asciiTheme="majorBidi" w:hAnsiTheme="majorBidi" w:cstheme="majorBidi"/>
          <w:sz w:val="24"/>
          <w:szCs w:val="24"/>
          <w:lang w:val="sv-SE"/>
        </w:rPr>
        <w:t>Nama</w:t>
      </w:r>
      <w:r w:rsidR="00ED7CF3">
        <w:rPr>
          <w:rFonts w:asciiTheme="majorBidi" w:hAnsiTheme="majorBidi" w:cstheme="majorBidi"/>
          <w:sz w:val="24"/>
          <w:szCs w:val="24"/>
          <w:lang w:val="sv-SE"/>
        </w:rPr>
        <w:tab/>
      </w:r>
      <w:r w:rsidR="00ED7CF3">
        <w:rPr>
          <w:rFonts w:asciiTheme="majorBidi" w:hAnsiTheme="majorBidi" w:cstheme="majorBidi"/>
          <w:sz w:val="24"/>
          <w:szCs w:val="24"/>
          <w:lang w:val="sv-SE"/>
        </w:rPr>
        <w:tab/>
      </w:r>
      <w:r w:rsidR="00ED7CF3">
        <w:rPr>
          <w:rFonts w:asciiTheme="majorBidi" w:hAnsiTheme="majorBidi" w:cstheme="majorBidi"/>
          <w:sz w:val="24"/>
          <w:szCs w:val="24"/>
          <w:lang w:val="sv-SE"/>
        </w:rPr>
        <w:tab/>
      </w:r>
      <w:r w:rsidR="00ED7CF3">
        <w:rPr>
          <w:rFonts w:asciiTheme="majorBidi" w:hAnsiTheme="majorBidi" w:cstheme="majorBidi"/>
          <w:sz w:val="24"/>
          <w:szCs w:val="24"/>
          <w:lang w:val="sv-SE"/>
        </w:rPr>
        <w:tab/>
        <w:t>: Asna Suraya</w:t>
      </w:r>
    </w:p>
    <w:p w14:paraId="69DBB083" w14:textId="5807B684" w:rsidR="00ED7CF3" w:rsidRPr="00ED7CF3" w:rsidRDefault="00811D1F" w:rsidP="00ED7CF3">
      <w:pPr>
        <w:pStyle w:val="ListParagraph"/>
        <w:spacing w:line="360" w:lineRule="auto"/>
        <w:rPr>
          <w:rFonts w:asciiTheme="majorBidi" w:hAnsiTheme="majorBidi" w:cstheme="majorBidi"/>
          <w:sz w:val="24"/>
          <w:szCs w:val="24"/>
        </w:rPr>
      </w:pPr>
      <w:r w:rsidRPr="00ED7CF3">
        <w:rPr>
          <w:rFonts w:asciiTheme="majorBidi" w:hAnsiTheme="majorBidi" w:cstheme="majorBidi"/>
          <w:sz w:val="24"/>
          <w:szCs w:val="24"/>
        </w:rPr>
        <w:t xml:space="preserve">Tempat, </w:t>
      </w:r>
      <w:r w:rsidR="00ED7CF3" w:rsidRPr="00ED7CF3">
        <w:rPr>
          <w:rFonts w:asciiTheme="majorBidi" w:hAnsiTheme="majorBidi" w:cstheme="majorBidi"/>
          <w:sz w:val="24"/>
          <w:szCs w:val="24"/>
        </w:rPr>
        <w:t>T</w:t>
      </w:r>
      <w:r w:rsidRPr="00ED7CF3">
        <w:rPr>
          <w:rFonts w:asciiTheme="majorBidi" w:hAnsiTheme="majorBidi" w:cstheme="majorBidi"/>
          <w:sz w:val="24"/>
          <w:szCs w:val="24"/>
        </w:rPr>
        <w:t>anggal lahir</w:t>
      </w:r>
      <w:r w:rsidR="00ED7CF3" w:rsidRPr="00ED7CF3">
        <w:rPr>
          <w:rFonts w:asciiTheme="majorBidi" w:hAnsiTheme="majorBidi" w:cstheme="majorBidi"/>
          <w:sz w:val="24"/>
          <w:szCs w:val="24"/>
        </w:rPr>
        <w:tab/>
      </w:r>
      <w:r w:rsidR="00ED7CF3" w:rsidRPr="00ED7CF3">
        <w:rPr>
          <w:rFonts w:asciiTheme="majorBidi" w:hAnsiTheme="majorBidi" w:cstheme="majorBidi"/>
          <w:sz w:val="24"/>
          <w:szCs w:val="24"/>
        </w:rPr>
        <w:tab/>
        <w:t>: Kendal, 19 April 2003</w:t>
      </w:r>
    </w:p>
    <w:p w14:paraId="75567940" w14:textId="5140B2BD" w:rsidR="00ED7CF3" w:rsidRPr="00ED7CF3" w:rsidRDefault="00811D1F" w:rsidP="00ED7CF3">
      <w:pPr>
        <w:pStyle w:val="ListParagraph"/>
        <w:spacing w:line="360" w:lineRule="auto"/>
        <w:rPr>
          <w:rFonts w:asciiTheme="majorBidi" w:hAnsiTheme="majorBidi" w:cstheme="majorBidi"/>
          <w:sz w:val="24"/>
          <w:szCs w:val="24"/>
        </w:rPr>
      </w:pPr>
      <w:r w:rsidRPr="00ED7CF3">
        <w:rPr>
          <w:rFonts w:asciiTheme="majorBidi" w:hAnsiTheme="majorBidi" w:cstheme="majorBidi"/>
          <w:sz w:val="24"/>
          <w:szCs w:val="24"/>
        </w:rPr>
        <w:t>Jenis Kelamin</w:t>
      </w:r>
      <w:r w:rsidR="00ED7CF3" w:rsidRPr="00ED7CF3">
        <w:rPr>
          <w:rFonts w:asciiTheme="majorBidi" w:hAnsiTheme="majorBidi" w:cstheme="majorBidi"/>
          <w:sz w:val="24"/>
          <w:szCs w:val="24"/>
        </w:rPr>
        <w:tab/>
      </w:r>
      <w:r w:rsidR="00ED7CF3" w:rsidRPr="00ED7CF3">
        <w:rPr>
          <w:rFonts w:asciiTheme="majorBidi" w:hAnsiTheme="majorBidi" w:cstheme="majorBidi"/>
          <w:sz w:val="24"/>
          <w:szCs w:val="24"/>
        </w:rPr>
        <w:tab/>
      </w:r>
      <w:r w:rsidR="00ED7CF3" w:rsidRPr="00ED7CF3">
        <w:rPr>
          <w:rFonts w:asciiTheme="majorBidi" w:hAnsiTheme="majorBidi" w:cstheme="majorBidi"/>
          <w:sz w:val="24"/>
          <w:szCs w:val="24"/>
        </w:rPr>
        <w:tab/>
        <w:t>: Perempuan</w:t>
      </w:r>
    </w:p>
    <w:p w14:paraId="467F145A" w14:textId="1E12ED6F" w:rsidR="00ED7CF3" w:rsidRPr="00ED7CF3" w:rsidRDefault="00ED7CF3" w:rsidP="00ED7CF3">
      <w:pPr>
        <w:pStyle w:val="ListParagraph"/>
        <w:spacing w:line="360" w:lineRule="auto"/>
        <w:rPr>
          <w:rFonts w:asciiTheme="majorBidi" w:hAnsiTheme="majorBidi" w:cstheme="majorBidi"/>
          <w:sz w:val="24"/>
          <w:szCs w:val="24"/>
          <w:lang w:val="pt-BR"/>
        </w:rPr>
      </w:pPr>
      <w:r w:rsidRPr="00ED7CF3">
        <w:rPr>
          <w:rFonts w:asciiTheme="majorBidi" w:hAnsiTheme="majorBidi" w:cstheme="majorBidi"/>
          <w:sz w:val="24"/>
          <w:szCs w:val="24"/>
          <w:lang w:val="pt-BR"/>
        </w:rPr>
        <w:t>Kewarganegaraan</w:t>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t>: Indonesia</w:t>
      </w:r>
    </w:p>
    <w:p w14:paraId="3C99F044" w14:textId="1F63F359" w:rsidR="00ED7CF3" w:rsidRPr="00ED7CF3" w:rsidRDefault="00ED7CF3" w:rsidP="00ED7CF3">
      <w:pPr>
        <w:pStyle w:val="ListParagraph"/>
        <w:spacing w:line="360" w:lineRule="auto"/>
        <w:rPr>
          <w:rFonts w:asciiTheme="majorBidi" w:hAnsiTheme="majorBidi" w:cstheme="majorBidi"/>
          <w:sz w:val="24"/>
          <w:szCs w:val="24"/>
        </w:rPr>
      </w:pPr>
      <w:r w:rsidRPr="00ED7CF3">
        <w:rPr>
          <w:rFonts w:asciiTheme="majorBidi" w:hAnsiTheme="majorBidi" w:cstheme="majorBidi"/>
          <w:sz w:val="24"/>
          <w:szCs w:val="24"/>
          <w:lang w:val="pt-BR"/>
        </w:rPr>
        <w:t>Alamat</w:t>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t>:</w:t>
      </w:r>
      <w:r>
        <w:rPr>
          <w:rFonts w:asciiTheme="majorBidi" w:hAnsiTheme="majorBidi" w:cstheme="majorBidi"/>
          <w:sz w:val="24"/>
          <w:szCs w:val="24"/>
          <w:lang w:val="pt-BR"/>
        </w:rPr>
        <w:t xml:space="preserve"> Desa Cepiring RT 003 / RW 003, Kec. </w:t>
      </w:r>
      <w:r w:rsidRPr="00ED7CF3">
        <w:rPr>
          <w:rFonts w:asciiTheme="majorBidi" w:hAnsiTheme="majorBidi" w:cstheme="majorBidi"/>
          <w:sz w:val="24"/>
          <w:szCs w:val="24"/>
        </w:rPr>
        <w:t>Cepiring, Kab. Kendal</w:t>
      </w:r>
    </w:p>
    <w:p w14:paraId="78A32795" w14:textId="2B162A90" w:rsidR="00ED7CF3" w:rsidRPr="00ED7CF3" w:rsidRDefault="00ED7CF3" w:rsidP="00ED7CF3">
      <w:pPr>
        <w:pStyle w:val="ListParagraph"/>
        <w:spacing w:line="360" w:lineRule="auto"/>
        <w:rPr>
          <w:rFonts w:asciiTheme="majorBidi" w:hAnsiTheme="majorBidi" w:cstheme="majorBidi"/>
          <w:sz w:val="24"/>
          <w:szCs w:val="24"/>
        </w:rPr>
      </w:pPr>
      <w:r w:rsidRPr="00ED7CF3">
        <w:rPr>
          <w:rFonts w:asciiTheme="majorBidi" w:hAnsiTheme="majorBidi" w:cstheme="majorBidi"/>
          <w:sz w:val="24"/>
          <w:szCs w:val="24"/>
        </w:rPr>
        <w:t>No telepon</w:t>
      </w:r>
      <w:r w:rsidRPr="00ED7CF3">
        <w:rPr>
          <w:rFonts w:asciiTheme="majorBidi" w:hAnsiTheme="majorBidi" w:cstheme="majorBidi"/>
          <w:sz w:val="24"/>
          <w:szCs w:val="24"/>
        </w:rPr>
        <w:tab/>
      </w:r>
      <w:r w:rsidRPr="00ED7CF3">
        <w:rPr>
          <w:rFonts w:asciiTheme="majorBidi" w:hAnsiTheme="majorBidi" w:cstheme="majorBidi"/>
          <w:sz w:val="24"/>
          <w:szCs w:val="24"/>
        </w:rPr>
        <w:tab/>
      </w:r>
      <w:r w:rsidRPr="00ED7CF3">
        <w:rPr>
          <w:rFonts w:asciiTheme="majorBidi" w:hAnsiTheme="majorBidi" w:cstheme="majorBidi"/>
          <w:sz w:val="24"/>
          <w:szCs w:val="24"/>
        </w:rPr>
        <w:tab/>
        <w:t>: 081391386629</w:t>
      </w:r>
    </w:p>
    <w:p w14:paraId="2D9808E4" w14:textId="4E639B6A" w:rsidR="00ED7CF3" w:rsidRPr="00ED7CF3" w:rsidRDefault="00ED7CF3" w:rsidP="00ED7CF3">
      <w:pPr>
        <w:pStyle w:val="ListParagraph"/>
        <w:spacing w:line="360" w:lineRule="auto"/>
        <w:rPr>
          <w:rFonts w:asciiTheme="majorBidi" w:hAnsiTheme="majorBidi" w:cstheme="majorBidi"/>
          <w:sz w:val="24"/>
          <w:szCs w:val="24"/>
        </w:rPr>
      </w:pPr>
      <w:r w:rsidRPr="00ED7CF3">
        <w:rPr>
          <w:rFonts w:asciiTheme="majorBidi" w:hAnsiTheme="majorBidi" w:cstheme="majorBidi"/>
          <w:sz w:val="24"/>
          <w:szCs w:val="24"/>
        </w:rPr>
        <w:t>Email</w:t>
      </w:r>
      <w:r w:rsidRPr="00ED7CF3">
        <w:rPr>
          <w:rFonts w:asciiTheme="majorBidi" w:hAnsiTheme="majorBidi" w:cstheme="majorBidi"/>
          <w:sz w:val="24"/>
          <w:szCs w:val="24"/>
        </w:rPr>
        <w:tab/>
      </w:r>
      <w:r w:rsidRPr="00ED7CF3">
        <w:rPr>
          <w:rFonts w:asciiTheme="majorBidi" w:hAnsiTheme="majorBidi" w:cstheme="majorBidi"/>
          <w:sz w:val="24"/>
          <w:szCs w:val="24"/>
        </w:rPr>
        <w:tab/>
      </w:r>
      <w:r w:rsidRPr="00ED7CF3">
        <w:rPr>
          <w:rFonts w:asciiTheme="majorBidi" w:hAnsiTheme="majorBidi" w:cstheme="majorBidi"/>
          <w:sz w:val="24"/>
          <w:szCs w:val="24"/>
        </w:rPr>
        <w:tab/>
      </w:r>
      <w:r w:rsidRPr="00ED7CF3">
        <w:rPr>
          <w:rFonts w:asciiTheme="majorBidi" w:hAnsiTheme="majorBidi" w:cstheme="majorBidi"/>
          <w:sz w:val="24"/>
          <w:szCs w:val="24"/>
        </w:rPr>
        <w:tab/>
        <w:t xml:space="preserve">: </w:t>
      </w:r>
      <w:r>
        <w:rPr>
          <w:rFonts w:asciiTheme="majorBidi" w:hAnsiTheme="majorBidi" w:cstheme="majorBidi"/>
          <w:sz w:val="24"/>
          <w:szCs w:val="24"/>
        </w:rPr>
        <w:t>asnasuraya01@gmail.com</w:t>
      </w:r>
    </w:p>
    <w:p w14:paraId="2233FCBF" w14:textId="5D393D72" w:rsidR="00ED7CF3" w:rsidRPr="00ED7CF3" w:rsidRDefault="00ED7CF3" w:rsidP="00ED7CF3">
      <w:pPr>
        <w:pStyle w:val="ListParagraph"/>
        <w:spacing w:line="360" w:lineRule="auto"/>
        <w:rPr>
          <w:rFonts w:asciiTheme="majorBidi" w:hAnsiTheme="majorBidi" w:cstheme="majorBidi"/>
          <w:sz w:val="24"/>
          <w:szCs w:val="24"/>
          <w:lang w:val="pt-BR"/>
        </w:rPr>
      </w:pPr>
      <w:r w:rsidRPr="00ED7CF3">
        <w:rPr>
          <w:rFonts w:asciiTheme="majorBidi" w:hAnsiTheme="majorBidi" w:cstheme="majorBidi"/>
          <w:sz w:val="24"/>
          <w:szCs w:val="24"/>
          <w:lang w:val="pt-BR"/>
        </w:rPr>
        <w:t>Agama</w:t>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t>: Islam</w:t>
      </w:r>
    </w:p>
    <w:p w14:paraId="5721F8B1" w14:textId="2751A277" w:rsidR="00ED7CF3" w:rsidRPr="00ED7CF3" w:rsidRDefault="00ED7CF3" w:rsidP="00ED7CF3">
      <w:pPr>
        <w:pStyle w:val="ListParagraph"/>
        <w:spacing w:line="360" w:lineRule="auto"/>
        <w:rPr>
          <w:rFonts w:asciiTheme="majorBidi" w:hAnsiTheme="majorBidi" w:cstheme="majorBidi"/>
          <w:sz w:val="24"/>
          <w:szCs w:val="24"/>
          <w:lang w:val="pt-BR"/>
        </w:rPr>
      </w:pPr>
      <w:r w:rsidRPr="00ED7CF3">
        <w:rPr>
          <w:rFonts w:asciiTheme="majorBidi" w:hAnsiTheme="majorBidi" w:cstheme="majorBidi"/>
          <w:sz w:val="24"/>
          <w:szCs w:val="24"/>
          <w:lang w:val="pt-BR"/>
        </w:rPr>
        <w:t>Institusi</w:t>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r>
      <w:r w:rsidRPr="00ED7CF3">
        <w:rPr>
          <w:rFonts w:asciiTheme="majorBidi" w:hAnsiTheme="majorBidi" w:cstheme="majorBidi"/>
          <w:sz w:val="24"/>
          <w:szCs w:val="24"/>
          <w:lang w:val="pt-BR"/>
        </w:rPr>
        <w:tab/>
        <w:t>:</w:t>
      </w:r>
      <w:r>
        <w:rPr>
          <w:rFonts w:asciiTheme="majorBidi" w:hAnsiTheme="majorBidi" w:cstheme="majorBidi"/>
          <w:sz w:val="24"/>
          <w:szCs w:val="24"/>
          <w:lang w:val="pt-BR"/>
        </w:rPr>
        <w:t xml:space="preserve"> UIN Walisongo Semarang</w:t>
      </w:r>
    </w:p>
    <w:p w14:paraId="00BB5720" w14:textId="053AC7C9" w:rsidR="00ED7CF3" w:rsidRPr="00ED7CF3" w:rsidRDefault="00ED7CF3" w:rsidP="00ED7CF3">
      <w:pPr>
        <w:pStyle w:val="ListParagraph"/>
        <w:spacing w:line="360" w:lineRule="auto"/>
        <w:rPr>
          <w:rFonts w:asciiTheme="majorBidi" w:hAnsiTheme="majorBidi" w:cstheme="majorBidi"/>
          <w:sz w:val="24"/>
          <w:szCs w:val="24"/>
          <w:lang w:val="sv-SE"/>
        </w:rPr>
      </w:pPr>
      <w:r w:rsidRPr="00ED7CF3">
        <w:rPr>
          <w:rFonts w:asciiTheme="majorBidi" w:hAnsiTheme="majorBidi" w:cstheme="majorBidi"/>
          <w:sz w:val="24"/>
          <w:szCs w:val="24"/>
          <w:lang w:val="sv-SE"/>
        </w:rPr>
        <w:t>Fakultas</w:t>
      </w:r>
      <w:r w:rsidRPr="00ED7CF3">
        <w:rPr>
          <w:rFonts w:asciiTheme="majorBidi" w:hAnsiTheme="majorBidi" w:cstheme="majorBidi"/>
          <w:sz w:val="24"/>
          <w:szCs w:val="24"/>
          <w:lang w:val="sv-SE"/>
        </w:rPr>
        <w:tab/>
      </w:r>
      <w:r w:rsidRPr="00ED7CF3">
        <w:rPr>
          <w:rFonts w:asciiTheme="majorBidi" w:hAnsiTheme="majorBidi" w:cstheme="majorBidi"/>
          <w:sz w:val="24"/>
          <w:szCs w:val="24"/>
          <w:lang w:val="sv-SE"/>
        </w:rPr>
        <w:tab/>
      </w:r>
      <w:r w:rsidRPr="00ED7CF3">
        <w:rPr>
          <w:rFonts w:asciiTheme="majorBidi" w:hAnsiTheme="majorBidi" w:cstheme="majorBidi"/>
          <w:sz w:val="24"/>
          <w:szCs w:val="24"/>
          <w:lang w:val="sv-SE"/>
        </w:rPr>
        <w:tab/>
        <w:t>: Ekonomi dan Bisnis I</w:t>
      </w:r>
      <w:r>
        <w:rPr>
          <w:rFonts w:asciiTheme="majorBidi" w:hAnsiTheme="majorBidi" w:cstheme="majorBidi"/>
          <w:sz w:val="24"/>
          <w:szCs w:val="24"/>
          <w:lang w:val="sv-SE"/>
        </w:rPr>
        <w:t>slam</w:t>
      </w:r>
    </w:p>
    <w:p w14:paraId="7FCCC7D4" w14:textId="79F7B105" w:rsidR="00ED7CF3" w:rsidRPr="00ED7CF3" w:rsidRDefault="00ED7CF3" w:rsidP="00ED7CF3">
      <w:pPr>
        <w:pStyle w:val="ListParagraph"/>
        <w:spacing w:line="360" w:lineRule="auto"/>
        <w:rPr>
          <w:rFonts w:asciiTheme="majorBidi" w:hAnsiTheme="majorBidi" w:cstheme="majorBidi"/>
          <w:sz w:val="24"/>
          <w:szCs w:val="24"/>
        </w:rPr>
      </w:pPr>
      <w:r w:rsidRPr="00ED7CF3">
        <w:rPr>
          <w:rFonts w:asciiTheme="majorBidi" w:hAnsiTheme="majorBidi" w:cstheme="majorBidi"/>
          <w:sz w:val="24"/>
          <w:szCs w:val="24"/>
        </w:rPr>
        <w:t>Program Studi</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 Perbankan Syariah</w:t>
      </w:r>
    </w:p>
    <w:p w14:paraId="4DEA6B14" w14:textId="77777777" w:rsidR="00ED7CF3" w:rsidRDefault="00ED7CF3" w:rsidP="00ED7CF3">
      <w:pPr>
        <w:pStyle w:val="ListParagraph"/>
        <w:rPr>
          <w:rFonts w:asciiTheme="majorBidi" w:hAnsiTheme="majorBidi" w:cstheme="majorBidi"/>
          <w:b/>
          <w:bCs/>
          <w:sz w:val="24"/>
          <w:szCs w:val="24"/>
        </w:rPr>
      </w:pPr>
    </w:p>
    <w:p w14:paraId="5BA8A5E7" w14:textId="77777777" w:rsidR="00ED7CF3" w:rsidRDefault="00ED7CF3" w:rsidP="00ED7CF3">
      <w:pPr>
        <w:pStyle w:val="ListParagraph"/>
        <w:rPr>
          <w:rFonts w:asciiTheme="majorBidi" w:hAnsiTheme="majorBidi" w:cstheme="majorBidi"/>
          <w:b/>
          <w:bCs/>
          <w:sz w:val="24"/>
          <w:szCs w:val="24"/>
        </w:rPr>
      </w:pPr>
    </w:p>
    <w:p w14:paraId="1EED2261" w14:textId="50283695" w:rsidR="00ED7CF3" w:rsidRDefault="00ED7CF3">
      <w:pPr>
        <w:pStyle w:val="ListParagraph"/>
        <w:numPr>
          <w:ilvl w:val="0"/>
          <w:numId w:val="30"/>
        </w:numPr>
        <w:rPr>
          <w:rFonts w:asciiTheme="majorBidi" w:hAnsiTheme="majorBidi" w:cstheme="majorBidi"/>
          <w:b/>
          <w:bCs/>
          <w:sz w:val="24"/>
          <w:szCs w:val="24"/>
        </w:rPr>
      </w:pPr>
      <w:r>
        <w:rPr>
          <w:rFonts w:asciiTheme="majorBidi" w:hAnsiTheme="majorBidi" w:cstheme="majorBidi"/>
          <w:b/>
          <w:bCs/>
          <w:sz w:val="24"/>
          <w:szCs w:val="24"/>
        </w:rPr>
        <w:t>RIWAYAT PENDIDIKAN</w:t>
      </w:r>
    </w:p>
    <w:p w14:paraId="173536E0" w14:textId="77777777" w:rsidR="00ED7CF3" w:rsidRDefault="00ED7CF3" w:rsidP="00ED7CF3">
      <w:pPr>
        <w:pStyle w:val="ListParagraph"/>
        <w:rPr>
          <w:rFonts w:asciiTheme="majorBidi" w:hAnsiTheme="majorBidi" w:cstheme="majorBidi"/>
          <w:b/>
          <w:bCs/>
          <w:sz w:val="24"/>
          <w:szCs w:val="24"/>
        </w:rPr>
      </w:pPr>
    </w:p>
    <w:tbl>
      <w:tblPr>
        <w:tblStyle w:val="TableGrid"/>
        <w:tblpPr w:leftFromText="180" w:rightFromText="180" w:vertAnchor="text" w:horzAnchor="page" w:tblpX="1861" w:tblpY="19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436"/>
        <w:gridCol w:w="2966"/>
        <w:gridCol w:w="1672"/>
        <w:gridCol w:w="1865"/>
      </w:tblGrid>
      <w:tr w:rsidR="00273CF6" w:rsidRPr="00273CF6" w14:paraId="72D4DE4C" w14:textId="77777777" w:rsidTr="00482FE5">
        <w:tc>
          <w:tcPr>
            <w:tcW w:w="2405" w:type="dxa"/>
          </w:tcPr>
          <w:p w14:paraId="190409A6" w14:textId="77777777" w:rsidR="00273CF6" w:rsidRPr="00273CF6" w:rsidRDefault="00273CF6">
            <w:pPr>
              <w:pStyle w:val="ListParagraph"/>
              <w:numPr>
                <w:ilvl w:val="0"/>
                <w:numId w:val="31"/>
              </w:numPr>
              <w:rPr>
                <w:rFonts w:asciiTheme="majorBidi" w:hAnsiTheme="majorBidi" w:cstheme="majorBidi"/>
                <w:sz w:val="24"/>
                <w:szCs w:val="24"/>
              </w:rPr>
            </w:pPr>
            <w:r w:rsidRPr="00273CF6">
              <w:rPr>
                <w:rFonts w:asciiTheme="majorBidi" w:hAnsiTheme="majorBidi" w:cstheme="majorBidi"/>
                <w:sz w:val="24"/>
                <w:szCs w:val="24"/>
              </w:rPr>
              <w:t>SD</w:t>
            </w:r>
          </w:p>
        </w:tc>
        <w:tc>
          <w:tcPr>
            <w:tcW w:w="436" w:type="dxa"/>
          </w:tcPr>
          <w:p w14:paraId="4AF2D389"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w:t>
            </w:r>
          </w:p>
        </w:tc>
        <w:tc>
          <w:tcPr>
            <w:tcW w:w="2966" w:type="dxa"/>
          </w:tcPr>
          <w:p w14:paraId="60AA0B61"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SD N 2 Cepiring</w:t>
            </w:r>
          </w:p>
        </w:tc>
        <w:tc>
          <w:tcPr>
            <w:tcW w:w="1672" w:type="dxa"/>
          </w:tcPr>
          <w:p w14:paraId="7683758E"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Lulus Tahun</w:t>
            </w:r>
          </w:p>
        </w:tc>
        <w:tc>
          <w:tcPr>
            <w:tcW w:w="1865" w:type="dxa"/>
          </w:tcPr>
          <w:p w14:paraId="2C41C950" w14:textId="77777777" w:rsidR="00273CF6" w:rsidRPr="00273CF6" w:rsidRDefault="00273CF6" w:rsidP="00482FE5">
            <w:pPr>
              <w:rPr>
                <w:rFonts w:asciiTheme="majorBidi" w:hAnsiTheme="majorBidi" w:cstheme="majorBidi"/>
                <w:sz w:val="24"/>
                <w:szCs w:val="24"/>
              </w:rPr>
            </w:pPr>
            <w:r>
              <w:rPr>
                <w:rFonts w:asciiTheme="majorBidi" w:hAnsiTheme="majorBidi" w:cstheme="majorBidi"/>
                <w:sz w:val="24"/>
                <w:szCs w:val="24"/>
              </w:rPr>
              <w:t>2015</w:t>
            </w:r>
          </w:p>
        </w:tc>
      </w:tr>
      <w:tr w:rsidR="00273CF6" w:rsidRPr="00273CF6" w14:paraId="1EE3ADFD" w14:textId="77777777" w:rsidTr="00482FE5">
        <w:tc>
          <w:tcPr>
            <w:tcW w:w="2405" w:type="dxa"/>
          </w:tcPr>
          <w:p w14:paraId="6B60FA73" w14:textId="77777777" w:rsidR="00273CF6" w:rsidRPr="00273CF6" w:rsidRDefault="00273CF6">
            <w:pPr>
              <w:pStyle w:val="ListParagraph"/>
              <w:numPr>
                <w:ilvl w:val="0"/>
                <w:numId w:val="31"/>
              </w:numPr>
              <w:rPr>
                <w:rFonts w:asciiTheme="majorBidi" w:hAnsiTheme="majorBidi" w:cstheme="majorBidi"/>
                <w:sz w:val="24"/>
                <w:szCs w:val="24"/>
              </w:rPr>
            </w:pPr>
            <w:r w:rsidRPr="00273CF6">
              <w:rPr>
                <w:rFonts w:asciiTheme="majorBidi" w:hAnsiTheme="majorBidi" w:cstheme="majorBidi"/>
                <w:sz w:val="24"/>
                <w:szCs w:val="24"/>
              </w:rPr>
              <w:t>MTs</w:t>
            </w:r>
          </w:p>
        </w:tc>
        <w:tc>
          <w:tcPr>
            <w:tcW w:w="436" w:type="dxa"/>
          </w:tcPr>
          <w:p w14:paraId="0274FCE6"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w:t>
            </w:r>
          </w:p>
        </w:tc>
        <w:tc>
          <w:tcPr>
            <w:tcW w:w="2966" w:type="dxa"/>
          </w:tcPr>
          <w:p w14:paraId="5D16C56A"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MTs NU Assalam Kudus</w:t>
            </w:r>
          </w:p>
        </w:tc>
        <w:tc>
          <w:tcPr>
            <w:tcW w:w="1672" w:type="dxa"/>
          </w:tcPr>
          <w:p w14:paraId="4DA066C0"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Lulus Tahun</w:t>
            </w:r>
          </w:p>
        </w:tc>
        <w:tc>
          <w:tcPr>
            <w:tcW w:w="1865" w:type="dxa"/>
          </w:tcPr>
          <w:p w14:paraId="1D92AC2B" w14:textId="77777777" w:rsidR="00273CF6" w:rsidRPr="00273CF6" w:rsidRDefault="00273CF6" w:rsidP="00482FE5">
            <w:pPr>
              <w:rPr>
                <w:rFonts w:asciiTheme="majorBidi" w:hAnsiTheme="majorBidi" w:cstheme="majorBidi"/>
                <w:sz w:val="24"/>
                <w:szCs w:val="24"/>
              </w:rPr>
            </w:pPr>
            <w:r>
              <w:rPr>
                <w:rFonts w:asciiTheme="majorBidi" w:hAnsiTheme="majorBidi" w:cstheme="majorBidi"/>
                <w:sz w:val="24"/>
                <w:szCs w:val="24"/>
              </w:rPr>
              <w:t>2018</w:t>
            </w:r>
          </w:p>
        </w:tc>
      </w:tr>
      <w:tr w:rsidR="00273CF6" w:rsidRPr="00273CF6" w14:paraId="72E30E1F" w14:textId="77777777" w:rsidTr="00482FE5">
        <w:tc>
          <w:tcPr>
            <w:tcW w:w="2405" w:type="dxa"/>
          </w:tcPr>
          <w:p w14:paraId="1F967783" w14:textId="77777777" w:rsidR="00273CF6" w:rsidRPr="00273CF6" w:rsidRDefault="00273CF6">
            <w:pPr>
              <w:pStyle w:val="ListParagraph"/>
              <w:numPr>
                <w:ilvl w:val="0"/>
                <w:numId w:val="31"/>
              </w:numPr>
              <w:rPr>
                <w:rFonts w:asciiTheme="majorBidi" w:hAnsiTheme="majorBidi" w:cstheme="majorBidi"/>
                <w:sz w:val="24"/>
                <w:szCs w:val="24"/>
              </w:rPr>
            </w:pPr>
            <w:r w:rsidRPr="00273CF6">
              <w:rPr>
                <w:rFonts w:asciiTheme="majorBidi" w:hAnsiTheme="majorBidi" w:cstheme="majorBidi"/>
                <w:sz w:val="24"/>
                <w:szCs w:val="24"/>
              </w:rPr>
              <w:t>MA</w:t>
            </w:r>
          </w:p>
        </w:tc>
        <w:tc>
          <w:tcPr>
            <w:tcW w:w="436" w:type="dxa"/>
          </w:tcPr>
          <w:p w14:paraId="6A73A3B2"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w:t>
            </w:r>
          </w:p>
        </w:tc>
        <w:tc>
          <w:tcPr>
            <w:tcW w:w="2966" w:type="dxa"/>
          </w:tcPr>
          <w:p w14:paraId="715BCBF6"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MA NU Assalam Kudus</w:t>
            </w:r>
          </w:p>
        </w:tc>
        <w:tc>
          <w:tcPr>
            <w:tcW w:w="1672" w:type="dxa"/>
          </w:tcPr>
          <w:p w14:paraId="69AC9693"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Lulus Tahun</w:t>
            </w:r>
          </w:p>
        </w:tc>
        <w:tc>
          <w:tcPr>
            <w:tcW w:w="1865" w:type="dxa"/>
          </w:tcPr>
          <w:p w14:paraId="1D196922" w14:textId="77777777" w:rsidR="00273CF6" w:rsidRPr="00273CF6" w:rsidRDefault="00273CF6" w:rsidP="00482FE5">
            <w:pPr>
              <w:rPr>
                <w:rFonts w:asciiTheme="majorBidi" w:hAnsiTheme="majorBidi" w:cstheme="majorBidi"/>
                <w:sz w:val="24"/>
                <w:szCs w:val="24"/>
              </w:rPr>
            </w:pPr>
            <w:r>
              <w:rPr>
                <w:rFonts w:asciiTheme="majorBidi" w:hAnsiTheme="majorBidi" w:cstheme="majorBidi"/>
                <w:sz w:val="24"/>
                <w:szCs w:val="24"/>
              </w:rPr>
              <w:t>2021</w:t>
            </w:r>
          </w:p>
        </w:tc>
      </w:tr>
      <w:tr w:rsidR="00273CF6" w:rsidRPr="00273CF6" w14:paraId="591F20B6" w14:textId="77777777" w:rsidTr="00482FE5">
        <w:tc>
          <w:tcPr>
            <w:tcW w:w="2405" w:type="dxa"/>
          </w:tcPr>
          <w:p w14:paraId="0BA1B420" w14:textId="77777777" w:rsidR="00273CF6" w:rsidRPr="00273CF6" w:rsidRDefault="00273CF6">
            <w:pPr>
              <w:pStyle w:val="ListParagraph"/>
              <w:numPr>
                <w:ilvl w:val="0"/>
                <w:numId w:val="31"/>
              </w:numPr>
              <w:rPr>
                <w:rFonts w:asciiTheme="majorBidi" w:hAnsiTheme="majorBidi" w:cstheme="majorBidi"/>
                <w:sz w:val="24"/>
                <w:szCs w:val="24"/>
              </w:rPr>
            </w:pPr>
            <w:r w:rsidRPr="00273CF6">
              <w:rPr>
                <w:rFonts w:asciiTheme="majorBidi" w:hAnsiTheme="majorBidi" w:cstheme="majorBidi"/>
                <w:sz w:val="24"/>
                <w:szCs w:val="24"/>
              </w:rPr>
              <w:t>Jenjang Kuliah</w:t>
            </w:r>
          </w:p>
        </w:tc>
        <w:tc>
          <w:tcPr>
            <w:tcW w:w="436" w:type="dxa"/>
          </w:tcPr>
          <w:p w14:paraId="5587E2A6"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w:t>
            </w:r>
          </w:p>
        </w:tc>
        <w:tc>
          <w:tcPr>
            <w:tcW w:w="2966" w:type="dxa"/>
          </w:tcPr>
          <w:p w14:paraId="590EEEE4" w14:textId="77777777" w:rsidR="00273CF6" w:rsidRPr="00273CF6" w:rsidRDefault="00273CF6" w:rsidP="00482FE5">
            <w:pPr>
              <w:rPr>
                <w:rFonts w:asciiTheme="majorBidi" w:hAnsiTheme="majorBidi" w:cstheme="majorBidi"/>
                <w:sz w:val="24"/>
                <w:szCs w:val="24"/>
              </w:rPr>
            </w:pPr>
            <w:r w:rsidRPr="00273CF6">
              <w:rPr>
                <w:rFonts w:asciiTheme="majorBidi" w:hAnsiTheme="majorBidi" w:cstheme="majorBidi"/>
                <w:sz w:val="24"/>
                <w:szCs w:val="24"/>
              </w:rPr>
              <w:t>UIN Walisongo Semarang</w:t>
            </w:r>
          </w:p>
        </w:tc>
        <w:tc>
          <w:tcPr>
            <w:tcW w:w="1672" w:type="dxa"/>
          </w:tcPr>
          <w:p w14:paraId="2CEF92F2" w14:textId="77777777" w:rsidR="00273CF6" w:rsidRPr="00273CF6" w:rsidRDefault="00273CF6" w:rsidP="00482FE5">
            <w:pPr>
              <w:rPr>
                <w:rFonts w:asciiTheme="majorBidi" w:hAnsiTheme="majorBidi" w:cstheme="majorBidi"/>
                <w:sz w:val="24"/>
                <w:szCs w:val="24"/>
              </w:rPr>
            </w:pPr>
          </w:p>
        </w:tc>
        <w:tc>
          <w:tcPr>
            <w:tcW w:w="1865" w:type="dxa"/>
          </w:tcPr>
          <w:p w14:paraId="7DE519E3" w14:textId="77777777" w:rsidR="00273CF6" w:rsidRPr="00273CF6" w:rsidRDefault="00273CF6" w:rsidP="00482FE5">
            <w:pPr>
              <w:rPr>
                <w:rFonts w:asciiTheme="majorBidi" w:hAnsiTheme="majorBidi" w:cstheme="majorBidi"/>
                <w:sz w:val="24"/>
                <w:szCs w:val="24"/>
              </w:rPr>
            </w:pPr>
          </w:p>
        </w:tc>
      </w:tr>
    </w:tbl>
    <w:p w14:paraId="43AAF4C5" w14:textId="33179374" w:rsidR="00ED7CF3" w:rsidRPr="00ED7CF3" w:rsidRDefault="00ED7CF3" w:rsidP="00273CF6">
      <w:pPr>
        <w:pStyle w:val="ListParagraph"/>
        <w:spacing w:line="360" w:lineRule="auto"/>
        <w:ind w:left="1080"/>
        <w:rPr>
          <w:rFonts w:asciiTheme="majorBidi" w:hAnsiTheme="majorBidi" w:cstheme="majorBidi"/>
          <w:sz w:val="24"/>
          <w:szCs w:val="24"/>
        </w:rPr>
      </w:pPr>
    </w:p>
    <w:bookmarkEnd w:id="99"/>
    <w:p w14:paraId="06D332D9" w14:textId="77777777" w:rsidR="00811D1F" w:rsidRPr="00ED7CF3" w:rsidRDefault="00811D1F" w:rsidP="00811D1F">
      <w:pPr>
        <w:rPr>
          <w:rFonts w:asciiTheme="majorBidi" w:hAnsiTheme="majorBidi" w:cstheme="majorBidi"/>
          <w:b/>
          <w:bCs/>
          <w:sz w:val="24"/>
          <w:szCs w:val="24"/>
        </w:rPr>
      </w:pPr>
    </w:p>
    <w:sectPr w:rsidR="00811D1F" w:rsidRPr="00ED7CF3" w:rsidSect="00273CF6">
      <w:pgSz w:w="11906" w:h="16838"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64170" w14:textId="77777777" w:rsidR="006916FD" w:rsidRDefault="006916FD" w:rsidP="00335B29">
      <w:pPr>
        <w:spacing w:after="0" w:line="240" w:lineRule="auto"/>
      </w:pPr>
      <w:r>
        <w:separator/>
      </w:r>
    </w:p>
  </w:endnote>
  <w:endnote w:type="continuationSeparator" w:id="0">
    <w:p w14:paraId="74B0288F" w14:textId="77777777" w:rsidR="006916FD" w:rsidRDefault="006916FD" w:rsidP="00335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2725189"/>
      <w:docPartObj>
        <w:docPartGallery w:val="Page Numbers (Bottom of Page)"/>
        <w:docPartUnique/>
      </w:docPartObj>
    </w:sdtPr>
    <w:sdtEndPr>
      <w:rPr>
        <w:noProof/>
      </w:rPr>
    </w:sdtEndPr>
    <w:sdtContent>
      <w:p w14:paraId="2A250FCA" w14:textId="7F4FA262" w:rsidR="00A21146" w:rsidRDefault="00A211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7951D3" w14:textId="77777777" w:rsidR="00A21146" w:rsidRDefault="00A211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DAF0D" w14:textId="5F97E5FB" w:rsidR="00B518B2" w:rsidRDefault="00B518B2">
    <w:pPr>
      <w:pStyle w:val="Footer"/>
      <w:jc w:val="center"/>
    </w:pPr>
  </w:p>
  <w:p w14:paraId="72D11780" w14:textId="77777777" w:rsidR="00A42616" w:rsidRDefault="00A426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60292" w14:textId="77777777" w:rsidR="006916FD" w:rsidRDefault="006916FD" w:rsidP="00335B29">
      <w:pPr>
        <w:spacing w:after="0" w:line="240" w:lineRule="auto"/>
      </w:pPr>
      <w:r>
        <w:separator/>
      </w:r>
    </w:p>
  </w:footnote>
  <w:footnote w:type="continuationSeparator" w:id="0">
    <w:p w14:paraId="56411E5A" w14:textId="77777777" w:rsidR="006916FD" w:rsidRDefault="006916FD" w:rsidP="00335B29">
      <w:pPr>
        <w:spacing w:after="0" w:line="240" w:lineRule="auto"/>
      </w:pPr>
      <w:r>
        <w:continuationSeparator/>
      </w:r>
    </w:p>
  </w:footnote>
  <w:footnote w:id="1">
    <w:p w14:paraId="10B29D9C" w14:textId="38EC903B" w:rsidR="00335B29" w:rsidRPr="00F94DF3" w:rsidRDefault="00335B29" w:rsidP="00D11C1B">
      <w:pPr>
        <w:pStyle w:val="FootnoteText"/>
        <w:ind w:firstLine="720"/>
        <w:jc w:val="both"/>
        <w:rPr>
          <w:rFonts w:asciiTheme="majorBidi" w:hAnsiTheme="majorBidi" w:cstheme="majorBidi"/>
        </w:rPr>
      </w:pPr>
      <w:r w:rsidRPr="00C80F31">
        <w:rPr>
          <w:rStyle w:val="FootnoteReference"/>
          <w:rFonts w:asciiTheme="majorBidi" w:hAnsiTheme="majorBidi" w:cstheme="majorBidi"/>
        </w:rPr>
        <w:footnoteRef/>
      </w:r>
      <w:r w:rsidRPr="00C80F31">
        <w:rPr>
          <w:rFonts w:asciiTheme="majorBidi" w:hAnsiTheme="majorBidi" w:cstheme="majorBidi"/>
          <w:lang w:val="sv-SE"/>
        </w:rPr>
        <w:t xml:space="preserve"> </w:t>
      </w:r>
      <w:r w:rsidRPr="00C80F31">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{"citationItems":[{"id":"ITEM-1","itemData":{"DOI":"10.17509/manajerial.v20i2.29379","ISSN":"1412-6613","abstract":"&lt;p&gt;This study aims to compare the financial performance of conventional commercial banks with sharia commercial banks in Indonesia in the period 2012-2016 using financial ratios. The financial ratios used consist of CAR, NPL, ROA, BOPO and LDR. The type of research used in this study is quantitative research. The data used in this study are data of bank financial statements for 2012 to 2016 obtained through several websites from the bank concerned. The sampling method used was purposive sampling, based on the sample selection criteria, obtained a sample of 6 banks, 3 banks for Islamic commercial banks and 3 banks for conventional commercial banks. Data analysis techniques used to compare the performance of conventional commercial banks with Islamic commercial banks are normality test and independent sample t-test. Analysis shows that there are significant differences between the financial performance of conventional banks and Islamic banks. Based on the comparison of financial ratio analysis, conventional bank financial performance is better in terms of CAR, NPL, ROA and BOPO ratios, while the financial performance of Islamic banks is better in terms of LDR ratio&lt;/p&gt;","author":[{"dropping-particle":"","family":"Idrus","given":"Syarifa Mawaddah","non-dropping-particle":"Al","parse-names":false,"suffix":""},{"dropping-particle":"","family":"Safitri","given":"Teti Anggita","non-dropping-particle":"","parse-names":false,"suffix":""}],"container-title":"Jurnal MANAJERIAL","id":"ITEM-1","issue":"2","issued":{"date-parts":[["2021"]]},"page":"299-310","title":"Analisis Perbandingan Kinerja Bank Umum Konvensional Dan Bank Umum Syariah","type":"article-journal","volume":"20"},"uris":["http://www.mendeley.com/documents/?uuid=4a35de79-e908-4cd5-ac0b-9e54ca504f95"]}],"mendeley":{"formattedCitation":"Syarifa Mawaddah Al Idrus and Teti Anggita Safitri, “Analisis Perbandingan Kinerja Bank Umum Konvensional Dan Bank Umum Syariah,” &lt;i&gt;Jurnal MANAJERIAL&lt;/i&gt; 20, no. 2 (2021): 299–310, https://doi.org/10.17509/manajerial.v20i2.29379.","manualFormatting":"Syarifa Mawaddah Al Idrus and Teti Anggita Safitri, “Analisis Perbandingan Kinerja Bank Umum Konvensional Dan Bank Umum Syariah,” Jurnal Manajerial 20, no. 2 (2021): 299–310, https://doi.org/10.17509/manajerial.v20i2.29379.","plainTextFormattedCitation":"Syarifa Mawaddah Al Idrus and Teti Anggita Safitri, “Analisis Perbandingan Kinerja Bank Umum Konvensional Dan Bank Umum Syariah,” Jurnal MANAJERIAL 20, no. 2 (2021): 299–310, https://doi.org/10.17509/manajerial.v20i2.29379.","previouslyFormattedCitation":"Syarifa Mawaddah Al Idrus and Teti Anggita Safitri, “Analisis Perbandingan Kinerja Bank Umum Konvensional Dan Bank Umum Syariah,” &lt;i&gt;Jurnal MANAJERIAL&lt;/i&gt; 20, no. 2 (2021): 299–310, https://doi.org/10.17509/manajerial.v20i2.29379."},"properties":{"noteIndex":1},"schema":"https://github.com/citation-style-language/schema/raw/master/csl-citation.json"}</w:instrText>
      </w:r>
      <w:r w:rsidRPr="00C80F31">
        <w:rPr>
          <w:rFonts w:asciiTheme="majorBidi" w:hAnsiTheme="majorBidi" w:cstheme="majorBidi"/>
        </w:rPr>
        <w:fldChar w:fldCharType="separate"/>
      </w:r>
      <w:r w:rsidRPr="00C80F31">
        <w:rPr>
          <w:rFonts w:asciiTheme="majorBidi" w:hAnsiTheme="majorBidi" w:cstheme="majorBidi"/>
          <w:noProof/>
          <w:lang w:val="sv-SE"/>
        </w:rPr>
        <w:t xml:space="preserve">Syarifa Mawaddah Al Idrus and Teti Anggita Safitri, “Analisis Perbandingan Kinerja Bank Umum Konvensional Dan Bank Umum Syariah,” </w:t>
      </w:r>
      <w:r w:rsidRPr="00C80F31">
        <w:rPr>
          <w:rFonts w:asciiTheme="majorBidi" w:hAnsiTheme="majorBidi" w:cstheme="majorBidi"/>
          <w:i/>
          <w:noProof/>
          <w:lang w:val="sv-SE"/>
        </w:rPr>
        <w:t xml:space="preserve">Jurnal </w:t>
      </w:r>
      <w:r w:rsidR="00877500" w:rsidRPr="00C80F31">
        <w:rPr>
          <w:rFonts w:asciiTheme="majorBidi" w:hAnsiTheme="majorBidi" w:cstheme="majorBidi"/>
          <w:i/>
          <w:noProof/>
          <w:lang w:val="sv-SE"/>
        </w:rPr>
        <w:t>Manajerial</w:t>
      </w:r>
      <w:r w:rsidRPr="00C80F31">
        <w:rPr>
          <w:rFonts w:asciiTheme="majorBidi" w:hAnsiTheme="majorBidi" w:cstheme="majorBidi"/>
          <w:noProof/>
          <w:lang w:val="sv-SE"/>
        </w:rPr>
        <w:t xml:space="preserve"> 20, no. 2 (2021): 299–310, https://doi.org/10.17509/manajerial.v20i2.29379.</w:t>
      </w:r>
      <w:r w:rsidRPr="00C80F31">
        <w:rPr>
          <w:rFonts w:asciiTheme="majorBidi" w:hAnsiTheme="majorBidi" w:cstheme="majorBidi"/>
        </w:rPr>
        <w:fldChar w:fldCharType="end"/>
      </w:r>
      <w:r w:rsidRPr="00F94DF3">
        <w:rPr>
          <w:rFonts w:asciiTheme="majorBidi" w:hAnsiTheme="majorBidi" w:cstheme="majorBidi"/>
        </w:rPr>
        <w:t>Hal.302</w:t>
      </w:r>
    </w:p>
  </w:footnote>
  <w:footnote w:id="2">
    <w:p w14:paraId="67B47729" w14:textId="77777777" w:rsidR="00A21146" w:rsidRPr="00F94DF3" w:rsidRDefault="00A21146" w:rsidP="00D11C1B">
      <w:pPr>
        <w:pStyle w:val="FootnoteText"/>
        <w:ind w:firstLine="720"/>
        <w:jc w:val="both"/>
        <w:rPr>
          <w:rFonts w:asciiTheme="majorBidi" w:hAnsiTheme="majorBidi" w:cstheme="majorBidi"/>
        </w:rPr>
      </w:pPr>
      <w:r w:rsidRPr="00C80F31">
        <w:rPr>
          <w:rStyle w:val="FootnoteReference"/>
          <w:rFonts w:asciiTheme="majorBidi" w:hAnsiTheme="majorBidi" w:cstheme="majorBidi"/>
        </w:rPr>
        <w:footnoteRef/>
      </w:r>
      <w:r w:rsidRPr="00F94DF3">
        <w:rPr>
          <w:rFonts w:asciiTheme="majorBidi" w:hAnsiTheme="majorBidi" w:cstheme="majorBidi"/>
        </w:rPr>
        <w:t xml:space="preserve"> </w:t>
      </w:r>
      <w:r w:rsidRPr="00C80F31">
        <w:rPr>
          <w:rFonts w:asciiTheme="majorBidi" w:hAnsiTheme="majorBidi" w:cstheme="majorBidi"/>
        </w:rPr>
        <w:fldChar w:fldCharType="begin" w:fldLock="1"/>
      </w:r>
      <w:r w:rsidRPr="00F94DF3">
        <w:rPr>
          <w:rFonts w:asciiTheme="majorBidi" w:hAnsiTheme="majorBidi" w:cstheme="majorBidi"/>
        </w:rPr>
        <w:instrText>ADDIN CSL_CITATION {"citationItems":[{"id":"ITEM-1","itemData":{"ISSN":"2963-590X","abstract":"Melihat fenomena yang terjadi dimasyarakat mengenai bank syariah dengan bank konvensional. Lahirnya bank syariah seharusnya menjadi berita gembira bagi masyarakat muslim indonesia.Namun, seiring berjalannya waktu menunjukan\nbahwa peminat masyarakat lebih besar terhadap bank konvensional dibandingkan dengan bank syariah.tentunya hal ini mendapat perhatian dari penulis karena jumlah nasabah Bank Syariah lebih sedikit (&gt;) dibandingkan nasabah Bank\nKonvensional. Terutama dalam sistem pinjaman yang berbeda, dan dalam hal ini juga dipengaruhi oleh beberapa faktor, yaitu: pelayanan yang tidak memuaskan, kepentingan individu, pengetahuan nasabah yang terbatas, persaingan, promosi\nproduk dari Bank Syariah, kejadian dan kondisi di lingkungan nasabah.","author":[{"dropping-particle":"","family":"Sormin","given":"Samsu Karim","non-dropping-particle":"","parse-names":false,"suffix":""},{"dropping-particle":"","family":"Ardiasnsyah","given":"Muhammad Vikri","non-dropping-particle":"","parse-names":false,"suffix":""},{"dropping-particle":"bin","family":"Darda","given":"Muhammad","non-dropping-particle":"","parse-names":false,"suffix":""}],"container-title":"Karimah Tauhid","id":"ITEM-1","issue":"4","issued":{"date-parts":[["2023"]]},"page":"1080-1086","title":"Kurangnya Nasabah Di Bank Syariah Dibandingkan Bank Konvensional","type":"article-journal","volume":"2"},"uris":["http://www.mendeley.com/documents/?uuid=036bae7c-7fc8-47a6-9221-707b3174f833"]}],"mendeley":{"formattedCitation":"Samsu Karim Sormin, Muhammad Vikri Ardiasnsyah, and Muhammad bin Darda, “Kurangnya Nasabah Di Bank Syariah Dibandingkan Bank Konvensional,” &lt;i&gt;Karimah Tauhid&lt;/i&gt; 2, no. 4 (2023): 1080–86.","plainTextFormattedCitation":"Samsu Karim Sormin, Muhammad Vikri Ardiasnsyah, and Muhammad bin Darda, “Kurangnya Nasabah Di Bank Syariah Dibandingkan Bank Konvensional,” Karimah Tauhid 2, no. 4 (2023): 1080–86.","previouslyFormattedCitation":"Samsu Karim Sormin, Muhammad Vikri Ardiasnsyah, and Muhammad bin Darda, “Kurangnya Nasabah Di Bank Syariah Dibandingkan Bank Konvensional,” &lt;i&gt;Karimah Tauhid&lt;/i&gt; 2, no. 4 (2023): 1080–86."},"properties":{"noteIndex":2},"schema":"https://github.com/citation-style-language/schema/raw/master/csl-citation.json"}</w:instrText>
      </w:r>
      <w:r w:rsidRPr="00C80F31">
        <w:rPr>
          <w:rFonts w:asciiTheme="majorBidi" w:hAnsiTheme="majorBidi" w:cstheme="majorBidi"/>
        </w:rPr>
        <w:fldChar w:fldCharType="separate"/>
      </w:r>
      <w:r w:rsidRPr="00F94DF3">
        <w:rPr>
          <w:rFonts w:asciiTheme="majorBidi" w:hAnsiTheme="majorBidi" w:cstheme="majorBidi"/>
          <w:noProof/>
        </w:rPr>
        <w:t xml:space="preserve">Samsu Karim Sormin, Muhammad Vikri Ardiasnsyah, and Muhammad bin Darda, “Kurangnya Nasabah Di Bank Syariah Dibandingkan Bank Konvensional,” </w:t>
      </w:r>
      <w:r w:rsidRPr="00F94DF3">
        <w:rPr>
          <w:rFonts w:asciiTheme="majorBidi" w:hAnsiTheme="majorBidi" w:cstheme="majorBidi"/>
          <w:i/>
          <w:noProof/>
        </w:rPr>
        <w:t>Karimah Tauhid</w:t>
      </w:r>
      <w:r w:rsidRPr="00F94DF3">
        <w:rPr>
          <w:rFonts w:asciiTheme="majorBidi" w:hAnsiTheme="majorBidi" w:cstheme="majorBidi"/>
          <w:noProof/>
        </w:rPr>
        <w:t xml:space="preserve"> 2, no. 4 (2023): 1080–86.</w:t>
      </w:r>
      <w:r w:rsidRPr="00C80F31">
        <w:rPr>
          <w:rFonts w:asciiTheme="majorBidi" w:hAnsiTheme="majorBidi" w:cstheme="majorBidi"/>
        </w:rPr>
        <w:fldChar w:fldCharType="end"/>
      </w:r>
      <w:r w:rsidRPr="00F94DF3">
        <w:rPr>
          <w:rFonts w:asciiTheme="majorBidi" w:hAnsiTheme="majorBidi" w:cstheme="majorBidi"/>
        </w:rPr>
        <w:t xml:space="preserve"> Hal.1084</w:t>
      </w:r>
    </w:p>
  </w:footnote>
  <w:footnote w:id="3">
    <w:p w14:paraId="0DC5F6D5" w14:textId="60F81FEB" w:rsidR="00204906" w:rsidRPr="00325C4B" w:rsidRDefault="00204906" w:rsidP="00D11C1B">
      <w:pPr>
        <w:pStyle w:val="FootnoteText"/>
        <w:ind w:firstLine="720"/>
        <w:jc w:val="both"/>
        <w:rPr>
          <w:rFonts w:asciiTheme="majorBidi" w:hAnsiTheme="majorBidi" w:cstheme="majorBidi"/>
          <w:lang w:val="en-US"/>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8432F5" w:rsidRPr="00325C4B">
        <w:rPr>
          <w:rFonts w:asciiTheme="majorBidi" w:hAnsiTheme="majorBidi" w:cstheme="majorBidi"/>
        </w:rPr>
        <w:instrText>ADDIN CSL_CITATION {"citationItems":[{"id":"ITEM-1","itemData":{"ISSN":"2477-6157","abstract":"This study aims to determine the effect of mudharabah, musyarakah and ijarah financing on profitability at Bank Muamalat Indonesia 2010-2017, either partially or simultaneously. The population in this study is Bank Muamalat Indonesia. Sampling is done by purposive sampling with data period 2010-2017 from financial statements of Bank Muamalat Indonesia counted 32 data. The method used in this study is quantitative descriptive with the aim to get a picture of how much the structure of financing and its effect on the profitability of Bank Muamalat Indonesia. Data collection technique is done by documentation method which is done by collecting data through Bank Muamalat Indonesia website. The method of this research used multiple regression.The result of partial significance test (t-test), this research shows that mudharabah financing has no significant effect on profitability of Bank Muamalat Indonesia. While musyarakah financing negatively affects the profitability of Bank Muamalat Indonesia. Ijarah financing have no significant effect on profitability of Bank Muamalat Indonesia. While simultaneous significance test result (F-test) shows that mudharabah, musyarakah and ijarah financing jointly affect the profitability of Bank Muamalat Indonesia.","author":[{"dropping-particle":"","family":"Hidayat","given":"Taufik","non-dropping-particle":"","parse-names":false,"suffix":""},{"dropping-particle":"","family":"Maika","given":"Rusliator","non-dropping-particle":"","parse-names":false,"suffix":""}],"container-title":"Jurnal Tabarru’ : Islamic Banking and Finance","id":"ITEM-1","issue":"1","issued":{"date-parts":[["2023"]]},"page":"346-357","title":"Pengaruh Pembiayaan Mudharabah dan Musyarakah terhadap Profitabilitas Bank Muamalat Indonesia","type":"article-journal","volume":"6"},"uris":["http://www.mendeley.com/documents/?uuid=889ae115-4c72-4cba-81a7-9ad9b99e2713"]}],"mendeley":{"formattedCitation":"Taufik Hidayat and Rusliator Maika, “Pengaruh Pembiayaan Mudharabah Dan Musyarakah Terhadap Profitabilitas Bank Muamalat Indonesia,” &lt;i&gt;Jurnal Tabarru’ : Islamic Banking and Finance&lt;/i&gt; 6, no. 1 (2023): 346–57.","plainTextFormattedCitation":"Taufik Hidayat and Rusliator Maika, “Pengaruh Pembiayaan Mudharabah Dan Musyarakah Terhadap Profitabilitas Bank Muamalat Indonesia,” Jurnal Tabarru’ : Islamic Banking and Finance 6, no. 1 (2023): 346–57.","previouslyFormattedCitation":"Taufik Hidayat and Rusliator Maika, “Pengaruh Pembiayaan Mudharabah Dan Musyarakah Terhadap Profitabilitas Bank Muamalat Indonesia,” &lt;i&gt;Jurnal Tabarru’ : Islamic Banking and Finance&lt;/i&gt; 6, no. 1 (2023): 346–57."},"properties":{"noteIndex":3},"schema":"https://github.com/citation-style-language/schema/raw/master/csl-citation.json"}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 xml:space="preserve">Taufik Hidayat and Rusliator Maika, “Pengaruh Pembiayaan Mudharabah Dan Musyarakah Terhadap Profitabilitas Bank Muamalat Indonesia,” </w:t>
      </w:r>
      <w:r w:rsidRPr="00325C4B">
        <w:rPr>
          <w:rFonts w:asciiTheme="majorBidi" w:hAnsiTheme="majorBidi" w:cstheme="majorBidi"/>
          <w:i/>
          <w:noProof/>
        </w:rPr>
        <w:t>Jurnal Tabarru’ : Islamic Banking and Finance</w:t>
      </w:r>
      <w:r w:rsidRPr="00325C4B">
        <w:rPr>
          <w:rFonts w:asciiTheme="majorBidi" w:hAnsiTheme="majorBidi" w:cstheme="majorBidi"/>
          <w:noProof/>
        </w:rPr>
        <w:t xml:space="preserve"> 6, no. 1 (2023): 346–57.</w:t>
      </w:r>
      <w:r w:rsidRPr="00325C4B">
        <w:rPr>
          <w:rFonts w:asciiTheme="majorBidi" w:hAnsiTheme="majorBidi" w:cstheme="majorBidi"/>
        </w:rPr>
        <w:fldChar w:fldCharType="end"/>
      </w:r>
      <w:r w:rsidRPr="00325C4B">
        <w:rPr>
          <w:rFonts w:asciiTheme="majorBidi" w:hAnsiTheme="majorBidi" w:cstheme="majorBidi"/>
        </w:rPr>
        <w:t>Hal.347</w:t>
      </w:r>
    </w:p>
  </w:footnote>
  <w:footnote w:id="4">
    <w:p w14:paraId="10AFC8D6" w14:textId="459A9261" w:rsidR="00963480" w:rsidRPr="00325C4B" w:rsidRDefault="00963480" w:rsidP="00D11C1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204906" w:rsidRPr="00325C4B">
        <w:rPr>
          <w:rFonts w:asciiTheme="majorBidi" w:hAnsiTheme="majorBidi" w:cstheme="majorBidi"/>
        </w:rPr>
        <w:instrText>ADDIN CSL_CITATION {"citationItems":[{"id":"ITEM-1","itemData":{"DOI":"10.20885/jeki.vol3.iss1.art5","ISSN":"2088-9968","abstract":"Mudharabah Deposit is one of Islamic banking products, which is the biggest contributor to sharia banking compared to other collecting products. In addition, according to Bank Indonesia's report, the number of Islamic banking deposits each year has increased significantly. Therefore, in this study, the authors want to know the factors that are expected to affect the number of mudharabah deposits. There are 6 factors that are expected to affect the number of deposits, namely the profit-sharing rate, the interest rate, the promotion rate, the inflation rate, the FDR, and the number of offices. The authors use a weighted average in terms of rate of profit sharing and interest rate and data processing using multiple linear regression. The results of these regression calculations, simultaneously show positive and significant results for all variables. This value resulted from the four regression has a value of sig-F 0.000 is smaller than 10% significance. Partially, profit sharing, promotion cost and number of offices show significant and positive effect on total mudharabah deposit, while interest rate, inflation and FDR show no effect on mudharabah deposit amount.","author":[{"dropping-particle":"","family":"Juniarty","given":"Nila","non-dropping-particle":"","parse-names":false,"suffix":""},{"dropping-particle":"","family":"Mifrahi","given":"Mustika Noor","non-dropping-particle":"","parse-names":false,"suffix":""},{"dropping-particle":"","family":"Tohirin","given":"Achmad","non-dropping-particle":"","parse-names":false,"suffix":""}],"container-title":"Jurnal Ekonomi &amp; Keuangan Islam","id":"ITEM-1","issue":"1","issued":{"date-parts":[["2018"]]},"page":"36-42","title":"Faktor-faktor yang mempengaruhi deposito mudharabah pada bank syariah di Indonesia","type":"article-journal","volume":"3"},"uris":["http://www.mendeley.com/documents/?uuid=e8a320f7-2b67-45b2-ac87-9ce775f1ed49"]}],"mendeley":{"formattedCitation":"Nila Juniarty, Mustika Noor Mifrahi, and Achmad Tohirin, “Faktor-Faktor Yang Mempengaruhi Deposito Mudharabah Pada Bank Syariah Di Indonesia,” &lt;i&gt;Jurnal Ekonomi &amp; Keuangan Islam&lt;/i&gt; 3, no. 1 (2018): 36–42, https://doi.org/10.20885/jeki.vol3.iss1.art5.","plainTextFormattedCitation":"Nila Juniarty, Mustika Noor Mifrahi, and Achmad Tohirin, “Faktor-Faktor Yang Mempengaruhi Deposito Mudharabah Pada Bank Syariah Di Indonesia,” Jurnal Ekonomi &amp; Keuangan Islam 3, no. 1 (2018): 36–42, https://doi.org/10.20885/jeki.vol3.iss1.art5.","previouslyFormattedCitation":"Nila Juniarty, Mustika Noor Mifrahi, and Achmad Tohirin, “Faktor-Faktor Yang Mempengaruhi Deposito Mudharabah Pada Bank Syariah Di Indonesia,” &lt;i&gt;Jurnal Ekonomi &amp; Keuangan Islam&lt;/i&gt; 3, no. 1 (2018): 36–42, https://doi.org/10.20885/jeki.vol3.iss1.art5."},"properties":{"noteIndex":4},"schema":"https://github.com/citation-style-language/schema/raw/master/csl-citation.json"}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 xml:space="preserve">Nila Juniarty, Mustika Noor Mifrahi, and Achmad Tohirin, “Faktor-Faktor Yang Mempengaruhi Deposito Mudharabah Pada Bank Syariah Di Indonesia,” </w:t>
      </w:r>
      <w:r w:rsidRPr="00325C4B">
        <w:rPr>
          <w:rFonts w:asciiTheme="majorBidi" w:hAnsiTheme="majorBidi" w:cstheme="majorBidi"/>
          <w:i/>
          <w:noProof/>
        </w:rPr>
        <w:t>Jurnal Ekonomi &amp; Keuangan Islam</w:t>
      </w:r>
      <w:r w:rsidRPr="00325C4B">
        <w:rPr>
          <w:rFonts w:asciiTheme="majorBidi" w:hAnsiTheme="majorBidi" w:cstheme="majorBidi"/>
          <w:noProof/>
        </w:rPr>
        <w:t xml:space="preserve"> 3, no. 1 (2018): 36–42, https://doi.org/10.20885/jeki.vol3.iss1.art5.</w:t>
      </w:r>
      <w:r w:rsidRPr="00325C4B">
        <w:rPr>
          <w:rFonts w:asciiTheme="majorBidi" w:hAnsiTheme="majorBidi" w:cstheme="majorBidi"/>
        </w:rPr>
        <w:fldChar w:fldCharType="end"/>
      </w:r>
      <w:r w:rsidRPr="00325C4B">
        <w:rPr>
          <w:rFonts w:asciiTheme="majorBidi" w:hAnsiTheme="majorBidi" w:cstheme="majorBidi"/>
        </w:rPr>
        <w:t>Hal.36</w:t>
      </w:r>
    </w:p>
  </w:footnote>
  <w:footnote w:id="5">
    <w:p w14:paraId="6B434B0C" w14:textId="7D4DB045" w:rsidR="00E01645" w:rsidRPr="00325C4B" w:rsidRDefault="00E01645" w:rsidP="00D11C1B">
      <w:pPr>
        <w:pStyle w:val="FootnoteText"/>
        <w:ind w:firstLine="720"/>
        <w:jc w:val="both"/>
        <w:rPr>
          <w:rFonts w:asciiTheme="majorBidi" w:hAnsiTheme="majorBidi" w:cstheme="majorBidi"/>
          <w:lang w:val="pt-BR"/>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204906" w:rsidRPr="00325C4B">
        <w:rPr>
          <w:rFonts w:asciiTheme="majorBidi" w:hAnsiTheme="majorBidi" w:cstheme="majorBidi"/>
        </w:rPr>
        <w:instrText>ADDIN CSL_CITATION {"citationItems":[{"id":"ITEM-1","itemData":{"DOI":"10.21043/malia.v1i1.3986","ISSN":"2654-8577","abstract":"This study aimed to analyze the influence of ROA, ROE, BOPO, and the Interest Rate on the rate of profit sharing Mudharabah deposits. The population in this study were allIslamic Banks in Indonesia which consists of 11 Islamic Banks.The selection of the sample in this study is purposive sampling according to the criteria set out which are Islamic Banks that published complete financial statements quarterly of the period 2011-2013. The analytical method used is multiple linear regression analysis to examine the relationship / influence of one variable to another variable. The results showed that ROA, ROE, BOPO, and the interest rate affect the level of profit sharing mudharabah deposits simultaneously. Partially, ROA and interest rate do not affect the level of profit sharing mudharabah deposits which is shown by significant value which is greater than 0. 05. While the ROE variable has significant negative influence and the BOPO has significant positive influence on the rate of profit sharing mudharabah deposits. Keywords:assets,equity,sharing","author":[{"dropping-particle":"","family":"Cahyani","given":"Wulandari Nur","non-dropping-particle":"","parse-names":false,"suffix":""},{"dropping-particle":"","family":"Falah","given":"Syaikhul","non-dropping-particle":"","parse-names":false,"suffix":""},{"dropping-particle":"","family":"Wijayanti","given":"Ratna Yulia","non-dropping-particle":"","parse-names":false,"suffix":""}],"container-title":"MALIA: Journal of Islamic Banking and Finance","id":"ITEM-1","issue":"1","issued":{"date-parts":[["2018"]]},"page":"105-128","title":"Analisis Pengaruh Roa,Roe,Bopo,Dan Suku Bunga Terhadap Tingkat Bagi Hasil Deposito Mudharabah Pada Perbankan Syariah","type":"article-journal","volume":"1"},"uris":["http://www.mendeley.com/documents/?uuid=44b79f59-4085-44b3-adfb-9a3782e60f2f"]}],"mendeley":{"formattedCitation":"Wulandari Nur Cahyani, Syaikhul Falah, and Ratna Yulia Wijayanti, “Analisis Pengaruh Roa,Roe,Bopo,Dan Suku Bunga Terhadap Tingkat Bagi Hasil Deposito Mudharabah Pada Perbankan Syariah,” &lt;i&gt;MALIA: Journal of Islamic Banking and Finance&lt;/i&gt; 1, no. 1 (2018): 105–28, https://doi.org/10.21043/malia.v1i1.3986.","plainTextFormattedCitation":"Wulandari Nur Cahyani, Syaikhul Falah, and Ratna Yulia Wijayanti, “Analisis Pengaruh Roa,Roe,Bopo,Dan Suku Bunga Terhadap Tingkat Bagi Hasil Deposito Mudharabah Pada Perbankan Syariah,” MALIA: Journal of Islamic Banking and Finance 1, no. 1 (2018): 105–28, https://doi.org/10.21043/malia.v1i1.3986.","previouslyFormattedCitation":"Wulandari Nur Cahyani, Syaikhul Falah, and Ratna Yulia Wijayanti, “Analisis Pengaruh Roa,Roe,Bopo,Dan Suku Bunga Terhadap Tingkat Bagi Hasil Deposito Mudharabah Pada Perbankan Syariah,” &lt;i&gt;MALIA: Journal of Islamic Banking and Finance&lt;/i&gt; 1, no. 1 (2018): 105–28, https://doi.org/10.21043/malia.v1i1.3986."},"properties":{"noteIndex":5},"schema":"https://github.com/citation-style-language/schema/raw/master/csl-citation.json"}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 xml:space="preserve">Wulandari Nur Cahyani, Syaikhul Falah, and Ratna Yulia Wijayanti, “Analisis Pengaruh Roa,Roe,Bopo,Dan Suku Bunga Terhadap Tingkat Bagi Hasil Deposito Mudharabah Pada Perbankan Syariah,” </w:t>
      </w:r>
      <w:r w:rsidRPr="00325C4B">
        <w:rPr>
          <w:rFonts w:asciiTheme="majorBidi" w:hAnsiTheme="majorBidi" w:cstheme="majorBidi"/>
          <w:i/>
          <w:noProof/>
        </w:rPr>
        <w:t>MALIA: Journal of Islamic Banking and Finance</w:t>
      </w:r>
      <w:r w:rsidRPr="00325C4B">
        <w:rPr>
          <w:rFonts w:asciiTheme="majorBidi" w:hAnsiTheme="majorBidi" w:cstheme="majorBidi"/>
          <w:noProof/>
        </w:rPr>
        <w:t xml:space="preserve"> 1, no. 1 (2018): 105–28, https://doi.org/10.21043/malia.v1i1.3986.</w:t>
      </w:r>
      <w:r w:rsidRPr="00325C4B">
        <w:rPr>
          <w:rFonts w:asciiTheme="majorBidi" w:hAnsiTheme="majorBidi" w:cstheme="majorBidi"/>
        </w:rPr>
        <w:fldChar w:fldCharType="end"/>
      </w:r>
      <w:r w:rsidRPr="00325C4B">
        <w:rPr>
          <w:rFonts w:asciiTheme="majorBidi" w:hAnsiTheme="majorBidi" w:cstheme="majorBidi"/>
          <w:lang w:val="pt-BR"/>
        </w:rPr>
        <w:t>Hal.110</w:t>
      </w:r>
    </w:p>
  </w:footnote>
  <w:footnote w:id="6">
    <w:p w14:paraId="242B3640" w14:textId="3F5119B2" w:rsidR="00335B29" w:rsidRPr="00325C4B" w:rsidRDefault="00335B29" w:rsidP="00D11C1B">
      <w:pPr>
        <w:pStyle w:val="FootnoteText"/>
        <w:ind w:firstLine="720"/>
        <w:jc w:val="both"/>
        <w:rPr>
          <w:rFonts w:asciiTheme="majorBidi" w:hAnsiTheme="majorBidi" w:cstheme="majorBidi"/>
          <w:lang w:val="pt-BR"/>
        </w:rPr>
      </w:pPr>
      <w:r w:rsidRPr="00325C4B">
        <w:rPr>
          <w:rStyle w:val="FootnoteReference"/>
          <w:rFonts w:asciiTheme="majorBidi" w:hAnsiTheme="majorBidi" w:cstheme="majorBidi"/>
        </w:rPr>
        <w:footnoteRef/>
      </w:r>
      <w:r w:rsidRPr="00325C4B">
        <w:rPr>
          <w:rFonts w:asciiTheme="majorBidi" w:hAnsiTheme="majorBidi" w:cstheme="majorBidi"/>
          <w:lang w:val="pt-BR"/>
        </w:rPr>
        <w:t xml:space="preserve"> </w:t>
      </w:r>
      <w:r w:rsidRPr="00325C4B">
        <w:rPr>
          <w:rFonts w:asciiTheme="majorBidi" w:hAnsiTheme="majorBidi" w:cstheme="majorBidi"/>
        </w:rPr>
        <w:fldChar w:fldCharType="begin" w:fldLock="1"/>
      </w:r>
      <w:r w:rsidR="00204906" w:rsidRPr="00325C4B">
        <w:rPr>
          <w:rFonts w:asciiTheme="majorBidi" w:hAnsiTheme="majorBidi" w:cstheme="majorBidi"/>
          <w:lang w:val="pt-BR"/>
        </w:rPr>
        <w:instrText>ADDIN CSL_CITATION {"citationItems":[{"id":"ITEM-1","itemData":{"abstract":"… Data yang digunakan untuk keperluan penelitian ini adalah data sekunder yang bersumber dari publikasi laporan keuangan (annual report) Bank Syariah Bukopin, publikasi …","author":[{"dropping-particle":"","family":"Kurnia","given":"Putu Ayu Rizka Pramitha","non-dropping-particle":"","parse-names":false,"suffix":""}],"container-title":"UIN Sumatera Utara","id":"ITEM-1","issued":{"date-parts":[["2022"]]},"title":"Analisis Risiko Investasi, Risiko Likuiditas Dan Return Pada Deposito Mudharabah PT. Bank Syariah Bukopin Di Indonesia","type":"article-journal"},"uris":["http://www.mendeley.com/documents/?uuid=b6dbf012-ee80-4cd5-a0c1-fb6f59c5dd2e"]}],"mendeley":{"formattedCitation":"Putu Ayu Rizka Pramitha Kurnia, “Analisis Risiko Investasi, Risiko Likuiditas Dan Return Pada Deposito Mudharabah PT. Bank Syariah Bukopin Di Indonesia,” &lt;i&gt;UIN Sumatera Utara&lt;/i&gt;, 2022.","plainTextFormattedCitation":"Putu Ayu Rizka Pramitha Kurnia, “Analisis Risiko Investasi, Risiko Likuiditas Dan Return Pada Deposito Mudharabah PT. Bank Syariah Bukopin Di Indonesia,” UIN Sumatera Utara, 2022.","previouslyFormattedCitation":"Putu Ayu Rizka Pramitha Kurnia, “Analisis Risiko Investasi, Risiko Likuiditas Dan Return Pada Deposito Mudharabah PT. Bank Syariah Bukopin Di Indonesia,” &lt;i&gt;UIN Sumatera Utara&lt;/i&gt;, 2022."},"properties":{"noteIndex":6},"schema":"https://github.com/citation-style-language/schema/raw/master/csl-citation.json"}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pt-BR"/>
        </w:rPr>
        <w:t xml:space="preserve">Putu Ayu Rizka Pramitha Kurnia, “Analisis Risiko Investasi, Risiko Likuiditas Dan Return Pada Deposito Mudharabah PT. Bank Syariah Bukopin Di Indonesia,” </w:t>
      </w:r>
      <w:r w:rsidRPr="00325C4B">
        <w:rPr>
          <w:rFonts w:asciiTheme="majorBidi" w:hAnsiTheme="majorBidi" w:cstheme="majorBidi"/>
          <w:i/>
          <w:noProof/>
          <w:lang w:val="pt-BR"/>
        </w:rPr>
        <w:t>UIN Sumatera Utara</w:t>
      </w:r>
      <w:r w:rsidRPr="00325C4B">
        <w:rPr>
          <w:rFonts w:asciiTheme="majorBidi" w:hAnsiTheme="majorBidi" w:cstheme="majorBidi"/>
          <w:noProof/>
          <w:lang w:val="pt-BR"/>
        </w:rPr>
        <w:t>, 2022.</w:t>
      </w:r>
      <w:r w:rsidRPr="00325C4B">
        <w:rPr>
          <w:rFonts w:asciiTheme="majorBidi" w:hAnsiTheme="majorBidi" w:cstheme="majorBidi"/>
        </w:rPr>
        <w:fldChar w:fldCharType="end"/>
      </w:r>
      <w:r w:rsidRPr="00325C4B">
        <w:rPr>
          <w:rFonts w:asciiTheme="majorBidi" w:hAnsiTheme="majorBidi" w:cstheme="majorBidi"/>
          <w:lang w:val="pt-BR"/>
        </w:rPr>
        <w:t xml:space="preserve"> Hal.1</w:t>
      </w:r>
    </w:p>
  </w:footnote>
  <w:footnote w:id="7">
    <w:p w14:paraId="28CCFC0F" w14:textId="4091BEE8" w:rsidR="00335B29" w:rsidRPr="00325C4B" w:rsidRDefault="00335B29" w:rsidP="00D11C1B">
      <w:pPr>
        <w:pStyle w:val="FootnoteText"/>
        <w:ind w:firstLine="720"/>
        <w:jc w:val="both"/>
        <w:rPr>
          <w:rFonts w:asciiTheme="majorBidi" w:hAnsiTheme="majorBidi" w:cstheme="majorBidi"/>
          <w:lang w:val="pt-BR"/>
        </w:rPr>
      </w:pPr>
      <w:r w:rsidRPr="00325C4B">
        <w:rPr>
          <w:rStyle w:val="FootnoteReference"/>
          <w:rFonts w:asciiTheme="majorBidi" w:hAnsiTheme="majorBidi" w:cstheme="majorBidi"/>
        </w:rPr>
        <w:footnoteRef/>
      </w:r>
      <w:r w:rsidRPr="00325C4B">
        <w:rPr>
          <w:rFonts w:asciiTheme="majorBidi" w:hAnsiTheme="majorBidi" w:cstheme="majorBidi"/>
          <w:lang w:val="pt-BR"/>
        </w:rPr>
        <w:t xml:space="preserve"> </w:t>
      </w:r>
      <w:r w:rsidRPr="00325C4B">
        <w:rPr>
          <w:rFonts w:asciiTheme="majorBidi" w:hAnsiTheme="majorBidi" w:cstheme="majorBidi"/>
        </w:rPr>
        <w:fldChar w:fldCharType="begin" w:fldLock="1"/>
      </w:r>
      <w:r w:rsidR="00204906" w:rsidRPr="00325C4B">
        <w:rPr>
          <w:rFonts w:asciiTheme="majorBidi" w:hAnsiTheme="majorBidi" w:cstheme="majorBidi"/>
          <w:lang w:val="pt-BR"/>
        </w:rPr>
        <w:instrText>ADDIN CSL_CITATION {"citationItems":[{"id":"ITEM-1","itemData":{"DOI":"10.22373/justisia.v6i2.11532","ISSN":"2541-4682","abstract":"Technological developments make the world borderless. The development of information and communication technology has touched the banking sector. Based on the operational system, the types of banks can be divided into conventional banks and Islamic banks. This study aims to explain the digitalization of conventional bank products and Islamic banks in Indonesia. The method used in this research is normative legal research. The development of information and communication technology has touched the banking sector. As one of the efforts to increase bank capability, more optimal utilization of information technology development is a prerequisite in supporting bank service innovation. Therefore, digital banking is a very potential business opportunity and an inevitable necessity in the banking sector in the digital era. In addition to increasing the efficiency of bank operational activities, digital banking can improve the service quality of conventional banks and Islamic banks to customers in transactions. The Financial Services Authority of the Republic of Indonesia then issued Financial Services Authority Regulation Number 12/POJK.03/2018 concerning the Implementation of Digital Banking Services by Commercial Banks. There are forms of e-Banking services that can be used at conventional banks and Islamic banks, namely ATM (Automated Teller Machine), EDC (Electronic Data Capture), internet banking, SMS banking, mobile banki</w:instrText>
      </w:r>
      <w:r w:rsidR="00204906" w:rsidRPr="0031036E">
        <w:rPr>
          <w:rFonts w:asciiTheme="majorBidi" w:hAnsiTheme="majorBidi" w:cstheme="majorBidi"/>
          <w:lang w:val="sv-SE"/>
        </w:rPr>
        <w:instrText>ng, e-Commerce, phone banking, and video. banking","author":[{"dropping-particle":"","family":"Utama","given":"Andrew Shandy","non-dropping-particle":"","parse-names":false,"suffix":""}],"container-title":"Jurnal Justisia : Jurnal Ilmu Hukum, Perundang-undangan dan Pranata Sosial","id":"ITEM-1","issue":"2","issued":{"date-parts":[["2021"]]},"page":"113","title":"Digitalisasi Produk Bank Konvensional Dan Bank Syariah Di Indonesia","type":"article-journal","volume":"6"},"uris":["http://www.mendeley.com/documents/?uuid=b048480c-3909-4af2-918c-bd3ede452e09"]}],"mendeley":{"formattedCitation":"Andrew Shandy Utama, “Digitalisasi Produk Bank Konvensional Dan Bank Syariah Di Indonesia,” &lt;i&gt;Jurnal Justisia : Jurnal Ilmu Hukum, Perundang-Undangan Dan Pranata Sosial&lt;/i&gt; 6, no. 2 (2021): 113, https://doi.org/10.22373/justisia.v6i2.11532.","plainTextFormattedCitation":"Andrew Shandy Utama, “Digitalisasi Produk Bank Konvensional Dan Bank Syariah Di Indonesia,” Jurnal Justisia : Jurnal Ilmu Hukum, Perundang-Undangan Dan Pranata Sosial 6, no. 2 (2021): 113, https://doi.org/10.22373/justisia.v6i2.11532.","previouslyFormattedCitation":"Andrew Shandy Utama, “Digitalisasi Produk Bank Konvensional Dan Bank Syariah Di Indonesia,” &lt;i&gt;Jurnal Justisia : Jurnal Ilmu Hukum, Perundang-Undangan Dan Pranata Sosial&lt;/i&gt; 6, no. 2 (2021): 113, https://doi.org/10.22373/justisia.v6i2.11532."},"properties":{"noteIndex":7},"schema":"https://github.com/citation-style-language/schema/raw/master/csl-citation.json"}</w:instrText>
      </w:r>
      <w:r w:rsidRPr="00325C4B">
        <w:rPr>
          <w:rFonts w:asciiTheme="majorBidi" w:hAnsiTheme="majorBidi" w:cstheme="majorBidi"/>
        </w:rPr>
        <w:fldChar w:fldCharType="separate"/>
      </w:r>
      <w:r w:rsidRPr="0031036E">
        <w:rPr>
          <w:rFonts w:asciiTheme="majorBidi" w:hAnsiTheme="majorBidi" w:cstheme="majorBidi"/>
          <w:noProof/>
          <w:lang w:val="sv-SE"/>
        </w:rPr>
        <w:t xml:space="preserve">Andrew Shandy Utama, “Digitalisasi Produk Bank Konvensional Dan Bank Syariah Di Indonesia,” </w:t>
      </w:r>
      <w:r w:rsidRPr="0031036E">
        <w:rPr>
          <w:rFonts w:asciiTheme="majorBidi" w:hAnsiTheme="majorBidi" w:cstheme="majorBidi"/>
          <w:i/>
          <w:noProof/>
          <w:lang w:val="sv-SE"/>
        </w:rPr>
        <w:t>Jurnal Justisia : Jurnal Ilmu Hukum, Perundang-Undangan Dan Pranata Sosial</w:t>
      </w:r>
      <w:r w:rsidRPr="0031036E">
        <w:rPr>
          <w:rFonts w:asciiTheme="majorBidi" w:hAnsiTheme="majorBidi" w:cstheme="majorBidi"/>
          <w:noProof/>
          <w:lang w:val="sv-SE"/>
        </w:rPr>
        <w:t xml:space="preserve"> 6, no. 2 (2021): 113, https://doi.org/10.22373/justisia.v6i2.11532.</w:t>
      </w:r>
      <w:r w:rsidRPr="00325C4B">
        <w:rPr>
          <w:rFonts w:asciiTheme="majorBidi" w:hAnsiTheme="majorBidi" w:cstheme="majorBidi"/>
        </w:rPr>
        <w:fldChar w:fldCharType="end"/>
      </w:r>
      <w:r w:rsidRPr="0031036E">
        <w:rPr>
          <w:rFonts w:asciiTheme="majorBidi" w:hAnsiTheme="majorBidi" w:cstheme="majorBidi"/>
          <w:lang w:val="sv-SE"/>
        </w:rPr>
        <w:t xml:space="preserve"> </w:t>
      </w:r>
      <w:r w:rsidRPr="00325C4B">
        <w:rPr>
          <w:rFonts w:asciiTheme="majorBidi" w:hAnsiTheme="majorBidi" w:cstheme="majorBidi"/>
          <w:lang w:val="pt-BR"/>
        </w:rPr>
        <w:t>Hal.116</w:t>
      </w:r>
    </w:p>
  </w:footnote>
  <w:footnote w:id="8">
    <w:p w14:paraId="73828AAD" w14:textId="551AF707" w:rsidR="00E01645" w:rsidRPr="00325C4B" w:rsidRDefault="00E01645" w:rsidP="00D11C1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lang w:val="pt-BR"/>
        </w:rPr>
        <w:t xml:space="preserve"> </w:t>
      </w:r>
      <w:r w:rsidRPr="00325C4B">
        <w:rPr>
          <w:rFonts w:asciiTheme="majorBidi" w:hAnsiTheme="majorBidi" w:cstheme="majorBidi"/>
        </w:rPr>
        <w:fldChar w:fldCharType="begin" w:fldLock="1"/>
      </w:r>
      <w:r w:rsidR="00204906" w:rsidRPr="00325C4B">
        <w:rPr>
          <w:rFonts w:asciiTheme="majorBidi" w:hAnsiTheme="majorBidi" w:cstheme="majorBidi"/>
          <w:lang w:val="pt-BR"/>
        </w:rPr>
        <w:instrText>ADDIN CSL_CITATION {"citationItems":[{"id":"ITEM-1","itemData":{"ISSN":"2089-550X","abstract":"Along with the development of sharia banking institutions in Indonesia, the more types of services provided by these Islamic banking institutions. This study focuses on internal factors, such as Financing to Deposit Ratio (FDR) and Non-Performing Financing (NPF), because of the presumption that these factors have the most significant influence on profit-sharing that exist in the Islamic banking system. This study aims to determine the effects of Financing to Deposit Ratio (FDR) and Non-Performing Financing (NPF) variables on Mudharabah Deposits of PT Bank Syariah Mandiri, both partially and simultaneously for the 2011-2017 period. The sample used in this study is PT Bank Syariah Mandiri in Indonesia by using multiple linear regression analysis which is processed using SPSS (Statistical Product Services and Solutions) software version 24. The results of this study state that FDR has a negative effect on profit sharing of Mudharabah Deposits, while NPF has a positive influence on the profit sharing of Mudharabah Deposits. These results also indicate that simultaneously the Financing to Deposit Ratio (FDR) and Non-Performing Financing (NPF) variables have a significant influence on the profit sharing of PT Bank Syariah Mandiri Mudharabah Deposits for the period 2011-2017. This is supported by the results of the coefficient of determination. The coefficient is 0.673 or 67.3% of profit sharing of the Mudharabah Deposits are influenced by the FDR and NPF variables, and the remaining 32.7% is influenced by other variables not used in this research model.","author":[{"dropping-particle":"","family":"Fadli","given":"Achmad Agus Yasin","non-dropping-particle":"","parse-names":false,"suffix":""}],"container-title":"Jurnal Maksipreneur: Manajemen, Koperasi, dan Entrepreneurship","id":"ITEM-1","issue":"1","issued":{"date-parts":[["2018"]]},"page":"98","title":"Pengaruh FDR dan NPF terhadap Bagi Hasil Deposito Mudharabah pada Bank Syariah Mandiri","type":"article-journal","volume":"8"},"uris":["http://www.mendeley.com/documents/?uuid=3953a077-6a29-4842-85c6-c19859c7a12d"]}],"mendeley":{"formattedCitation":"Achmad Agus Yasin Fadli, “Pengaruh FDR Dan NPF Terhadap Bagi Hasil Deposito Mudharabah Pada Bank Syariah Mandiri,” &lt;i&gt;Jurnal Maksipreneur: Manajemen, Koperasi, Dan Entrepreneurship&lt;/i&gt; 8, no. 1 (2018): 98.","plainTextFormattedCitation":"Achmad Agus Yasin Fadli, “Pengaruh FDR Dan NPF Terhadap Bagi Hasil Deposito Mudharabah Pada Bank Syariah Mandiri,” Jurnal Maksipreneur: Manajemen, Koperasi, Dan Entrepreneurship 8, no. 1 (2018): 98.","previouslyFormattedCitation":"Achmad Agus Yasin Fadli, “Pengaruh FDR Dan NPF Terhadap Bagi Hasil Deposito Mudharabah Pada Bank Syariah Mandiri,” &lt;i&gt;Jurnal Maksipreneur: Manajemen, Koperasi, Dan Entrepreneurship&lt;/i&gt; 8, no. 1 (2018): 98."},"properties":{"noteIndex":8},"schema":"https://github.com/citation-style-language/schema/raw/master/csl-citation.json"}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pt-BR"/>
        </w:rPr>
        <w:t xml:space="preserve">Achmad Agus Yasin Fadli, “Pengaruh FDR Dan NPF Terhadap Bagi Hasil Deposito Mudharabah Pada Bank Syariah Mandiri,” </w:t>
      </w:r>
      <w:r w:rsidRPr="00325C4B">
        <w:rPr>
          <w:rFonts w:asciiTheme="majorBidi" w:hAnsiTheme="majorBidi" w:cstheme="majorBidi"/>
          <w:i/>
          <w:noProof/>
          <w:lang w:val="pt-BR"/>
        </w:rPr>
        <w:t>Jurnal Maksipreneur: Manajemen, Koperasi, Dan Entrepreneurship</w:t>
      </w:r>
      <w:r w:rsidRPr="00325C4B">
        <w:rPr>
          <w:rFonts w:asciiTheme="majorBidi" w:hAnsiTheme="majorBidi" w:cstheme="majorBidi"/>
          <w:noProof/>
          <w:lang w:val="pt-BR"/>
        </w:rPr>
        <w:t xml:space="preserve"> 8, no. 1 (2018): 98.</w:t>
      </w:r>
      <w:r w:rsidRPr="00325C4B">
        <w:rPr>
          <w:rFonts w:asciiTheme="majorBidi" w:hAnsiTheme="majorBidi" w:cstheme="majorBidi"/>
        </w:rPr>
        <w:fldChar w:fldCharType="end"/>
      </w:r>
      <w:r w:rsidRPr="00325C4B">
        <w:rPr>
          <w:rFonts w:asciiTheme="majorBidi" w:hAnsiTheme="majorBidi" w:cstheme="majorBidi"/>
        </w:rPr>
        <w:t>Hal.106</w:t>
      </w:r>
    </w:p>
  </w:footnote>
  <w:footnote w:id="9">
    <w:p w14:paraId="453F0D83" w14:textId="3FE3F92F" w:rsidR="00E01645" w:rsidRPr="00466863" w:rsidRDefault="00E01645" w:rsidP="00D11C1B">
      <w:pPr>
        <w:pStyle w:val="FootnoteText"/>
        <w:ind w:firstLine="720"/>
        <w:jc w:val="both"/>
        <w:rPr>
          <w:rFonts w:asciiTheme="majorBidi" w:hAnsiTheme="majorBidi" w:cstheme="majorBidi"/>
        </w:rPr>
      </w:pPr>
      <w:r w:rsidRPr="00793C89">
        <w:rPr>
          <w:rStyle w:val="FootnoteReference"/>
          <w:rFonts w:asciiTheme="majorBidi" w:hAnsiTheme="majorBidi" w:cstheme="majorBidi"/>
        </w:rPr>
        <w:footnoteRef/>
      </w:r>
      <w:r w:rsidRPr="00793C89">
        <w:rPr>
          <w:rFonts w:asciiTheme="majorBidi" w:hAnsiTheme="majorBidi" w:cstheme="majorBidi"/>
        </w:rPr>
        <w:t xml:space="preserve"> </w:t>
      </w:r>
      <w:r w:rsidRPr="00793C89">
        <w:rPr>
          <w:rFonts w:asciiTheme="majorBidi" w:hAnsiTheme="majorBidi" w:cstheme="majorBidi"/>
        </w:rPr>
        <w:fldChar w:fldCharType="begin" w:fldLock="1"/>
      </w:r>
      <w:r w:rsidR="00204906" w:rsidRPr="00793C89">
        <w:rPr>
          <w:rFonts w:asciiTheme="majorBidi" w:hAnsiTheme="majorBidi" w:cstheme="majorBidi"/>
        </w:rPr>
        <w:instrText>ADDIN CSL_CITATION {"citationItems":[{"id":"ITEM-1","itemData":{"DOI":"10.25299/jtb.2022.vol5(2).9681","ISSN":"2621-6833","abstract":"Tujuan dari penelitian ini adalah untuk menganalisis serta menguji pengaruh nisbah bagi hasil, inflasi serta jumlah uang beredar (JUB) terhadap deposito mudharabah pada Bank Muamalat Indonesia baik secara simultan maupun parsial periode tahun 2014-2021. Jenis penelitian ini yaitu kuantitatif dengan studi penelitian pada Bank Muamalat Indonesia dengan menggunakan metode pengumpulan data berupa purposive sampling. Sampel dalam penelitian ini 32 data yang meliputi data keuangan BMI serta data inflasi maupun JUB dari website resmi Bank Indonesia serta Badan Pusat Statistik. Hasil penelitian secara parsial menghasilkan variabel nisbah bagi hasil yang terbukti berpengaruh terhadap deposito mudharabah pada BMI. Sedangkan variabel Inflasi dan JUB terbukti tidak berpengaruh terhadap deposito mudharabah pada BMI. Uji parsial menghasilkan bahwa variabel nisbah bagi hasil, inflasi maupun JUB secara simultan berpengaruh terhadap deposito mudharabah. Hal ini menunjukkan pentingnya perbankan syariah untuk memfokuskan kebijakan pada nisbah bagi hasil yang ditawarkan kepada nasabahnya dan tidak terpengaruh pada situasi keuangan eksternal dalam aspek inflasi dan JUB.","author":[{"dropping-particle":"","family":"Wahyu Fauziah","given":"Nafisah","non-dropping-particle":"","parse-names":false,"suffix":""},{"dropping-particle":"","family":"Segaf","given":"","non-dropping-particle":"","parse-names":false,"suffix":""}],"container-title":"Jurnal Tabarru': Islamic Banking and Finance","id":"ITEM-1","issue":"2","issued":{"date-parts":[["2022"]]},"page":"435-447","title":"Seberapa Pengaruh Penetapan Nisbah Bagi Hasil, Inflasi, Dan Jumlah Uang Beredar Terhadap Deposito Mudharabah Di Indonesia","type":"article-journal","volume":"5"},"uris":["http://www.mendeley.com/documents/?uuid=a4f1dce7-fe37-4204-94a0-859fb93af81e"]}],"mendeley":{"formattedCitation":"Nafisah Wahyu Fauziah and Segaf, “Seberapa Pengaruh Penetapan Nisbah Bagi Hasil, Inflasi, Dan Jumlah Uang Beredar Terhadap Deposito Mudharabah Di Indonesia,” &lt;i&gt;Jurnal Tabarru’: Islamic Banking and Finance&lt;/i&gt; 5, no. 2 (2022): 435–47, https://doi.org/10.25299/jtb.2022.vol5(2).9681.","plainTextFormattedCitation":"Nafisah Wahyu Fauziah and Segaf, “Seberapa Pengaruh Penetapan Nisbah Bagi Hasil, Inflasi, Dan Jumlah Uang Beredar Terhadap Deposito Mudharabah Di Indonesia,” Jurnal Tabarru’: Islamic Banking and Finance 5, no. 2 (2022): 435–47, https://doi.org/10.25299/jtb.2022.vol5(2).9681.","previouslyFormattedCitation":"Nafisah Wahyu Fauziah and Segaf, “Seberapa Pengaruh Penetapan Nisbah Bagi Hasil, Inflasi, Dan Jumlah Uang Beredar Terhadap Deposito Mudharabah Di Indonesia,” &lt;i&gt;Jurnal Tabarru’: Islamic Banking and Finance&lt;/i&gt; 5, no. 2 (2022): 435–47, https://doi.org/10.25299/jtb.2022.vol5(2).9681."},"properties":{"noteIndex":9},"schema":"https://github.com/citation-style-language/schema/raw/master/csl-citation.json"}</w:instrText>
      </w:r>
      <w:r w:rsidRPr="00793C89">
        <w:rPr>
          <w:rFonts w:asciiTheme="majorBidi" w:hAnsiTheme="majorBidi" w:cstheme="majorBidi"/>
        </w:rPr>
        <w:fldChar w:fldCharType="separate"/>
      </w:r>
      <w:r w:rsidRPr="00793C89">
        <w:rPr>
          <w:rFonts w:asciiTheme="majorBidi" w:hAnsiTheme="majorBidi" w:cstheme="majorBidi"/>
          <w:noProof/>
        </w:rPr>
        <w:t xml:space="preserve">Nafisah Wahyu Fauziah and Segaf, “Seberapa Pengaruh Penetapan Nisbah Bagi Hasil, Inflasi, Dan Jumlah Uang Beredar Terhadap Deposito Mudharabah Di Indonesia,” </w:t>
      </w:r>
      <w:r w:rsidRPr="00793C89">
        <w:rPr>
          <w:rFonts w:asciiTheme="majorBidi" w:hAnsiTheme="majorBidi" w:cstheme="majorBidi"/>
          <w:i/>
          <w:noProof/>
        </w:rPr>
        <w:t>Jurnal Tabarru’: Islamic Banking and Finance</w:t>
      </w:r>
      <w:r w:rsidRPr="00793C89">
        <w:rPr>
          <w:rFonts w:asciiTheme="majorBidi" w:hAnsiTheme="majorBidi" w:cstheme="majorBidi"/>
          <w:noProof/>
        </w:rPr>
        <w:t xml:space="preserve"> 5, no. 2 (2022): 435–47, https://doi.org/10.25299/jtb.2022.vol5(2).9681.</w:t>
      </w:r>
      <w:r w:rsidRPr="00793C89">
        <w:rPr>
          <w:rFonts w:asciiTheme="majorBidi" w:hAnsiTheme="majorBidi" w:cstheme="majorBidi"/>
        </w:rPr>
        <w:fldChar w:fldCharType="end"/>
      </w:r>
      <w:r w:rsidRPr="00466863">
        <w:rPr>
          <w:rFonts w:asciiTheme="majorBidi" w:hAnsiTheme="majorBidi" w:cstheme="majorBidi"/>
        </w:rPr>
        <w:t>Hal.436</w:t>
      </w:r>
    </w:p>
  </w:footnote>
  <w:footnote w:id="10">
    <w:p w14:paraId="6BC9889A" w14:textId="77777777" w:rsidR="00204906" w:rsidRPr="00325C4B" w:rsidRDefault="00204906" w:rsidP="00325C4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Pr="00325C4B">
        <w:rPr>
          <w:rFonts w:asciiTheme="majorBidi" w:hAnsiTheme="majorBidi" w:cstheme="majorBidi"/>
        </w:rPr>
        <w:instrText>ADDIN CSL_CITATION {"citationItems":[{"id":"ITEM-1","itemData":{"abstract":"This research explains about the accumulation of deposit fund at PT. Bank Pembangunan Daerah (BPD) West Sumatera Lintau Branch period 2013-2017. This study uses data collection techniques through library techniques and data collection through field studies …","author":[{"dropping-particle":"","family":"Wahyuni","given":"Sri Vita","non-dropping-particle":"","parse-names":false,"suffix":""},{"dropping-particle":"","family":"Afriyeni","given":"Afriyeni","non-dropping-particle":"","parse-names":false,"suffix":""}],"container-title":"Management","id":"ITEM-1","issue":"1","issued":{"date-parts":[["2019"]]},"page":"25-26","title":"Aktivitas Penghimpunan Dana Deposito Pada Pt. Bank Pembangunan Daerah (Bpd) Sumatera Barat Cabang Lintau","type":"article-journal","volume":"2"},"uris":["http://www.mendeley.com/documents/?uuid=11b59f4f-88fe-4aab-8344-b519be50c0fe"]}],"mendeley":{"formattedCitation":"Sri Vita Wahyuni and Afriyeni Afriyeni, “Aktivitas Penghimpunan Dana Deposito Pada Pt. Bank Pembangunan Daerah (Bpd) Sumatera Barat Cabang Lintau,” &lt;i&gt;Management&lt;/i&gt; 2, no. 1 (2019): 25–26.","plainTextFormattedCitation":"Sri Vita Wahyuni and Afriyeni Afriyeni, “Aktivitas Penghimpunan Dana Deposito Pada Pt. Bank Pembangunan Daerah (Bpd) Sumatera Barat Cabang Lintau,” Management 2, no. 1 (2019): 25–26.","previouslyFormattedCitation":"Sri Vita Wahyuni and Afriyeni Afriyeni, “Aktivitas Penghimpunan Dana Deposito Pada Pt. Bank Pembangunan Daerah (Bpd) Sumatera Barat Cabang Lintau,” &lt;i&gt;Management&lt;/i&gt; 2, no. 1 (2019): 25–26."},"properties":{"noteIndex":10},"schema":"https://github.com/citation-style-language/schema/raw/master/csl-citation.json"}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 xml:space="preserve">Sri Vita Wahyuni and Afriyeni Afriyeni, “Aktivitas Penghimpunan Dana Deposito Pada Pt. Bank Pembangunan Daerah (Bpd) Sumatera Barat Cabang Lintau,” </w:t>
      </w:r>
      <w:r w:rsidRPr="00325C4B">
        <w:rPr>
          <w:rFonts w:asciiTheme="majorBidi" w:hAnsiTheme="majorBidi" w:cstheme="majorBidi"/>
          <w:i/>
          <w:noProof/>
        </w:rPr>
        <w:t>Management</w:t>
      </w:r>
      <w:r w:rsidRPr="00325C4B">
        <w:rPr>
          <w:rFonts w:asciiTheme="majorBidi" w:hAnsiTheme="majorBidi" w:cstheme="majorBidi"/>
          <w:noProof/>
        </w:rPr>
        <w:t xml:space="preserve"> 2, no. 1 (2019): 25–26.</w:t>
      </w:r>
      <w:r w:rsidRPr="00325C4B">
        <w:rPr>
          <w:rFonts w:asciiTheme="majorBidi" w:hAnsiTheme="majorBidi" w:cstheme="majorBidi"/>
        </w:rPr>
        <w:fldChar w:fldCharType="end"/>
      </w:r>
    </w:p>
  </w:footnote>
  <w:footnote w:id="11">
    <w:p w14:paraId="2D8A7029" w14:textId="77777777" w:rsidR="00204906" w:rsidRPr="00325C4B" w:rsidRDefault="00204906" w:rsidP="00325C4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Pr="00325C4B">
        <w:rPr>
          <w:rFonts w:asciiTheme="majorBidi" w:hAnsiTheme="majorBidi" w:cstheme="majorBidi"/>
        </w:rPr>
        <w:instrText>ADDIN CSL_CITATION {"citationItems":[{"id":"ITEM-1","itemData":{"DOI":"10.47700/jiefes.v2i2.3292","ISSN":"2723-6730","abstract":"AbstractThe increase in the number of Indonesians Muslim population, sharia shares and the growth of sharia capital market assets are inversely proportional to the level of Islamic financial literacy and the Islamic capital market of the Indonesian population which is still very low than conventional based on the 2019 National Survey of Financial Literacy and Inclusion. This research aims to investigate the influence of Islamic financial literacy, perception of return, and motivation on investment interest in the Islamic capital market. The research method is quantitative with a sample of 150 Jabodetabek people who know about the Islamic capital market. Data was collected by questionnaire through google form. Analysis of the data used is multiple linear regression using SPSS version 25. The results of the research found that simultaneously there is an influence between Islamic financial literacy, perception of return, and motivation on investment interest. Partially, perception of return and motivation have a positive and significant effect, while Islamic financial literacy has no effect on investment interest. The results of the coefficient of determination test explained that the three independent variables influenced investment interest as much as 22%, the remaining 78% was the influence of independent variables outside the modelAbstrak Peningkatan jumlah penduduk muslim Indonesia dan jumlah saham syariah serta pertumbuhan aset pasar modal syariah berbanding terbalik dengan tingkat literasi keuangan syariah dan pasar modal syariah penduduk Indonesia yang masih sangat rendah daripada konvensional berdasarkan Survei Nasional Literasi dan Inklusi Keuangan tahun 2019. Kajian ini bertujuan untuk mengetahui pengaruh literasi keuangan syariah, persepsi imbal hasil, dan motivasi pada minat investasi di pasar modal syariah. Metode penelitian adalah kuantitatif dengan sampel 150 masyarakat Jabodetabek yang mengetahui tentang pasar modal syariah. Data dikumpulkan dengan kuesioner melalui google form. Analisis data yang digunakan yaitu regresi linier berganda menggunakan SPSS versi 25. Hasil kajian ditemukan bahwasanya secara simultan terdapat pengaruh antara literasi keuangan syariah, persepsi imbal hasil, dan motivasi pada minat investasi. Secara parsial, persepsi imbal hasil dan motivasi berpengaruh positif dan signifikan, sedangkan literasi keuangan syariah tidak berpengaruh pada minat investasi. Hasil uji koefisien determinasi dijelaskan bahwa ketiga variab…","author":[{"dropping-particle":"","family":"Puspitasari","given":"Vania Evanita","non-dropping-particle":"","parse-names":false,"suffix":""},{"dropping-particle":"","family":"Yetty","given":"Fitri","non-dropping-particle":"","parse-names":false,"suffix":""},{"dropping-particle":"","family":"Nugraheni","given":"Siwi","non-dropping-particle":"","parse-names":false,"suffix":""}],"container-title":"Journal of Islamic Economics and Finance Studies","id":"ITEM-1","issue":"2","issued":{"date-parts":[["2021"]]},"page":"122","title":"Pengaruh Literasi Keuangan Syariah, Persepsi Imbal Hasil, dan Motivasi terhadap Minat Investasi di Pasar Modal Syariah","type":"article-journal","volume":"2"},"uris":["http://www.mendeley.com/documents/?uuid=e2493557-5f3f-4ed2-97ed-4ff88664ab9b"]}],"mendeley":{"formattedCitation":"Vania Evanita Puspitasari, Fitri Yetty, and Siwi Nugraheni, “Pengaruh Literasi Keuangan Syariah, Persepsi Imbal Hasil, Dan Motivasi Terhadap Minat Investasi Di Pasar Modal Syariah,” &lt;i&gt;Journal of Islamic Economics and Finance Studies&lt;/i&gt; 2, no. 2 (2021): 122, https://doi.org/10.47700/jiefes.v2i2.3292.","plainTextFormattedCitation":"Vania Evanita Puspitasari, Fitri Yetty, and Siwi Nugraheni, “Pengaruh Literasi Keuangan Syariah, Persepsi Imbal Hasil, Dan Motivasi Terhadap Minat Investasi Di Pasar Modal Syariah,” Journal of Islamic Economics and Finance Studies 2, no. 2 (2021): 122, https://doi.org/10.47700/jiefes.v2i2.3292.","previouslyFormattedCitation":"Vania Evanita Puspitasari, Fitri Yetty, and Siwi Nugraheni, “Pengaruh Literasi Keuangan Syariah, Persepsi Imbal Hasil, Dan Motivasi Terhadap Minat Investasi Di Pasar Modal Syariah,” &lt;i&gt;Journal of Islamic Economics and Finance Studies&lt;/i&gt; 2, no. 2 (2021): 122, https://doi.org/10.47700/jiefes.v2i2.3292."},"properties":{"noteIndex":11},"schema":"https://github.com/citation-style-language/schema/raw/master/csl-citation.json"}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 xml:space="preserve">Vania Evanita Puspitasari, Fitri Yetty, and Siwi Nugraheni, “Pengaruh Literasi Keuangan Syariah, Persepsi Imbal Hasil, Dan Motivasi Terhadap Minat Investasi Di Pasar Modal Syariah,” </w:t>
      </w:r>
      <w:r w:rsidRPr="00325C4B">
        <w:rPr>
          <w:rFonts w:asciiTheme="majorBidi" w:hAnsiTheme="majorBidi" w:cstheme="majorBidi"/>
          <w:i/>
          <w:noProof/>
        </w:rPr>
        <w:t>Journal of Islamic Economics and Finance Studies</w:t>
      </w:r>
      <w:r w:rsidRPr="00325C4B">
        <w:rPr>
          <w:rFonts w:asciiTheme="majorBidi" w:hAnsiTheme="majorBidi" w:cstheme="majorBidi"/>
          <w:noProof/>
        </w:rPr>
        <w:t xml:space="preserve"> 2, no. 2 (2021): 122, https://doi.org/10.47700/jiefes.v2i2.3292.</w:t>
      </w:r>
      <w:r w:rsidRPr="00325C4B">
        <w:rPr>
          <w:rFonts w:asciiTheme="majorBidi" w:hAnsiTheme="majorBidi" w:cstheme="majorBidi"/>
        </w:rPr>
        <w:fldChar w:fldCharType="end"/>
      </w:r>
      <w:r w:rsidRPr="00325C4B">
        <w:rPr>
          <w:rFonts w:asciiTheme="majorBidi" w:hAnsiTheme="majorBidi" w:cstheme="majorBidi"/>
        </w:rPr>
        <w:t>Hal.71</w:t>
      </w:r>
    </w:p>
  </w:footnote>
  <w:footnote w:id="12">
    <w:p w14:paraId="32FDA43F" w14:textId="5E671212" w:rsidR="00204906" w:rsidRPr="00325C4B" w:rsidRDefault="00204906" w:rsidP="00325C4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EB6351" w:rsidRPr="00325C4B">
        <w:rPr>
          <w:rFonts w:asciiTheme="majorBidi" w:hAnsiTheme="majorBidi" w:cstheme="majorBidi"/>
        </w:rPr>
        <w:instrText>ADDIN CSL_CITATION {"citationItems":[{"id":"ITEM-1","itemData":{"DOI":"10.47700/jiefes.v2i2.3292","ISSN":"2723-6730","abstract":"AbstractThe increase in the number of Indonesians Muslim population, sharia shares and the growth of sharia capital market assets are inversely proportional to the level of Islamic financial literacy and the Islamic capital market of the Indonesian population which is still very low than conventional based on the 2019 National Survey of Financial Literacy and Inclusion. This research aims to investigate the influence of Islamic financial literacy, perception of return, and motivation on investment interest in the Islamic capital market. The research method is quantitative with a sample of 150 Jabodetabek people who know about the Islamic capital market. Data was collected by questionnaire through google form. Analysis of the data used is multiple linear regression using SPSS version 25. The results of the research found that simultaneously there is an influence between Islamic financial literacy, perception of return, and motivation on investment interest. Partially, perception of return and motivation have a positive and significant effect, while Islamic financial literacy has no effect on investment interest. The results of the coefficient of determination test explained that the three independent variables influenced investment interest as much as 22%, the remaining 78% was the influence of independent variables outside the modelAbstrak Peningkatan jumlah penduduk muslim Indonesia dan jumlah saham syariah serta pertumbuhan aset pasar modal syariah berbanding terbalik dengan tingkat literasi keuangan syariah dan pasar modal syariah penduduk Indonesia yang masih sangat rendah daripada konvensional berdasarkan Survei Nasional Literasi dan Inklusi Keuangan tahun 2019. Kajian ini bertujuan untuk mengetahui pengaruh literasi keuangan syariah, persepsi imbal hasil, dan motivasi pada minat investasi di pasar modal syariah. Metode penelitian adalah kuantitatif dengan sampel 150 masyarakat Jabodetabek yang mengetahui tentang pasar modal syariah. Data dikumpulkan dengan kuesioner melalui google form. Analisis data yang digunakan yaitu regresi linier berganda menggunakan SPSS versi 25. Hasil kajian ditemukan bahwasanya secara simultan terdapat pengaruh antara literasi keuangan syariah, persepsi imbal hasil, dan motivasi pada minat investasi. Secara parsial, persepsi imbal hasil dan motivasi berpengaruh positif dan signifikan, sedangkan literasi keuangan syariah tidak berpengaruh pada minat investasi. Hasil uji koefisien determinasi dijelaskan bahwa ketiga variab…","author":[{"dropping-particle":"","family":"Puspitasari","given":"Vania Evanita","non-dropping-particle":"","parse-names":false,"suffix":""},{"dropping-particle":"","family":"Yetty","given":"Fitri","non-dropping-particle":"","parse-names":false,"suffix":""},{"dropping-particle":"","family":"Nugraheni","given":"Siwi","non-dropping-particle":"","parse-names":false,"suffix":""}],"container-title":"Journal of Islamic Economics and Finance Studies","id":"ITEM-1","issue":"2","issued":{"date-parts":[["2021"]]},"page":"122","title":"Pengaruh Literasi Keuangan Syariah, Persepsi Imbal Hasil, dan Motivasi terhadap Minat Investasi di Pasar Modal Syariah","type":"article-journal","volume":"2"},"uris":["http://www.mendeley.com/documents/?uuid=e2493557-5f3f-4ed2-97ed-4ff88664ab9b"]}],"mendeley":{"formattedCitation":"Puspitasari, Yetty, and Nugraheni.","plainTextFormattedCitation":"Puspitasari, Yetty, and Nugraheni.","previouslyFormattedCitation":"Puspitasari, Yetty, and Nugraheni."},"properties":{"noteIndex":12},"schema":"https://github.com/citation-style-language/schema/raw/master/csl-citation.json"}</w:instrText>
      </w:r>
      <w:r w:rsidRPr="00325C4B">
        <w:rPr>
          <w:rFonts w:asciiTheme="majorBidi" w:hAnsiTheme="majorBidi" w:cstheme="majorBidi"/>
        </w:rPr>
        <w:fldChar w:fldCharType="separate"/>
      </w:r>
      <w:r w:rsidR="00D125B0" w:rsidRPr="00325C4B">
        <w:rPr>
          <w:rFonts w:asciiTheme="majorBidi" w:hAnsiTheme="majorBidi" w:cstheme="majorBidi"/>
          <w:noProof/>
        </w:rPr>
        <w:t>Puspitasari, Yetty, and Nugraheni.</w:t>
      </w:r>
      <w:r w:rsidRPr="00325C4B">
        <w:rPr>
          <w:rFonts w:asciiTheme="majorBidi" w:hAnsiTheme="majorBidi" w:cstheme="majorBidi"/>
        </w:rPr>
        <w:fldChar w:fldCharType="end"/>
      </w:r>
      <w:r w:rsidRPr="00325C4B">
        <w:rPr>
          <w:rFonts w:asciiTheme="majorBidi" w:hAnsiTheme="majorBidi" w:cstheme="majorBidi"/>
        </w:rPr>
        <w:t>Hal.125</w:t>
      </w:r>
    </w:p>
  </w:footnote>
  <w:footnote w:id="13">
    <w:p w14:paraId="6A91BC06" w14:textId="757CDD47" w:rsidR="006D64F3" w:rsidRPr="00325C4B" w:rsidRDefault="006D64F3" w:rsidP="004A09EF">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6729D1">
        <w:rPr>
          <w:rFonts w:asciiTheme="majorBidi" w:hAnsiTheme="majorBidi" w:cstheme="majorBidi"/>
        </w:rPr>
        <w:instrText>ADDIN CSL_CITATION {"citationItems":[{"id":"ITEM-1","itemData":{"DOI":"10.24252/iqtisaduna.v11i","author":[{"dropping-particle":"","family":"Zannah","given":"Mitha Miftahul","non-dropping-particle":"","parse-names":false,"suffix":""},{"dropping-particle":"","family":"Abdul","given":"Imam","non-dropping-particle":"","parse-names":false,"suffix":""},{"dropping-particle":"","family":"Universitas","given":"Aziz","non-dropping-particle":"","parse-names":false,"suffix":""},{"dropping-particle":"","family":"Bogor","given":"Djuanda","non-dropping-particle":"","parse-names":false,"suffix":""}],"id":"ITEM-1","issued":{"date-parts":[["2025"]]},"page":"14-24","title":"Analisis Mitigasi Risiko Pembiayaan Bermasalah Pada PT BPRS Amanah Ummah KC Cicurug","type":"article-journal"},"uris":["http://www.mendeley.com/documents/?uuid=46a6559e-efd2-4d82-a1d4-db2ebae275f6"]}],"mendeley":{"formattedCitation":"Mitha Miftahul Zannah et al., “Analisis Mitigasi Risiko Pembiayaan Bermasalah Pada PT BPRS Amanah Ummah KC Cicurug,” 2025, 14–24, https://doi.org/10.24252/iqtisaduna.v11i.","plainTextFormattedCitation":"Mitha Miftahul Zannah et al., “Analisis Mitigasi Risiko Pembiayaan Bermasalah Pada PT BPRS Amanah Ummah KC Cicurug,” 2025, 14–24, https://doi.org/10.24252/iqtisaduna.v11i.","previouslyFormattedCitation":"Mitha Miftahul Zannah et al., “Analisis Mitigasi Risiko Pembiayaan Bermasalah Pada PT BPRS Amanah Ummah KC Cicurug,” 2025, 14–24, https://doi.org/10.24252/iqtisaduna.v11i."},"properties":{"noteIndex":13},"schema":"https://github.com/citation-style-language/schema/raw/master/csl-citation.json"}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Mitha Miftahul Zannah et al., “Analisis Mitigasi Risiko Pembiayaan Bermasalah Pada PT BPRS Amanah Ummah KC Cicurug,” 2025, 14–24, https://doi.org/10.24252/iqtisaduna.v11i.</w:t>
      </w:r>
      <w:r w:rsidRPr="00325C4B">
        <w:rPr>
          <w:rFonts w:asciiTheme="majorBidi" w:hAnsiTheme="majorBidi" w:cstheme="majorBidi"/>
        </w:rPr>
        <w:fldChar w:fldCharType="end"/>
      </w:r>
      <w:r w:rsidRPr="00325C4B">
        <w:rPr>
          <w:rFonts w:asciiTheme="majorBidi" w:hAnsiTheme="majorBidi" w:cstheme="majorBidi"/>
        </w:rPr>
        <w:t>Hal.15</w:t>
      </w:r>
    </w:p>
  </w:footnote>
  <w:footnote w:id="14">
    <w:p w14:paraId="225F2972" w14:textId="5FF31FB4" w:rsidR="00D125B0" w:rsidRPr="00325C4B" w:rsidRDefault="00D125B0" w:rsidP="004A09EF">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6729D1">
        <w:rPr>
          <w:rFonts w:asciiTheme="majorBidi" w:hAnsiTheme="majorBidi" w:cstheme="majorBidi"/>
        </w:rPr>
        <w:instrText>ADDIN CSL_CITATION {"citationItems":[{"id":"ITEM-1","itemData":{"DOI":"10.37726/ee.v3i1.34","ISSN":"2599-2708","abstract":"Manajemen likuiditas yang membahas mengenai posisi uang kas suatu bank dan kemampuannya untuk memenuhi kewajiban (membayar utang) tepat waktu. Manajemen likuiditas merupakan salah satu fungsi terpenting yang dilakukan oleh lembaga perbankan, dan bertujuan untuk mepelajari masalah resiko likuiditas dan harus bisa mengendalikan likuiditas dalam suatu perbankan syariah. Pentingnya penilaian atas likuiditas suatu bank, merupakan salah satu cara untuk bisa menentukan apakah bank tersebut dalam kondisi yang sehat, cukup sehat, kurang sehat, dan tidak sehat. Salah satu  penyebab kebangkrutan suatu bank adalah karena ketidak mampuannya dalam memenuhi kebutuhan likuiditasnya.","author":[{"dropping-particle":"","family":"Winanti","given":"Wiwin","non-dropping-particle":"","parse-names":false,"suffix":""}],"container-title":"EKSISBANK: Ekonomi Syariah dan Bisnis Perbankan","id":"ITEM-1","issue":"1","issued":{"date-parts":[["2019"]]},"page":"81-90","title":"Manajemen Risiko Likuiditas Pada Perbankan Syariah","type":"article-journal","volume":"3"},"uris":["http://www.mendeley.com/documents/?uuid=da56173b-16d6-4246-a129-8f42f2d548da"]}],"mendeley":{"formattedCitation":"Wiwin Winanti, “Manajemen Risiko Likuiditas Pada Perbankan Syariah,” &lt;i&gt;EKSISBANK: Ekonomi Syariah Dan Bisnis Perbankan&lt;/i&gt; 3, no. 1 (2019): 81–90, https://doi.org/10.37726/ee.v3i1.34.","plainTextFormattedCitation":"Wiwin Winanti, “Manajemen Risiko Likuiditas Pada Perbankan Syariah,” EKSISBANK: Ekonomi Syariah Dan Bisnis Perbankan 3, no. 1 (2019): 81–90, https://doi.org/10.37726/ee.v3i1.34.","previouslyFormattedCitation":"Wiwin Winanti, “Manajemen Risiko Likuiditas Pada Perbankan Syariah,” &lt;i&gt;EKSISBANK: Ekonomi Syariah Dan Bisnis Perbankan&lt;/i&gt; 3, no. 1 (2019): 81–90, https://doi.org/10.37726/ee.v3i1.34."},"properties":{"noteIndex":14},"schema":"https://github.com/citation-style-language/schema/raw/master/csl-citation.json"}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 xml:space="preserve">Wiwin Winanti, “Manajemen Risiko Likuiditas Pada Perbankan Syariah,” </w:t>
      </w:r>
      <w:r w:rsidRPr="00325C4B">
        <w:rPr>
          <w:rFonts w:asciiTheme="majorBidi" w:hAnsiTheme="majorBidi" w:cstheme="majorBidi"/>
          <w:i/>
          <w:noProof/>
        </w:rPr>
        <w:t>EKSISBANK: Ekonomi Syariah Dan Bisnis Perbankan</w:t>
      </w:r>
      <w:r w:rsidRPr="00325C4B">
        <w:rPr>
          <w:rFonts w:asciiTheme="majorBidi" w:hAnsiTheme="majorBidi" w:cstheme="majorBidi"/>
          <w:noProof/>
        </w:rPr>
        <w:t xml:space="preserve"> 3, no. 1 (2019): 81–90, https://doi.org/10.37726/ee.v3i1.34.</w:t>
      </w:r>
      <w:r w:rsidRPr="00325C4B">
        <w:rPr>
          <w:rFonts w:asciiTheme="majorBidi" w:hAnsiTheme="majorBidi" w:cstheme="majorBidi"/>
        </w:rPr>
        <w:fldChar w:fldCharType="end"/>
      </w:r>
      <w:r w:rsidRPr="00325C4B">
        <w:rPr>
          <w:rFonts w:asciiTheme="majorBidi" w:hAnsiTheme="majorBidi" w:cstheme="majorBidi"/>
          <w:lang w:val="sv-SE"/>
        </w:rPr>
        <w:t>Hal.82</w:t>
      </w:r>
    </w:p>
  </w:footnote>
  <w:footnote w:id="15">
    <w:p w14:paraId="2DC7DB6E" w14:textId="0B79FE13" w:rsidR="00D125B0" w:rsidRPr="00325C4B" w:rsidRDefault="00D125B0" w:rsidP="00325C4B">
      <w:pPr>
        <w:pStyle w:val="FootnoteText"/>
        <w:ind w:firstLine="720"/>
        <w:jc w:val="both"/>
        <w:rPr>
          <w:rFonts w:asciiTheme="majorBidi" w:hAnsiTheme="majorBidi" w:cstheme="majorBidi"/>
          <w:lang w:val="en-US"/>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6729D1">
        <w:rPr>
          <w:rFonts w:asciiTheme="majorBidi" w:hAnsiTheme="majorBidi" w:cstheme="majorBidi"/>
          <w:lang w:val="sv-SE"/>
        </w:rPr>
        <w:instrText>ADDIN CSL_CITATION {"citationItems":[{"id":"ITEM-1","itemData":{"DOI":"10.24127/jf.v4i1.589","ISSN":"2621-2439","abstract":"The research objective is to determine the risk of mudharabah deposit investment in Islamic banking measured by the VaR approach and to determine the rate of return on bank investment using mudharabah bank deposit funds measured by the RAROC approach. This type of research is a quantitative study and uses the VaR and RAROC measurement techniques. It is indicated that long-term investment using mudharabah deposits is more risky than short-term investments, this is indicated by the level of change in monthly returns that fluctuates significantly. But customers prefer long-term investments in mudharabah deposits marked by the amount of 12-month deposit funds that reach 35.63% of the total mudharabah deposit funds managed by the bank. This indicates that the customer chooses a long-term risk in order to get the maximum benefit. Risk Adjusted Return On Capital (RAROC) analysis describes the level of income earned by Islamic banks that has been adjusted to the risks that will occur, this shows that the income earned by the bank has not been able to cover the possible potential losses that will occur. The RAROC result shows the following figures for each year 20, -19, -4. The RAR value shows a positive overall number, which indicates that the bank is considered capable of controlling risks that can erode bank capital.","author":[{"dropping-particle":"","family":"Ningsih","given":"Nur Wahyu","non-dropping-particle":"","parse-names":false,"suffix":""},{"dropping-particle":"","family":"Ali","given":"Karnila","non-dropping-particle":"","parse-names":false,"suffix":""}],"container-title":"Fidusia : Jurnal Keuangan Dan Perbankan","id":"ITEM-1","issue":"1","issued":{"date-parts":[["2021"]]},"page":"30-42","title":"Risiko Dan Pengembalian Hasil Pada Investasi Deposito Mudharabah Bank Syariah","type":"article-journal","volume":"4"},"uris":["http://www.mendeley.com/documents/?uuid=458074cb-ec69-4793-97be-63e0c115302a"]}],"mendeley":{"formattedCitation":"Nur Wahyu Ningsih and Karnila Ali, “Risiko Dan Pengembalian Hasil Pada Investasi Deposito Mudharabah Bank Syariah,” &lt;i&gt;Fidusia : Jurnal Keuangan Dan Perbankan&lt;/i&gt; 4, no. 1 (2021): 30–42, https://doi.org/10.24127/jf.v4i1.589.","plainTextFormattedCitation":"Nur Wahyu Ningsih and Karnila Ali, “Risiko Dan Pengembalian Hasil Pada Investasi Deposito Mudharabah Bank Syariah,” Fidusia : Jurnal Keuangan Dan Perbankan 4, no. 1 (2021): 30–42, https://doi.org/10.24127/jf.v4i1.589.","previouslyFormattedCitation":"Nur Wahyu Ningsih and Karnila Ali, “Risiko Dan Pengembalian Hasil Pada Investasi Deposito Mudharabah Bank Syariah,” &lt;i&gt;Fidusia : Jurnal Keuangan Dan Perbankan&lt;/i&gt; 4, no. 1 (2021): 30–42, https://doi.org/10.24127/jf.v4i1.589."},"properties":{"noteIndex":15},"schema":"https://github.com/citation-style-language/schema/raw/master/csl-citation.json"}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sv-SE"/>
        </w:rPr>
        <w:t xml:space="preserve">Nur Wahyu Ningsih and Karnila Ali, “Risiko Dan Pengembalian Hasil Pada Investasi Deposito Mudharabah Bank Syariah,” </w:t>
      </w:r>
      <w:r w:rsidRPr="00325C4B">
        <w:rPr>
          <w:rFonts w:asciiTheme="majorBidi" w:hAnsiTheme="majorBidi" w:cstheme="majorBidi"/>
          <w:i/>
          <w:noProof/>
          <w:lang w:val="sv-SE"/>
        </w:rPr>
        <w:t>Fidusia : Jurnal Keuangan Dan Perbankan</w:t>
      </w:r>
      <w:r w:rsidRPr="00325C4B">
        <w:rPr>
          <w:rFonts w:asciiTheme="majorBidi" w:hAnsiTheme="majorBidi" w:cstheme="majorBidi"/>
          <w:noProof/>
          <w:lang w:val="sv-SE"/>
        </w:rPr>
        <w:t xml:space="preserve"> 4, no. 1 (2021): 30–42, https://doi.org/10.24127/jf.v4i1.589.</w:t>
      </w:r>
      <w:r w:rsidRPr="00325C4B">
        <w:rPr>
          <w:rFonts w:asciiTheme="majorBidi" w:hAnsiTheme="majorBidi" w:cstheme="majorBidi"/>
        </w:rPr>
        <w:fldChar w:fldCharType="end"/>
      </w:r>
      <w:r w:rsidRPr="00325C4B">
        <w:rPr>
          <w:rFonts w:asciiTheme="majorBidi" w:hAnsiTheme="majorBidi" w:cstheme="majorBidi"/>
        </w:rPr>
        <w:t>Hal.32</w:t>
      </w:r>
    </w:p>
  </w:footnote>
  <w:footnote w:id="16">
    <w:p w14:paraId="3D6DBB13" w14:textId="4E760D75" w:rsidR="00EB6351" w:rsidRPr="00325C4B" w:rsidRDefault="00EB6351" w:rsidP="00325C4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6729D1">
        <w:rPr>
          <w:rFonts w:asciiTheme="majorBidi" w:hAnsiTheme="majorBidi" w:cstheme="majorBidi"/>
        </w:rPr>
        <w:instrText>ADDIN CSL_CITATION {"citationItems":[{"id":"ITEM-1","itemData":{"DOI":"10.46367/jas.v6i1.505","ISSN":"25493086","abstract":"This study aims to show the effect of profit-sharing, promotion costs, operational efficiency, and company size on the number of mudharabah deposits. This study includes quantitative using secondary data from Islamic commercial banks (ICB). The population of this study is ICB registered with the financial services authority (FSA) in 2015-2020. The sample selection used the purposive sampling technique. The sample was obtained from as many as 8 ICB for six years, so the total data was 48. The data analysis method used multiple linear regression with the help of e-views software. The results showed that profit sharing and company size positively and significantly affected the number of mudharabah deposits. Promotion costs and operational efficiency do not affect the number of mudharabah deposits. Simultaneously profit-sharing, promotion costs, operational efficiency, and company size affect the number of mudharabah deposits. This study can be a reference for ICB management in improving its performance, especially in enlarging ICB. Then increase the profit-sharing customers receive, so customers are more interested in depositing their funds in the ICB.","author":[{"dropping-particle":"","family":"Sifki","given":"Nurhidayatus","non-dropping-particle":"","parse-names":false,"suffix":""},{"dropping-particle":"","family":"Dalimunthe","given":"Ibram Pinondang","non-dropping-particle":"","parse-names":false,"suffix":""}],"container-title":"JAS (Jurnal Akuntansi Syariah)","id":"ITEM-1","issue":"1","issued":{"date-parts":[["2022"]]},"page":"28-44","title":"Pengaruh Bagi Hasil, Biaya Promosi, Efisiensi Operasional Dan Ukuran Perusahaan Terhadap Jumlah Deposito Mudharabah","type":"article-journal","volume":"6"},"uris":["http://www.mendeley.com/documents/?uuid=5cc90624-910f-4d2a-9818-47738b9ec39a"]}],"mendeley":{"formattedCitation":"Nurhidayatus Sifki and Ibram Pinondang Dalimunthe, “Pengaruh Bagi Hasil, Biaya Promosi, Efisiensi Operasional Dan Ukuran Perusahaan Terhadap Jumlah Deposito Mudharabah,” &lt;i&gt;JAS (Jurnal Akuntansi Syariah)&lt;/i&gt; 6, no. 1 (2022): 28–44, https://doi.org/10.46367/jas.v6i1.505.","plainTextFormattedCitation":"Nurhidayatus Sifki and Ibram Pinondang Dalimunthe, “Pengaruh Bagi Hasil, Biaya Promosi, Efisiensi Operasional Dan Ukuran Perusahaan Terhadap Jumlah Deposito Mudharabah,” JAS (Jurnal Akuntansi Syariah) 6, no. 1 (2022): 28–44, https://doi.org/10.46367/jas.v6i1.505.","previouslyFormattedCitation":"Nurhidayatus Sifki and Ibram Pinondang Dalimunthe, “Pengaruh Bagi Hasil, Biaya Promosi, Efisiensi Operasional Dan Ukuran Perusahaan Terhadap Jumlah Deposito Mudharabah,” &lt;i&gt;JAS (Jurnal Akuntansi Syariah)&lt;/i&gt; 6, no. 1 (2022): 28–44, https://doi.org/10.46367/jas.v6i1.505."},"properties":{"noteIndex":16},"schema":"https://github.com/citation-style-language/schema/raw/master/csl-citation.json"}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rPr>
        <w:t xml:space="preserve">Nurhidayatus Sifki and Ibram Pinondang Dalimunthe, “Pengaruh Bagi Hasil, Biaya Promosi, Efisiensi Operasional Dan Ukuran Perusahaan Terhadap Jumlah Deposito Mudharabah,” </w:t>
      </w:r>
      <w:r w:rsidRPr="00325C4B">
        <w:rPr>
          <w:rFonts w:asciiTheme="majorBidi" w:hAnsiTheme="majorBidi" w:cstheme="majorBidi"/>
          <w:i/>
          <w:noProof/>
        </w:rPr>
        <w:t>JAS (Jurnal Akuntansi Syariah)</w:t>
      </w:r>
      <w:r w:rsidRPr="00325C4B">
        <w:rPr>
          <w:rFonts w:asciiTheme="majorBidi" w:hAnsiTheme="majorBidi" w:cstheme="majorBidi"/>
          <w:noProof/>
        </w:rPr>
        <w:t xml:space="preserve"> 6, no. 1 (2022): 28–44, https://doi.org/10.46367/jas.v6i1.505.</w:t>
      </w:r>
      <w:r w:rsidRPr="00325C4B">
        <w:rPr>
          <w:rFonts w:asciiTheme="majorBidi" w:hAnsiTheme="majorBidi" w:cstheme="majorBidi"/>
        </w:rPr>
        <w:fldChar w:fldCharType="end"/>
      </w:r>
      <w:r w:rsidRPr="00325C4B">
        <w:rPr>
          <w:rFonts w:asciiTheme="majorBidi" w:hAnsiTheme="majorBidi" w:cstheme="majorBidi"/>
        </w:rPr>
        <w:t>Hal.31</w:t>
      </w:r>
    </w:p>
  </w:footnote>
  <w:footnote w:id="17">
    <w:p w14:paraId="59333A3A" w14:textId="11892050" w:rsidR="00F76794" w:rsidRPr="00F76794" w:rsidRDefault="00F76794" w:rsidP="004D4B36">
      <w:pPr>
        <w:pStyle w:val="FootnoteText"/>
        <w:ind w:firstLine="720"/>
        <w:jc w:val="both"/>
        <w:rPr>
          <w:rFonts w:asciiTheme="majorBidi" w:hAnsiTheme="majorBidi" w:cstheme="majorBidi"/>
        </w:rPr>
      </w:pPr>
      <w:r w:rsidRPr="00F76794">
        <w:rPr>
          <w:rStyle w:val="FootnoteReference"/>
          <w:rFonts w:asciiTheme="majorBidi" w:hAnsiTheme="majorBidi" w:cstheme="majorBidi"/>
        </w:rPr>
        <w:footnoteRef/>
      </w:r>
      <w:r w:rsidRPr="00F76794">
        <w:rPr>
          <w:rFonts w:asciiTheme="majorBidi" w:hAnsiTheme="majorBidi" w:cstheme="majorBidi"/>
        </w:rPr>
        <w:t xml:space="preserve"> </w:t>
      </w:r>
      <w:r w:rsidRPr="00F76794">
        <w:rPr>
          <w:rFonts w:asciiTheme="majorBidi" w:hAnsiTheme="majorBidi" w:cstheme="majorBidi"/>
        </w:rPr>
        <w:fldChar w:fldCharType="begin" w:fldLock="1"/>
      </w:r>
      <w:r w:rsidR="004D4B36">
        <w:rPr>
          <w:rFonts w:asciiTheme="majorBidi" w:hAnsiTheme="majorBidi" w:cstheme="majorBidi"/>
        </w:rPr>
        <w:instrText>ADDIN CSL_CITATION {"citationItems":[{"id":"ITEM-1","itemData":{"DOI":"10.15408/ess.v5i1.2333","ISSN":"2087-2038","abstract":"Level of profit sharing given by Islamic Banks which is one factor public appeal to save funds in the products of Islamic Banks but in level of profit sharing for giving of Islamic Banks still refers to the rate of Conventional Banks. Still referring to Conventional Bank interest rates make people still think that the same Islamic Banks with Conventional Banks. This research purpose to analyze the effect of financial ratios and interest rate to the level of profit sharing of mudharabah deposits Islamic Banks in Indonesia. The population used is the quarterly financial statements throughout Islamic Banks in Indonesia 2011-2013. Selection of the samples tested in this study using purposive sampling method, 6 selected Islamic Banks. Analysis tools in this study is used multiple regression analysis using SPSS 19.0 software. The variables used in this study are Return On Asset (ROA), BOPO, Interest Rate, Financing To Deposits Ratio (FDR) and Non Performing Financing (NPF) as the independent variable, and level of profit sharing mudaraba deposits as the dependent variable. Partial results show that Return On Asset (ROA) and Financing To Deposits Ratio (FDR) significant positive effect on level of profit sharing mudaraba deposits while the BOPO, Interest Rate and Non Performing Financing (NPF) have no effect.","author":[{"dropping-particle":"","family":"Novianti","given":"Nana","non-dropping-particle":"","parse-names":false,"suffix":""},{"dropping-particle":"","family":"Badina","given":"Tenny","non-dropping-particle":"","parse-names":false,"suffix":""},{"dropping-particle":"","family":"Erlangga","given":"Aditia","non-dropping-particle":"","parse-names":false,"suffix":""}],"container-title":"Esensi","id":"ITEM-1","issue":"1","issued":{"date-parts":[["2016"]]},"page":"65-86","title":"Analisis Pengaruh Return On Asset (ROA), Biaya Operasional Terhadap Pendapatan Operasional (BOPO), Suku Bunga, Financing To Deposits Ratio (FDR) Dan Non Performing Financing (NPF) Terhadap Tingkat Bagi Hasil Deposito Mudharabah (Studi Empiris pada Bank Um","type":"article-journal","volume":"5"},"uris":["http://www.mendeley.com/documents/?uuid=04f6d8b0-45e2-40d0-96bd-343af232f9aa"]}],"mendeley":{"formattedCitation":"Nana Novianti, Tenny Badina, and Aditia Erlangga, “Analisis Pengaruh Return On Asset (ROA), Biaya Operasional Terhadap Pendapatan Operasional (BOPO), Suku Bunga, Financing To Deposits Ratio (FDR) Dan Non Performing Financing (NPF) Terhadap Tingkat Bagi Hasil Deposito Mudharabah (Studi Empiris Pada Bank Um,” &lt;i&gt;Esensi&lt;/i&gt; 5, no. 1 (2016): 65–86, https://doi.org/10.15408/ess.v5i1.2333.","plainTextFormattedCitation":"Nana Novianti, Tenny Badina, and Aditia Erlangga, “Analisis Pengaruh Return On Asset (ROA), Biaya Operasional Terhadap Pendapatan Operasional (BOPO), Suku Bunga, Financing To Deposits Ratio (FDR) Dan Non Performing Financing (NPF) Terhadap Tingkat Bagi Hasil Deposito Mudharabah (Studi Empiris Pada Bank Um,” Esensi 5, no. 1 (2016): 65–86, https://doi.org/10.15408/ess.v5i1.2333.","previouslyFormattedCitation":"Nana Novianti, Tenny Badina, and Aditia Erlangga, “Analisis Pengaruh Return On Asset (ROA), Biaya Operasional Terhadap Pendapatan Operasional (BOPO), Suku Bunga, Financing To Deposits Ratio (FDR) Dan Non Performing Financing (NPF) Terhadap Tingkat Bagi Hasil Deposito Mudharabah (Studi Empiris Pada Bank Um,” &lt;i&gt;Esensi&lt;/i&gt; 5, no. 1 (2016): 65–86, https://doi.org/10.15408/ess.v5i1.2333."},"properties":{"noteIndex":17},"schema":"https://github.com/citation-style-language/schema/raw/master/csl-citation.json"}</w:instrText>
      </w:r>
      <w:r w:rsidRPr="00F76794">
        <w:rPr>
          <w:rFonts w:asciiTheme="majorBidi" w:hAnsiTheme="majorBidi" w:cstheme="majorBidi"/>
        </w:rPr>
        <w:fldChar w:fldCharType="separate"/>
      </w:r>
      <w:r w:rsidRPr="00F76794">
        <w:rPr>
          <w:rFonts w:asciiTheme="majorBidi" w:hAnsiTheme="majorBidi" w:cstheme="majorBidi"/>
          <w:noProof/>
        </w:rPr>
        <w:t xml:space="preserve">Nana Novianti, Tenny Badina, and Aditia Erlangga, “Analisis Pengaruh Return On Asset (ROA), Biaya Operasional Terhadap Pendapatan Operasional (BOPO), Suku Bunga, Financing To Deposits Ratio (FDR) Dan Non Performing Financing (NPF) Terhadap Tingkat Bagi Hasil Deposito Mudharabah (Studi Empiris Pada Bank Um,” </w:t>
      </w:r>
      <w:r w:rsidRPr="00F76794">
        <w:rPr>
          <w:rFonts w:asciiTheme="majorBidi" w:hAnsiTheme="majorBidi" w:cstheme="majorBidi"/>
          <w:i/>
          <w:noProof/>
        </w:rPr>
        <w:t>Esensi</w:t>
      </w:r>
      <w:r w:rsidRPr="00F76794">
        <w:rPr>
          <w:rFonts w:asciiTheme="majorBidi" w:hAnsiTheme="majorBidi" w:cstheme="majorBidi"/>
          <w:noProof/>
        </w:rPr>
        <w:t xml:space="preserve"> 5, no. 1 (2016): 65–86, https://doi.org/10.15408/ess.v5i1.2333.</w:t>
      </w:r>
      <w:r w:rsidRPr="00F76794">
        <w:rPr>
          <w:rFonts w:asciiTheme="majorBidi" w:hAnsiTheme="majorBidi" w:cstheme="majorBidi"/>
        </w:rPr>
        <w:fldChar w:fldCharType="end"/>
      </w:r>
      <w:r w:rsidRPr="00F76794">
        <w:rPr>
          <w:rFonts w:asciiTheme="majorBidi" w:hAnsiTheme="majorBidi" w:cstheme="majorBidi"/>
        </w:rPr>
        <w:t xml:space="preserve"> Hal.71</w:t>
      </w:r>
    </w:p>
  </w:footnote>
  <w:footnote w:id="18">
    <w:p w14:paraId="0C9DD8A1" w14:textId="2F34AA8C" w:rsidR="004D4B36" w:rsidRPr="00E15FD7" w:rsidRDefault="004D4B36" w:rsidP="00E15FD7">
      <w:pPr>
        <w:pStyle w:val="FootnoteText"/>
        <w:ind w:firstLine="720"/>
        <w:jc w:val="both"/>
        <w:rPr>
          <w:rFonts w:asciiTheme="majorBidi" w:hAnsiTheme="majorBidi" w:cstheme="majorBidi"/>
          <w:lang w:val="en-US"/>
        </w:rPr>
      </w:pPr>
      <w:r w:rsidRPr="00E15FD7">
        <w:rPr>
          <w:rStyle w:val="FootnoteReference"/>
          <w:rFonts w:asciiTheme="majorBidi" w:hAnsiTheme="majorBidi" w:cstheme="majorBidi"/>
        </w:rPr>
        <w:footnoteRef/>
      </w:r>
      <w:r w:rsidRPr="00FD3B66">
        <w:rPr>
          <w:rFonts w:asciiTheme="majorBidi" w:hAnsiTheme="majorBidi" w:cstheme="majorBidi"/>
        </w:rPr>
        <w:t xml:space="preserve"> </w:t>
      </w:r>
      <w:r w:rsidRPr="00E15FD7">
        <w:rPr>
          <w:rFonts w:asciiTheme="majorBidi" w:hAnsiTheme="majorBidi" w:cstheme="majorBidi"/>
        </w:rPr>
        <w:fldChar w:fldCharType="begin" w:fldLock="1"/>
      </w:r>
      <w:r w:rsidR="00E15FD7" w:rsidRPr="00FD3B66">
        <w:rPr>
          <w:rFonts w:asciiTheme="majorBidi" w:hAnsiTheme="majorBidi" w:cstheme="majorBidi"/>
        </w:rPr>
        <w:instrText>ADDIN CSL_CITATION {"citationItems":[{"id":"ITEM-1","itemData":{"ISSN":"2581-1002","abstract":"Abstrak The purpose of this study is to examine the effect of bank performance, solvability, liquidity, and non performing financing to ward the liquidity risk in sharia bank in Indonesia from 2011 to 2015. In this research, there were 11 sharia banks in total that were taken as sample. These banks published annual report during 2011 to 2015. The type of data used was secondary data. In order to get the result of this research, the author has examined the form of financial statements of sharia banks which had 55 financial statements in five years. Furthermore, the hypothesis testing used was multiple linear regression test.Bank performance was measured by using CAR, meanwhile solvability was measured by using DER, and the last one, liquidity, was measured by using FDR. The results of this study showed that capital adequacy ratio, debt to equity ratio, financing to deposit ratio, and non performing financing affected the liquidity risk simultaneously. Capital adequacy ratio, financing to deposit ratio, and non performing financing partially have a positive and significant impact on liquidity risk, while debt to equity ratio has a negative and significant effect on liquidity risk.","author":[{"dropping-particle":"","family":"Dini Monisa","given":"Cut","non-dropping-particle":"","parse-names":false,"suffix":""},{"dropping-particle":"","family":"Fadhlia","given":"Wida","non-dropping-particle":"","parse-names":false,"suffix":""}],"container-title":"Jurnal Ilmiah Mahasiswa Ekonomi Akuntansi (JIMEKA)","id":"ITEM-1","issue":"1","issued":{"date-parts":[["2018"]]},"page":"1","title":"Pengaruh Kinerja Bank, Solvabilitas, Likuiditas Dan Non Performing Financing Terhadap Risiko Likuiditas Pada Bank Umum Syariah Di Indonesia","type":"article-journal","volume":"3"},"uris":["http://www.mendeley.com/documents/?uuid=7f15429e-7448-4014-bf49-2431174df4df"]}],"mendeley":{"formattedCitation":"Cut Dini Monisa and Wida Fadhlia, “Pengaruh Kinerja Bank, Solvabilitas, Likuiditas Dan Non Performing Financing Terhadap Risiko Likuiditas Pada Bank Umum Syariah Di Indonesia,” &lt;i&gt;Jurnal Ilmiah Mahasiswa Ekonomi Akuntansi (JIMEKA)&lt;/i&gt; 3, no. 1 (2018): 1.","plainTextFormattedCitation":"Cut Dini Monisa and Wida Fadhlia, “Pengaruh Kinerja Bank, Solvabilitas, Likuiditas Dan Non Performing Financing Terhadap Risiko Likuiditas Pada Bank Umum Syariah Di Indonesia,” Jurnal Ilmiah Mahasiswa Ekonomi Akuntansi (JIMEKA) 3, no. 1 (2018): 1.","previouslyFormattedCitation":"Cut Dini Monisa and Wida Fadhlia, “Pengaruh Kinerja Bank, Solvabilitas, Likuiditas Dan Non Performing Financing Terhadap Risiko Likuiditas Pada Bank Umum Syariah Di Indonesia,” &lt;i&gt;Jurnal Ilmiah Mahasiswa Ekonomi Akuntansi (JIMEKA)&lt;/i&gt; 3, no. 1 (2018): 1."},"properties":{"noteIndex":18},"schema":"https://github.com/citation-style-language/schema/raw/master/csl-citation.json"}</w:instrText>
      </w:r>
      <w:r w:rsidRPr="00E15FD7">
        <w:rPr>
          <w:rFonts w:asciiTheme="majorBidi" w:hAnsiTheme="majorBidi" w:cstheme="majorBidi"/>
        </w:rPr>
        <w:fldChar w:fldCharType="separate"/>
      </w:r>
      <w:r w:rsidRPr="00FD3B66">
        <w:rPr>
          <w:rFonts w:asciiTheme="majorBidi" w:hAnsiTheme="majorBidi" w:cstheme="majorBidi"/>
          <w:noProof/>
        </w:rPr>
        <w:t xml:space="preserve">Cut Dini Monisa and Wida Fadhlia, “Pengaruh Kinerja Bank, Solvabilitas, Likuiditas Dan Non Performing Financing Terhadap Risiko Likuiditas Pada Bank Umum Syariah Di Indonesia,” </w:t>
      </w:r>
      <w:r w:rsidRPr="00FD3B66">
        <w:rPr>
          <w:rFonts w:asciiTheme="majorBidi" w:hAnsiTheme="majorBidi" w:cstheme="majorBidi"/>
          <w:i/>
          <w:noProof/>
        </w:rPr>
        <w:t>Jurnal Ilmiah Mahasiswa Ekonomi Akuntansi (JIMEKA)</w:t>
      </w:r>
      <w:r w:rsidRPr="00FD3B66">
        <w:rPr>
          <w:rFonts w:asciiTheme="majorBidi" w:hAnsiTheme="majorBidi" w:cstheme="majorBidi"/>
          <w:noProof/>
        </w:rPr>
        <w:t xml:space="preserve"> 3, no. 1 (2018): 1.</w:t>
      </w:r>
      <w:r w:rsidRPr="00E15FD7">
        <w:rPr>
          <w:rFonts w:asciiTheme="majorBidi" w:hAnsiTheme="majorBidi" w:cstheme="majorBidi"/>
        </w:rPr>
        <w:fldChar w:fldCharType="end"/>
      </w:r>
      <w:r w:rsidRPr="00FD3B66">
        <w:rPr>
          <w:rFonts w:asciiTheme="majorBidi" w:hAnsiTheme="majorBidi" w:cstheme="majorBidi"/>
        </w:rPr>
        <w:t xml:space="preserve"> </w:t>
      </w:r>
      <w:r w:rsidRPr="00E15FD7">
        <w:rPr>
          <w:rFonts w:asciiTheme="majorBidi" w:hAnsiTheme="majorBidi" w:cstheme="majorBidi"/>
        </w:rPr>
        <w:t>Hal.146</w:t>
      </w:r>
    </w:p>
  </w:footnote>
  <w:footnote w:id="19">
    <w:p w14:paraId="0DA02051" w14:textId="58BF8D9F" w:rsidR="00DA36D0" w:rsidRPr="00325C4B" w:rsidRDefault="00DA36D0" w:rsidP="00325C4B">
      <w:pPr>
        <w:pStyle w:val="FootnoteText"/>
        <w:ind w:firstLine="720"/>
        <w:jc w:val="both"/>
        <w:rPr>
          <w:rFonts w:asciiTheme="majorBidi" w:hAnsiTheme="majorBidi" w:cstheme="majorBidi"/>
          <w:lang w:val="en-US"/>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000D5FFF" w:rsidRPr="00325C4B">
        <w:rPr>
          <w:rFonts w:asciiTheme="majorBidi" w:hAnsiTheme="majorBidi" w:cstheme="majorBidi"/>
        </w:rPr>
        <w:fldChar w:fldCharType="begin" w:fldLock="1"/>
      </w:r>
      <w:r w:rsidR="00B1250B">
        <w:rPr>
          <w:rFonts w:asciiTheme="majorBidi" w:hAnsiTheme="majorBidi" w:cstheme="majorBidi"/>
        </w:rPr>
        <w:instrText>ADDIN CSL_CITATION {"citationItems":[{"id":"ITEM-1","itemData":{"DOI":"10.22373/jihbiz.v4i1.12431","abstract":"Penelitian ini bertujuan untuk mengetahui pengaruh Inflasi, Tingkat Bagi Hasil, Non Performing Financing (NPF), serta Produk Domestik Bruto (PDB) terhadap simpanan mudharabah pada bank umum syariah di Indonesia. Subyek penelitian ini ialah seluruh bank syariah yang terdaftar di Otoritas Jasa Keuangan (OJK) selama periode 2013-2019. Sampel penelitian ini menggunakan teknik purposive sampling. Metode analisis data yang digunakan dalam penelitian ini yaitu regresi linier berganda. Hasil penelitian ini secara parsial (uji t) Inflasi dan Tingkat Bagi Hasil berpengaruh signifikan terhadap deposito mudharabah. Sedangkan rasio Non Performing Financing (NPF) serta Produk Domestik Bruto (PDB) tidak memiliki pengaruh terhadap deposito mudharabah. Secara simultan (Uji F) menunjukkan bahwa Inflasi, Tingkat Bagi Hasil, Non Performing Financing (NPF), serta Produk Domestik Bruto (PDB) secara simultan memiliki pengaruh terhadap deposito mudhrabah. ","author":[{"dropping-particle":"","family":"Kumalasari","given":"Novia Anindita","non-dropping-particle":"","parse-names":false,"suffix":""},{"dropping-particle":"","family":"Zulpahmi","given":"Zulpahmi","non-dropping-particle":"","parse-names":false,"suffix":""},{"dropping-particle":"","family":"Nurhayadi","given":"Yadi","non-dropping-particle":"","parse-names":false,"suffix":""}],"container-title":"Jihbiz: Global Journal of Islamic Banking and Finance","id":"ITEM-1","issue":"1","issued":{"date-parts":[["2022"]]},"page":"56","title":"Pengaruh Inflasi, Tingkat Bagi Hasil, Non Performing Financing, Dan Produk Domestik Bruto Terhadap Deposito Mudharabah Pada Bank Umum Syariah Di Indonesia","type":"article-journal","volume":"4"},"uris":["http://www.mendeley.com/documents/?uuid=33a73a06-e497-43ec-a3ce-9fe56fdb2a4d"]}],"mendeley":{"formattedCitation":"Novia Anindita Kumalasari, Zulpahmi Zulpahmi, and Yadi Nurhayadi, “Pengaruh Inflasi, Tingkat Bagi Hasil, Non Performing Financing, Dan Produk Domestik Bruto Terhadap Deposito Mudharabah Pada Bank Umum Syariah Di Indonesia,” &lt;i&gt;Jihbiz: Global Journal of Islamic Banking and Finance&lt;/i&gt; 4, no. 1 (2022): 56, https://doi.org/10.22373/jihbiz.v4i1.12431.","plainTextFormattedCitation":"Novia Anindita Kumalasari, Zulpahmi Zulpahmi, and Yadi Nurhayadi, “Pengaruh Inflasi, Tingkat Bagi Hasil, Non Performing Financing, Dan Produk Domestik Bruto Terhadap Deposito Mudharabah Pada Bank Umum Syariah Di Indonesia,” Jihbiz: Global Journal of Islamic Banking and Finance 4, no. 1 (2022): 56, https://doi.org/10.22373/jihbiz.v4i1.12431.","previouslyFormattedCitation":"Novia Anindita Kumalasari, Zulpahmi Zulpahmi, and Yadi Nurhayadi, “Pengaruh Inflasi, Tingkat Bagi Hasil, Non Performing Financing, Dan Produk Domestik Bruto Terhadap Deposito Mudharabah Pada Bank Umum Syariah Di Indonesia,” &lt;i&gt;Jihbiz: Global Journal of Islamic Banking and Finance&lt;/i&gt; 4, no. 1 (2022): 56, https://doi.org/10.22373/jihbiz.v4i1.12431."},"properties":{"noteIndex":19},"schema":"https://github.com/citation-style-language/schema/raw/master/csl-citation.json"}</w:instrText>
      </w:r>
      <w:r w:rsidR="000D5FFF" w:rsidRPr="00325C4B">
        <w:rPr>
          <w:rFonts w:asciiTheme="majorBidi" w:hAnsiTheme="majorBidi" w:cstheme="majorBidi"/>
        </w:rPr>
        <w:fldChar w:fldCharType="separate"/>
      </w:r>
      <w:r w:rsidR="000D5FFF" w:rsidRPr="00325C4B">
        <w:rPr>
          <w:rFonts w:asciiTheme="majorBidi" w:hAnsiTheme="majorBidi" w:cstheme="majorBidi"/>
          <w:noProof/>
        </w:rPr>
        <w:t xml:space="preserve">Novia Anindita Kumalasari, Zulpahmi Zulpahmi, and Yadi Nurhayadi, “Pengaruh Inflasi, Tingkat Bagi Hasil, Non Performing Financing, Dan Produk Domestik Bruto Terhadap Deposito Mudharabah Pada Bank Umum Syariah Di Indonesia,” </w:t>
      </w:r>
      <w:r w:rsidR="000D5FFF" w:rsidRPr="00325C4B">
        <w:rPr>
          <w:rFonts w:asciiTheme="majorBidi" w:hAnsiTheme="majorBidi" w:cstheme="majorBidi"/>
          <w:i/>
          <w:noProof/>
        </w:rPr>
        <w:t>Jihbiz: Global Journal of Islamic Banking and Finance</w:t>
      </w:r>
      <w:r w:rsidR="000D5FFF" w:rsidRPr="00325C4B">
        <w:rPr>
          <w:rFonts w:asciiTheme="majorBidi" w:hAnsiTheme="majorBidi" w:cstheme="majorBidi"/>
          <w:noProof/>
        </w:rPr>
        <w:t xml:space="preserve"> 4, no. 1 (2022): 56, https://doi.org/10.22373/jihbiz.v4i1.12431.</w:t>
      </w:r>
      <w:r w:rsidR="000D5FFF" w:rsidRPr="00325C4B">
        <w:rPr>
          <w:rFonts w:asciiTheme="majorBidi" w:hAnsiTheme="majorBidi" w:cstheme="majorBidi"/>
        </w:rPr>
        <w:fldChar w:fldCharType="end"/>
      </w:r>
      <w:r w:rsidR="000D5FFF" w:rsidRPr="00325C4B">
        <w:rPr>
          <w:rFonts w:asciiTheme="majorBidi" w:hAnsiTheme="majorBidi" w:cstheme="majorBidi"/>
        </w:rPr>
        <w:t xml:space="preserve"> Hal.68</w:t>
      </w:r>
    </w:p>
  </w:footnote>
  <w:footnote w:id="20">
    <w:p w14:paraId="1B829682" w14:textId="4E546086" w:rsidR="00780318" w:rsidRPr="00325C4B" w:rsidRDefault="00780318" w:rsidP="00325C4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002E7062" w:rsidRPr="00325C4B">
        <w:rPr>
          <w:rFonts w:asciiTheme="majorBidi" w:hAnsiTheme="majorBidi" w:cstheme="majorBidi"/>
        </w:rPr>
        <w:fldChar w:fldCharType="begin" w:fldLock="1"/>
      </w:r>
      <w:r w:rsidR="00711EBA">
        <w:rPr>
          <w:rFonts w:asciiTheme="majorBidi" w:hAnsiTheme="majorBidi" w:cstheme="majorBidi"/>
        </w:rPr>
        <w:instrText>ADDIN CSL_CITATION {"citationItems":[{"id":"ITEM-1","itemData":{"DOI":"10.37481/sjr.v4i3.334","ISSN":"2615-3009","abstract":"This study aims to determine the effect of capital adequacy, problematic financing, profit sharing and inflation rates on Mudharabah deposits in Islamic commercial banks. There are 5 samples in this study that meet the criteria, namely Bank Jabar Banten Syariah, Panin Dubai Syariah Bank, Bukopin Syariah Bank, BCA Syariah and Maybank Syariah Indonesia. The analytical tool used is panel data regression analysis. The chosen model is Random Effect which is tested by F test and t test, with a significance level of 5%. From the results of the analysis, it is known that simultaneous Capital Adequacy, Problem Financing, Profit Sharing and Inflation Rate have a significant effect on Mudharabah Deposits. Partially Capital Adequacy, Problem Financing and Inflation Rate have no significant effect on Mudharabah Deposits while Profit Sharing has a positive and significant effect on Mudharabah Deposits.","author":[{"dropping-particle":"","family":"Nurhidayah","given":"Wilda","non-dropping-particle":"","parse-names":false,"suffix":""},{"dropping-particle":"","family":"Amaliyah","given":"Amaliyah","non-dropping-particle":"","parse-names":false,"suffix":""}],"container-title":"SCIENTIFIC JOURNAL OF REFLECTION : Economic, Accounting, Management and Business","id":"ITEM-1","issue":"3","issued":{"date-parts":[["2021"]]},"page":"550-558","title":"Pengaruh Kecukupan Modal, Pembiayaan Bermasalah, Bagi Hasil Dan Tingkat Inflasi Terhadap Deposito Mudharabah Pada Bank Umum Syariah","type":"article-journal","volume":"4"},"uris":["http://www.mendeley.com/documents/?uuid=ddae0bef-4911-402b-9d39-ac10be743883"]}],"mendeley":{"formattedCitation":"Wilda Nurhidayah and Amaliyah Amaliyah, “Pengaruh Kecukupan Modal, Pembiayaan Bermasalah, Bagi Hasil Dan Tingkat Inflasi Terhadap Deposito Mudharabah Pada Bank Umum Syariah,” &lt;i&gt;SCIENTIFIC JOURNAL OF REFLECTION : Economic, Accounting, Management and Business&lt;/i&gt; 4, no. 3 (2021): 550–58, https://doi.org/10.37481/sjr.v4i3.334.","plainTextFormattedCitation":"Wilda Nurhidayah and Amaliyah Amaliyah, “Pengaruh Kecukupan Modal, Pembiayaan Bermasalah, Bagi Hasil Dan Tingkat Inflasi Terhadap Deposito Mudharabah Pada Bank Umum Syariah,” SCIENTIFIC JOURNAL OF REFLECTION : Economic, Accounting, Management and Business 4, no. 3 (2021): 550–58, https://doi.org/10.37481/sjr.v4i3.334.","previouslyFormattedCitation":"Wilda Nurhidayah and Amaliyah Amaliyah, “Pengaruh Kecukupan Modal, Pembiayaan Bermasalah, Bagi Hasil Dan Tingkat Inflasi Terhadap Deposito Mudharabah Pada Bank Umum Syariah,” &lt;i&gt;SCIENTIFIC JOURNAL OF REFLECTION : Economic, Accounting, Management and Business&lt;/i&gt; 4, no. 3 (2021): 550–58, https://doi.org/10.37481/sjr.v4i3.334."},"properties":{"noteIndex":20},"schema":"https://github.com/citation-style-language/schema/raw/master/csl-citation.json"}</w:instrText>
      </w:r>
      <w:r w:rsidR="002E7062" w:rsidRPr="00325C4B">
        <w:rPr>
          <w:rFonts w:asciiTheme="majorBidi" w:hAnsiTheme="majorBidi" w:cstheme="majorBidi"/>
        </w:rPr>
        <w:fldChar w:fldCharType="separate"/>
      </w:r>
      <w:r w:rsidR="00B1250B" w:rsidRPr="00B1250B">
        <w:rPr>
          <w:rFonts w:asciiTheme="majorBidi" w:hAnsiTheme="majorBidi" w:cstheme="majorBidi"/>
          <w:noProof/>
        </w:rPr>
        <w:t xml:space="preserve">Wilda Nurhidayah and Amaliyah Amaliyah, “Pengaruh Kecukupan Modal, Pembiayaan Bermasalah, Bagi Hasil Dan Tingkat Inflasi Terhadap Deposito Mudharabah Pada Bank Umum Syariah,” </w:t>
      </w:r>
      <w:r w:rsidR="00B1250B" w:rsidRPr="00B1250B">
        <w:rPr>
          <w:rFonts w:asciiTheme="majorBidi" w:hAnsiTheme="majorBidi" w:cstheme="majorBidi"/>
          <w:i/>
          <w:noProof/>
        </w:rPr>
        <w:t>SCIENTIFIC JOURNAL OF REFLECTION : Economic, Accounting, Management and Business</w:t>
      </w:r>
      <w:r w:rsidR="00B1250B" w:rsidRPr="00B1250B">
        <w:rPr>
          <w:rFonts w:asciiTheme="majorBidi" w:hAnsiTheme="majorBidi" w:cstheme="majorBidi"/>
          <w:noProof/>
        </w:rPr>
        <w:t xml:space="preserve"> 4, no. 3 (2021): 550–58, https://doi.org/10.37481/sjr.v4i3.334.</w:t>
      </w:r>
      <w:r w:rsidR="002E7062" w:rsidRPr="00325C4B">
        <w:rPr>
          <w:rFonts w:asciiTheme="majorBidi" w:hAnsiTheme="majorBidi" w:cstheme="majorBidi"/>
        </w:rPr>
        <w:fldChar w:fldCharType="end"/>
      </w:r>
      <w:r w:rsidR="002E7062" w:rsidRPr="00325C4B">
        <w:rPr>
          <w:rFonts w:asciiTheme="majorBidi" w:hAnsiTheme="majorBidi" w:cstheme="majorBidi"/>
        </w:rPr>
        <w:t xml:space="preserve"> Hal.556</w:t>
      </w:r>
    </w:p>
  </w:footnote>
  <w:footnote w:id="21">
    <w:p w14:paraId="7109C8D1" w14:textId="4D974298" w:rsidR="00B839FE" w:rsidRPr="00B839FE" w:rsidRDefault="00B839FE" w:rsidP="00B839FE">
      <w:pPr>
        <w:pStyle w:val="FootnoteText"/>
        <w:ind w:firstLine="720"/>
        <w:rPr>
          <w:rFonts w:asciiTheme="majorBidi" w:hAnsiTheme="majorBidi" w:cstheme="majorBidi"/>
          <w:lang w:val="en-US"/>
        </w:rPr>
      </w:pPr>
      <w:r w:rsidRPr="00B839FE">
        <w:rPr>
          <w:rStyle w:val="FootnoteReference"/>
          <w:rFonts w:asciiTheme="majorBidi" w:hAnsiTheme="majorBidi" w:cstheme="majorBidi"/>
        </w:rPr>
        <w:footnoteRef/>
      </w:r>
      <w:r w:rsidRPr="00B839FE">
        <w:rPr>
          <w:rFonts w:asciiTheme="majorBidi" w:hAnsiTheme="majorBidi" w:cstheme="majorBidi"/>
        </w:rPr>
        <w:t xml:space="preserve"> </w:t>
      </w:r>
      <w:r w:rsidRPr="00B839FE">
        <w:rPr>
          <w:rFonts w:asciiTheme="majorBidi" w:hAnsiTheme="majorBidi" w:cstheme="majorBidi"/>
        </w:rPr>
        <w:fldChar w:fldCharType="begin" w:fldLock="1"/>
      </w:r>
      <w:r w:rsidR="00B1250B">
        <w:rPr>
          <w:rFonts w:asciiTheme="majorBidi" w:hAnsiTheme="majorBidi" w:cstheme="majorBidi"/>
        </w:rPr>
        <w:instrText>ADDIN CSL_CITATION {"citationItems":[{"id":"ITEM-1","itemData":{"ISSN":"2304-1269","abstract":"In the recent years, Islamic banking in Indonesia is growing rapidly. The data of Bank Indonesia shows that the number of Islamic banking instruments such as mudharabah deposits has increased both in the number and the total value. The objective of this research is to analyze the influence of Financing to Deposit Ratio (FDR) and Non Performing Financing (NPF) on Mudharabah Deposits of Indonesian Islamic Banking in the period from 2010 to 2013. The sample of this study was 11 Islamic Commercial Banks and 23 Islamic Business Units of Conventional Bank in Indonesia. Secondary data was collected from the Islamic Banking Statistics of Bank Indonesia official website. The data analysis technique used in this study was multiple regression analysis. Based on statistical analysis, it is concluded that Non Performing Financing (NPF) effect on Mudharabah Deposits. Meanwhile, Financing to Deposit Ratio (FDR) has no effect on the Mudharabah Deposits. The results indicate that the customers' motivation to save their money in the bank is to invest in Islamic financial instruments in accordance with Islamic principles, so that customers do not pay much attention to factors such as the level of Financing to Deposit Ratio (FDR).","author":[{"dropping-particle":"","family":"Mayasari","given":"Triya","non-dropping-particle":"","parse-names":false,"suffix":""},{"dropping-particle":"","family":"Yusuf","given":"","non-dropping-particle":"","parse-names":false,"suffix":""},{"dropping-particle":"","family":"Yulianto","given":"Agung","non-dropping-particle":"","parse-names":false,"suffix":""}],"container-title":"Rev. Integr. Bus. Econ. Res.","id":"ITEM-1","issue":"1","issued":{"date-parts":[["2018"]]},"page":"210","title":"The Internal Factors of Indonesian Sharia Banking to Predict The Mudharabah Deposits","type":"article-journal","volume":"5"},"uris":["http://www.mendeley.com/documents/?uuid=e5fa6830-f4a5-421b-8a5a-198724164682"]}],"mendeley":{"formattedCitation":"Triya Mayasari, Yusuf, and Agung Yulianto, “The Internal Factors of Indonesian Sharia Banking to Predict The Mudharabah Deposits,” &lt;i&gt;Rev. Integr. Bus. Econ. Res.&lt;/i&gt; 5, no. 1 (2018): 210, http://buscompress.com/journal-home.html.","plainTextFormattedCitation":"Triya Mayasari, Yusuf, and Agung Yulianto, “The Internal Factors of Indonesian Sharia Banking to Predict The Mudharabah Deposits,” Rev. Integr. Bus. Econ. Res. 5, no. 1 (2018): 210, http://buscompress.com/journal-home.html.","previouslyFormattedCitation":"Triya Mayasari, Yusuf, and Agung Yulianto, “The Internal Factors of Indonesian Sharia Banking to Predict The Mudharabah Deposits,” &lt;i&gt;Rev. Integr. Bus. Econ. Res.&lt;/i&gt; 5, no. 1 (2018): 210, http://buscompress.com/journal-home.html."},"properties":{"noteIndex":21},"schema":"https://github.com/citation-style-language/schema/raw/master/csl-citation.json"}</w:instrText>
      </w:r>
      <w:r w:rsidRPr="00B839FE">
        <w:rPr>
          <w:rFonts w:asciiTheme="majorBidi" w:hAnsiTheme="majorBidi" w:cstheme="majorBidi"/>
        </w:rPr>
        <w:fldChar w:fldCharType="separate"/>
      </w:r>
      <w:r w:rsidRPr="00B839FE">
        <w:rPr>
          <w:rFonts w:asciiTheme="majorBidi" w:hAnsiTheme="majorBidi" w:cstheme="majorBidi"/>
          <w:noProof/>
        </w:rPr>
        <w:t xml:space="preserve">Triya Mayasari, Yusuf, and Agung Yulianto, “The Internal Factors of Indonesian Sharia Banking to Predict The Mudharabah Deposits,” </w:t>
      </w:r>
      <w:r w:rsidRPr="00B839FE">
        <w:rPr>
          <w:rFonts w:asciiTheme="majorBidi" w:hAnsiTheme="majorBidi" w:cstheme="majorBidi"/>
          <w:i/>
          <w:noProof/>
        </w:rPr>
        <w:t>Rev. Integr. Bus. Econ. Res.</w:t>
      </w:r>
      <w:r w:rsidRPr="00B839FE">
        <w:rPr>
          <w:rFonts w:asciiTheme="majorBidi" w:hAnsiTheme="majorBidi" w:cstheme="majorBidi"/>
          <w:noProof/>
        </w:rPr>
        <w:t xml:space="preserve"> 5, no. 1 (2018): 210, http://buscompress.com/journal-home.html.</w:t>
      </w:r>
      <w:r w:rsidRPr="00B839FE">
        <w:rPr>
          <w:rFonts w:asciiTheme="majorBidi" w:hAnsiTheme="majorBidi" w:cstheme="majorBidi"/>
        </w:rPr>
        <w:fldChar w:fldCharType="end"/>
      </w:r>
      <w:r w:rsidRPr="00B839FE">
        <w:rPr>
          <w:rFonts w:asciiTheme="majorBidi" w:hAnsiTheme="majorBidi" w:cstheme="majorBidi"/>
        </w:rPr>
        <w:t xml:space="preserve"> Hal.216</w:t>
      </w:r>
    </w:p>
  </w:footnote>
  <w:footnote w:id="22">
    <w:p w14:paraId="639373A2" w14:textId="372171FC" w:rsidR="00963480" w:rsidRPr="00325C4B" w:rsidRDefault="00963480" w:rsidP="00325C4B">
      <w:pPr>
        <w:pStyle w:val="FootnoteText"/>
        <w:ind w:firstLine="720"/>
        <w:jc w:val="both"/>
        <w:rPr>
          <w:rFonts w:asciiTheme="majorBidi" w:hAnsiTheme="majorBidi" w:cstheme="majorBidi"/>
          <w:lang w:val="en-US"/>
        </w:rPr>
      </w:pPr>
      <w:r w:rsidRPr="00325C4B">
        <w:rPr>
          <w:rStyle w:val="FootnoteReference"/>
          <w:rFonts w:asciiTheme="majorBidi" w:hAnsiTheme="majorBidi" w:cstheme="majorBidi"/>
        </w:rPr>
        <w:footnoteRef/>
      </w:r>
      <w:r w:rsidRPr="00325C4B">
        <w:rPr>
          <w:rFonts w:asciiTheme="majorBidi" w:hAnsiTheme="majorBidi" w:cstheme="majorBidi"/>
          <w:lang w:val="en-US"/>
        </w:rPr>
        <w:t xml:space="preserve"> </w:t>
      </w:r>
      <w:r w:rsidRPr="00325C4B">
        <w:rPr>
          <w:rFonts w:asciiTheme="majorBidi" w:hAnsiTheme="majorBidi" w:cstheme="majorBidi"/>
        </w:rPr>
        <w:fldChar w:fldCharType="begin" w:fldLock="1"/>
      </w:r>
      <w:r w:rsidR="00B1250B">
        <w:rPr>
          <w:rFonts w:asciiTheme="majorBidi" w:hAnsiTheme="majorBidi" w:cstheme="majorBidi"/>
          <w:lang w:val="en-US"/>
        </w:rPr>
        <w:instrText>ADDIN CSL_CITATION {"citationItems":[{"id":"ITEM-1","itemData":{"abstract":"The purpose of this study was determine the effect of macro economics are inflation, interest rate, unemployment and growth of economics in Indonesia. This data used are time series data from 2000-2018 per semester. The amount of adjusted R square is 0,51026 = 51,026% which means that independent variables can explain changes in economics growth variables of 51,026% while the rest of 48,974% explained by other factors in this study. This research shows only interest rate and unemployment variables influence significantly to economics of growth and inflation is no influence significantly to economics of growth in Indonesia with multiple linier regression equation Y =-1,80733-0,18059X1 + 0,14194X2 + 1,26385 X3 + e.","author":[{"dropping-particle":"","family":"Nini, Murniati","given":"Rahmaita","non-dropping-particle":"","parse-names":false,"suffix":""}],"container-title":"Jurnal Ekonomi dan Bisnis Dharma Andalas","id":"ITEM-1","issue":"1","issued":{"date-parts":[["2020"]]},"page":"h. 98","title":"Pengaruh Jumlah Bagi Hasil Deposito, Likuiditas, dan Inflasi Terhadap Jumlah Deposito Mudharabah Pada Bank Syariah Mandiri","type":"article-journal","volume":"Vol. 22"},"uris":["http://www.mendeley.com/documents/?uuid=74c46d18-58d5-4f68-b8c0-74b7a78641ec"]}],"mendeley":{"formattedCitation":"Rahmaita Nini, Murniati, “Pengaruh Jumlah Bagi Hasil Deposito, Likuiditas, Dan Inflasi Terhadap Jumlah Deposito Mudharabah Pada Bank Syariah Mandiri,” &lt;i&gt;Jurnal Ekonomi Dan Bisnis Dharma Andalas&lt;/i&gt; Vol. 22, no. 1 (2020): h. 98.","plainTextFormattedCitation":"Rahmaita Nini, Murniati, “Pengaruh Jumlah Bagi Hasil Deposito, Likuiditas, Dan Inflasi Terhadap Jumlah Deposito Mudharabah Pada Bank Syariah Mandiri,” Jurnal Ekonomi Dan Bisnis Dharma Andalas Vol. 22, no. 1 (2020): h. 98.","previouslyFormattedCitation":"Rahmaita Nini, Murniati, “Pengaruh Jumlah Bagi Hasil Deposito, Likuiditas, Dan Inflasi Terhadap Jumlah Deposito Mudharabah Pada Bank Syariah Mandiri,” &lt;i&gt;Jurnal Ekonomi Dan Bisnis Dharma Andalas&lt;/i&gt; Vol. 22, no. 1 (2020): h. 98."},"properties":{"noteIndex":22},"schema":"https://github.com/citation-style-language/schema/raw/master/csl-citation.json"}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en-US"/>
        </w:rPr>
        <w:t xml:space="preserve">Rahmaita Nini, Murniati, “Pengaruh Jumlah Bagi Hasil Deposito, Likuiditas, Dan Inflasi Terhadap Jumlah Deposito Mudharabah Pada Bank Syariah Mandiri,” </w:t>
      </w:r>
      <w:r w:rsidRPr="00325C4B">
        <w:rPr>
          <w:rFonts w:asciiTheme="majorBidi" w:hAnsiTheme="majorBidi" w:cstheme="majorBidi"/>
          <w:i/>
          <w:noProof/>
          <w:lang w:val="en-US"/>
        </w:rPr>
        <w:t>Jurnal Ekonomi Dan Bisnis Dharma Andalas</w:t>
      </w:r>
      <w:r w:rsidRPr="00325C4B">
        <w:rPr>
          <w:rFonts w:asciiTheme="majorBidi" w:hAnsiTheme="majorBidi" w:cstheme="majorBidi"/>
          <w:noProof/>
          <w:lang w:val="en-US"/>
        </w:rPr>
        <w:t xml:space="preserve"> Vol. 22, no. 1 (2020): h. 98.</w:t>
      </w:r>
      <w:r w:rsidRPr="00325C4B">
        <w:rPr>
          <w:rFonts w:asciiTheme="majorBidi" w:hAnsiTheme="majorBidi" w:cstheme="majorBidi"/>
        </w:rPr>
        <w:fldChar w:fldCharType="end"/>
      </w:r>
      <w:r w:rsidR="00C2303A" w:rsidRPr="00325C4B">
        <w:rPr>
          <w:rFonts w:asciiTheme="majorBidi" w:hAnsiTheme="majorBidi" w:cstheme="majorBidi"/>
        </w:rPr>
        <w:t xml:space="preserve"> Hal.106</w:t>
      </w:r>
    </w:p>
  </w:footnote>
  <w:footnote w:id="23">
    <w:p w14:paraId="57266863" w14:textId="142CEE5D" w:rsidR="00963480" w:rsidRPr="006C7242" w:rsidRDefault="00963480" w:rsidP="00325C4B">
      <w:pPr>
        <w:pStyle w:val="FootnoteText"/>
        <w:ind w:firstLine="720"/>
        <w:jc w:val="both"/>
        <w:rPr>
          <w:rFonts w:asciiTheme="majorBidi" w:hAnsiTheme="majorBidi" w:cstheme="majorBidi"/>
          <w:lang w:val="en-US"/>
        </w:rPr>
      </w:pPr>
      <w:r w:rsidRPr="00325C4B">
        <w:rPr>
          <w:rStyle w:val="FootnoteReference"/>
          <w:rFonts w:asciiTheme="majorBidi" w:hAnsiTheme="majorBidi" w:cstheme="majorBidi"/>
        </w:rPr>
        <w:footnoteRef/>
      </w:r>
      <w:r w:rsidRPr="00325C4B">
        <w:rPr>
          <w:rFonts w:asciiTheme="majorBidi" w:hAnsiTheme="majorBidi" w:cstheme="majorBidi"/>
          <w:lang w:val="en-US"/>
        </w:rPr>
        <w:t xml:space="preserve"> </w:t>
      </w:r>
      <w:r w:rsidRPr="00325C4B">
        <w:rPr>
          <w:rFonts w:asciiTheme="majorBidi" w:hAnsiTheme="majorBidi" w:cstheme="majorBidi"/>
        </w:rPr>
        <w:fldChar w:fldCharType="begin" w:fldLock="1"/>
      </w:r>
      <w:r w:rsidR="00B1250B">
        <w:rPr>
          <w:rFonts w:asciiTheme="majorBidi" w:hAnsiTheme="majorBidi" w:cstheme="majorBidi"/>
          <w:lang w:val="en-US"/>
        </w:rPr>
        <w:instrText>ADDIN CSL_CITATION {"citationItems":[{"id":"ITEM-1","itemData":{"DOI":"10.55606/akuntansi.v3i3.2050","ISSN":"2961-7871","abstract":"This research aims to examine the influence of interest rates, liquidity, profit sharing on mudharabah deposits with independent variables, namely interest rates, liquidity and profit sharing. This research uses a quantitative approach and the sample used is 8 Islamic banks registered with the Financial Services Authority (OJK) the 2019-2021 period which was obtained through the purposive sampling method. The analysis technique used is multiple linear regression with the help of SPPS 25.0 for Windows. The research results show that the interest rate variable does not have a significant effect on mudharabah deposits, this is because increases or decreases that occur in a bank will not affect deposits, people who save their funds tend to see interest at the beginning which will provide big profits and feel more secure. The liquidity variable has a significant influence on mudharabah deposits because with increasing FDR, customers' expectations that the bank will earn greater profits makes them invest more in mudharabah deposits. The profit sharing variable shows that there is a significant influence on mudharabah deposits, this means that an increase in profit sharing will increase the number of mudharabah deposits in sharia banks. The greater the amount of profit sharing offered, the better.","author":[{"dropping-particle":"","family":"Laily Nur Fitriana","given":"","non-dropping-particle":"","parse-names":false,"suffix":""},{"dropping-particle":"","family":"Syaiful Syaiful","given":"","non-dropping-particle":"","parse-names":false,"suffix":""}],"container-title":"Akuntansi","id":"ITEM-1","issue":"3","issued":{"date-parts":[["2024"]]},"page":"69-86","title":"Pengaruh Suku Bunga, Likuiditas, dan Bagi Hasil terhadap Deposito Mudharabah pada Bank Umum Syariah yang ada di Indonesia","type":"article-journal","volume":"3"},"uris":["http://www.mendeley.com/documents/?uuid=b6d5d9a1-5f9f-4fa3-9a3b-63a4748398a0"]}],"mendeley":{"formattedCitation":"Laily Nur Fitriana and Syaiful Syaiful, “Pengaruh Suku Bunga, Likuiditas, Dan Bagi Hasil Terhadap Deposito Mudharabah Pada Bank Umum Syariah Yang Ada Di Indonesia,” &lt;i&gt;Akuntansi&lt;/i&gt; 3, no. 3 (2024): 69–86, https://doi.org/10.55606/akuntansi.v3i3.2050.","plainTextFormattedCitation":"Laily Nur Fitriana and Syaiful Syaiful, “Pengaruh Suku Bunga, Likuiditas, Dan Bagi Hasil Terhadap Deposito Mudharabah Pada Bank Umum Syariah Yang Ada Di Indonesia,” Akuntansi 3, no. 3 (2024): 69–86, https://doi.org/10.55606/akuntansi.v3i3.2050.","previouslyFormattedCitation":"Laily Nur Fitriana and Syaiful Syaiful, “Pengaruh Suku Bunga, Likuiditas, Dan Bagi Hasil Terhadap Deposito Mudharabah Pada Bank Umum Syariah Yang Ada Di Indonesia,” &lt;i&gt;Akuntansi&lt;/i&gt; 3, no. 3 (2024): 69–86, https://doi.org/10.55606/akuntansi.v3i3.2050."},"properties":{"noteIndex":23},"schema":"https://github.com/citation-style-language/schema/raw/master/csl-citation.json"}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en-US"/>
        </w:rPr>
        <w:t xml:space="preserve">Laily Nur Fitriana and Syaiful Syaiful, “Pengaruh Suku Bunga, Likuiditas, Dan Bagi Hasil Terhadap Deposito Mudharabah Pada Bank Umum Syariah Yang Ada Di Indonesia,” </w:t>
      </w:r>
      <w:r w:rsidRPr="00325C4B">
        <w:rPr>
          <w:rFonts w:asciiTheme="majorBidi" w:hAnsiTheme="majorBidi" w:cstheme="majorBidi"/>
          <w:i/>
          <w:noProof/>
          <w:lang w:val="en-US"/>
        </w:rPr>
        <w:t>Akuntansi</w:t>
      </w:r>
      <w:r w:rsidRPr="00325C4B">
        <w:rPr>
          <w:rFonts w:asciiTheme="majorBidi" w:hAnsiTheme="majorBidi" w:cstheme="majorBidi"/>
          <w:noProof/>
          <w:lang w:val="en-US"/>
        </w:rPr>
        <w:t xml:space="preserve"> 3, no. 3 (2024): 69–86, https://doi.org/10.55606/akuntansi.v3i3.2050.</w:t>
      </w:r>
      <w:r w:rsidRPr="00325C4B">
        <w:rPr>
          <w:rFonts w:asciiTheme="majorBidi" w:hAnsiTheme="majorBidi" w:cstheme="majorBidi"/>
        </w:rPr>
        <w:fldChar w:fldCharType="end"/>
      </w:r>
    </w:p>
  </w:footnote>
  <w:footnote w:id="24">
    <w:p w14:paraId="02A58630" w14:textId="4026C932" w:rsidR="00963480" w:rsidRPr="002B79F1" w:rsidRDefault="00963480" w:rsidP="00325C4B">
      <w:pPr>
        <w:pStyle w:val="FootnoteText"/>
        <w:ind w:firstLine="720"/>
        <w:jc w:val="both"/>
        <w:rPr>
          <w:rFonts w:asciiTheme="majorBidi" w:hAnsiTheme="majorBidi" w:cstheme="majorBidi"/>
          <w:lang w:val="en-US"/>
        </w:rPr>
      </w:pPr>
      <w:r w:rsidRPr="00325C4B">
        <w:rPr>
          <w:rStyle w:val="FootnoteReference"/>
          <w:rFonts w:asciiTheme="majorBidi" w:hAnsiTheme="majorBidi" w:cstheme="majorBidi"/>
        </w:rPr>
        <w:footnoteRef/>
      </w:r>
      <w:r w:rsidRPr="002B79F1">
        <w:rPr>
          <w:rFonts w:asciiTheme="majorBidi" w:hAnsiTheme="majorBidi" w:cstheme="majorBidi"/>
          <w:lang w:val="en-US"/>
        </w:rPr>
        <w:t xml:space="preserve"> </w:t>
      </w:r>
      <w:r w:rsidRPr="00325C4B">
        <w:rPr>
          <w:rFonts w:asciiTheme="majorBidi" w:hAnsiTheme="majorBidi" w:cstheme="majorBidi"/>
        </w:rPr>
        <w:fldChar w:fldCharType="begin" w:fldLock="1"/>
      </w:r>
      <w:r w:rsidR="00B1250B">
        <w:rPr>
          <w:rFonts w:asciiTheme="majorBidi" w:hAnsiTheme="majorBidi" w:cstheme="majorBidi"/>
          <w:lang w:val="en-US"/>
        </w:rPr>
        <w:instrText>ADDIN CSL_CITATION {"citationItems":[{"id":"ITEM-1","itemData":{"abstract":"… dalam menjalankan fungsi intermediasinya. Perumusan Hipotesis Pengaruh Tingkat Inflasi pada Deposito Mudharabah Tingkat inflasi berpengaruh positif terhadap dana pihak ketiga. Akan tetapi, inflasi yang …","author":[{"dropping-particle":"","family":"Saputra","given":"Maulana Islam","non-dropping-particle":"","parse-names":false,"suffix":""},{"dropping-particle":"","family":"Wahidahwati","given":"","non-dropping-particle":"","parse-names":false,"suffix":""}],"container-title":"Ilmu dan Riset Akuntansi","id":"ITEM-1","issue":"7","issued":{"date-parts":[["2018"]]},"page":"21","title":"Pengaruh Inflasi, Suku Bunga, Likuiditas dan Bagi Hasil Terhadap Deposito Mudharabah","type":"article-journal","volume":"7"},"uris":["http://www.mendeley.com/documents/?uuid=373cad71-d260-4542-a41f-f651fb8ac5c6"]}],"mendeley":{"formattedCitation":"Maulana Islam Saputra and Wahidahwati, “Pengaruh Inflasi, Suku Bunga, Likuiditas Dan Bagi Hasil Terhadap Deposito Mudharabah,” &lt;i&gt;Ilmu Dan Riset Akuntansi&lt;/i&gt; 7, no. 7 (2018): 21.","plainTextFormattedCitation":"Maulana Islam Saputra and Wahidahwati, “Pengaruh Inflasi, Suku Bunga, Likuiditas Dan Bagi Hasil Terhadap Deposito Mudharabah,” Ilmu Dan Riset Akuntansi 7, no. 7 (2018): 21.","previouslyFormattedCitation":"Maulana Islam Saputra and Wahidahwati, “Pengaruh Inflasi, Suku Bunga, Likuiditas Dan Bagi Hasil Terhadap Deposito Mudharabah,” &lt;i&gt;Ilmu Dan Riset Akuntansi&lt;/i&gt; 7, no. 7 (2018): 21."},"properties":{"noteIndex":24},"schema":"https://github.com/citation-style-language/schema/raw/master/csl-citation.json"}</w:instrText>
      </w:r>
      <w:r w:rsidRPr="00325C4B">
        <w:rPr>
          <w:rFonts w:asciiTheme="majorBidi" w:hAnsiTheme="majorBidi" w:cstheme="majorBidi"/>
        </w:rPr>
        <w:fldChar w:fldCharType="separate"/>
      </w:r>
      <w:r w:rsidRPr="002B79F1">
        <w:rPr>
          <w:rFonts w:asciiTheme="majorBidi" w:hAnsiTheme="majorBidi" w:cstheme="majorBidi"/>
          <w:noProof/>
          <w:lang w:val="en-US"/>
        </w:rPr>
        <w:t xml:space="preserve">Maulana Islam Saputra and Wahidahwati, “Pengaruh Inflasi, Suku Bunga, Likuiditas Dan Bagi Hasil Terhadap Deposito Mudharabah,” </w:t>
      </w:r>
      <w:r w:rsidRPr="002B79F1">
        <w:rPr>
          <w:rFonts w:asciiTheme="majorBidi" w:hAnsiTheme="majorBidi" w:cstheme="majorBidi"/>
          <w:i/>
          <w:noProof/>
          <w:lang w:val="en-US"/>
        </w:rPr>
        <w:t>Ilmu Dan Riset Akuntansi</w:t>
      </w:r>
      <w:r w:rsidRPr="002B79F1">
        <w:rPr>
          <w:rFonts w:asciiTheme="majorBidi" w:hAnsiTheme="majorBidi" w:cstheme="majorBidi"/>
          <w:noProof/>
          <w:lang w:val="en-US"/>
        </w:rPr>
        <w:t xml:space="preserve"> 7, no. 7 (2018): 21.</w:t>
      </w:r>
      <w:r w:rsidRPr="00325C4B">
        <w:rPr>
          <w:rFonts w:asciiTheme="majorBidi" w:hAnsiTheme="majorBidi" w:cstheme="majorBidi"/>
        </w:rPr>
        <w:fldChar w:fldCharType="end"/>
      </w:r>
    </w:p>
  </w:footnote>
  <w:footnote w:id="25">
    <w:p w14:paraId="42CA5C38" w14:textId="6686FB92" w:rsidR="009F5161" w:rsidRPr="00325C4B" w:rsidRDefault="009F5161"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{"citationItems":[{"id":"ITEM-1","itemData":{"abstract":"This research is meant to test the influence of inflation rates, interest rates, liquidity rates which are proxy by the finance to deposit ratio and profit sharing rates to the amount of mudharabah deposit at Bank Rakyat Indonesia Syariah in 2010-2014. This research applies quantitative method. The data has been done by using secondary data and time series which have been retrieved from the financial statement of Bank Rakyat Indonesia Syariah and the Financial Statistic of Bank Indonesia. The sample uses quarterly financial statement from 2010 to 2014. The regressions analysis has been done by using significance test of the influence of inflation rates, interest rates, liquidity rates which are proxy by the finance to deposit ratio and profit sharing rates partially to the mudharabah deposit. The result of this research gives prove that: (a) inflation rates does not have any influence to the amount of deposit mudharabah; (b) the interest rates has positive significant to the amount of deposit mudharabah of Bank Rakyat Indonesia Syariah because when the interest of conventional bank increase, the amount of deposit mudharabah do not experience dramatic changes because the customers still invest their fund at Bank Rakyat Indonesia Syariah; (c) finance to deposit ratio does not have any influence to the amount of mudharabah deposit; and (d) the rates of share profit does not have any influence to the amount of mudharabah deposit.","author":[{"dropping-particle":"Al","family":"Farizi","given":"Fauzan","non-dropping-particle":"","parse-names":false,"suffix":""},{"dropping-particle":"","family":"Riduwan","given":"Akhmad","non-dropping-particle":"","parse-names":false,"suffix":""}],"container-title":"Jurnal Ilmu dan Riset Akuntansi","id":"ITEM-1","issue":"4","issued":{"date-parts":[["2016"]]},"page":"1-16","title":"Pengaruh Inflasi, Suku Bunga, Likuiditas, Dan Bagi Hasil Terhadap Deposito Mudharabah","type":"article-journal","volume":"5"},"uris":["http://www.mendeley.com/documents/?uuid=6adda9a1-8edb-4631-9128-309d60777628"]}],"mendeley":{"formattedCitation":"Fauzan Al Farizi and Akhmad Riduwan, “Pengaruh Inflasi, Suku Bunga, Likuiditas, Dan Bagi Hasil Terhadap Deposito Mudharabah,” &lt;i&gt;Jurnal Ilmu Dan Riset Akuntansi&lt;/i&gt; 5, no. 4 (2016): 1–16.","plainTextFormattedCitation":"Fauzan Al Farizi and Akhmad Riduwan, “Pengaruh Inflasi, Suku Bunga, Likuiditas, Dan Bagi Hasil Terhadap Deposito Mudharabah,” Jurnal Ilmu Dan Riset Akuntansi 5, no. 4 (2016): 1–16.","previouslyFormattedCitation":"Fauzan Al Farizi and Akhmad Riduwan, “Pengaruh Inflasi, Suku Bunga, Likuiditas, Dan Bagi Hasil Terhadap Deposito Mudharabah,” &lt;i&gt;Jurnal Ilmu Dan Riset Akuntansi&lt;/i&gt; 5, no. 4 (2016): 1–16."},"properties":{"noteIndex":25},"schema":"https://github.com/citation-style-language/schema/raw/master/csl-citation.json"}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sv-SE"/>
        </w:rPr>
        <w:t xml:space="preserve">Fauzan Al Farizi and Akhmad Riduwan, “Pengaruh Inflasi, Suku Bunga, Likuiditas, Dan Bagi Hasil Terhadap Deposito Mudharabah,” </w:t>
      </w:r>
      <w:r w:rsidRPr="00325C4B">
        <w:rPr>
          <w:rFonts w:asciiTheme="majorBidi" w:hAnsiTheme="majorBidi" w:cstheme="majorBidi"/>
          <w:i/>
          <w:noProof/>
          <w:lang w:val="sv-SE"/>
        </w:rPr>
        <w:t>Jurnal Ilmu Dan Riset Akuntansi</w:t>
      </w:r>
      <w:r w:rsidRPr="00325C4B">
        <w:rPr>
          <w:rFonts w:asciiTheme="majorBidi" w:hAnsiTheme="majorBidi" w:cstheme="majorBidi"/>
          <w:noProof/>
          <w:lang w:val="sv-SE"/>
        </w:rPr>
        <w:t xml:space="preserve"> 5, no. 4 (2016): 1–16.</w:t>
      </w:r>
      <w:r w:rsidRPr="00325C4B">
        <w:rPr>
          <w:rFonts w:asciiTheme="majorBidi" w:hAnsiTheme="majorBidi" w:cstheme="majorBidi"/>
        </w:rPr>
        <w:fldChar w:fldCharType="end"/>
      </w:r>
      <w:r w:rsidRPr="00325C4B">
        <w:rPr>
          <w:rFonts w:asciiTheme="majorBidi" w:hAnsiTheme="majorBidi" w:cstheme="majorBidi"/>
          <w:lang w:val="sv-SE"/>
        </w:rPr>
        <w:t xml:space="preserve"> Hal.13</w:t>
      </w:r>
    </w:p>
  </w:footnote>
  <w:footnote w:id="26">
    <w:p w14:paraId="24AC0CFD" w14:textId="53B1F212" w:rsidR="009F5161" w:rsidRPr="00325C4B" w:rsidRDefault="009F5161"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{"citationItems":[{"id":"ITEM-1","itemData":{"DOI":"10.24090/ej.v6i1.2045","ISSN":"2354-905X","abstract":"The purpose of this study is to examine the influence of interest rates, the level of profit sharing, liquidity, inflation, the size of the company, and the growth of gross domestic product simultaneously and partially on mudaraba deposits at Islamic Commercial Banking in Indonesia. This study conduct quantitative research with hypothesis testing on secondary data in term of time series on the quartely financial statements starting from the first quarter of 2011 to fourth quarter of 2014. The reserach sample is six Islamic Commercial Banking in Indonesia. The data analysis technique in this study are descriptive analysis, classical assumption test, multiple regression analysis, hypothesis test uses F test, and t test. The result showed that variable of interest rates, the level of profit sharing, liquidity, inflation, the size of the company, and the growth of gross domestic product simultaneously significant influence on mudaraba deposits at Islamic Commercial Banking in Indonesia. while partially variable of the level of profit sharing, and the size of the company positivelly significant influence on mudaraba deposits at Islamic Commercial Banking in Indonesia, but interest rates, liquidity, inflation, and the growth of gross domestic product does not  significant influence on mudaraba deposits at Islamic Commercial Banking in Indonesia.","author":[{"dropping-particle":"","family":"Sholikha","given":"Akhris Fuadatis","non-dropping-particle":"","parse-names":false,"suffix":""}],"container-title":"el-Jizya : Jurnal Ekonomi Islam","id":"ITEM-1","issue":"1","issued":{"date-parts":[["2018"]]},"page":"1-22","title":"Pengaruh Tingkat Suku Bunga, Tingkat Bagi Hasil, Likuiditas, Inflasi, Ukuran Bank, dan Pertumbuhan Produk Domestik Bruto terhadap Deposito Mudharabah Bank Umum Syariah di Indonesia","type":"article-journal","volume":"6"},"uris":["http://www.mendeley.com/documents/?uuid=0dcdaded-cd3a-4b49-977b-0cc477dc8e1c"]}],"mendeley":{"formattedCitation":"Akhris Fuadatis Sholikha, “Pengaruh Tingkat Suku Bunga, Tingkat Bagi Hasil, Likuiditas, Inflasi, Ukuran Bank, Dan Pertumbuhan Produk Domestik Bruto Terhadap Deposito Mudharabah Bank Umum Syariah Di Indonesia,” &lt;i&gt;El-Jizya : Jurnal Ekonomi Islam&lt;/i&gt; 6, no. 1 (2018): 1–22, https://doi.org/10.24090/ej.v6i1.2045.","plainTextFormattedCitation":"Akhris Fuadatis Sholikha, “Pengaruh Tingkat Suku Bunga, Tingkat Bagi Hasil, Likuiditas, Inflasi, Ukuran Bank, Dan Pertumbuhan Produk Domestik Bruto Terhadap Deposito Mudharabah Bank Umum Syariah Di Indonesia,” El-Jizya : Jurnal Ekonomi Islam 6, no. 1 (2018): 1–22, https://doi.org/10.24090/ej.v6i1.2045.","previouslyFormattedCitation":"Akhris Fuadatis Sholikha, “Pengaruh Tingkat Suku Bunga, Tingkat Bagi Hasil, Likuiditas, Inflasi, Ukuran Bank, Dan Pertumbuhan Produk Domestik Bruto Terhadap Deposito Mudharabah Bank Umum Syariah Di Indonesia,” &lt;i&gt;El-Jizya : Jurnal Ekonomi Islam&lt;/i&gt; 6, no. 1 (2018): 1–22, https://doi.org/10.24090/ej.v6i1.2045."},"properties":{"noteIndex":26},"schema":"https://github.com/citation-style-language/schema/raw/master/csl-citation.json"}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sv-SE"/>
        </w:rPr>
        <w:t xml:space="preserve">Akhris Fuadatis Sholikha, “Pengaruh Tingkat Suku Bunga, Tingkat Bagi Hasil, Likuiditas, Inflasi, Ukuran Bank, Dan Pertumbuhan Produk Domestik Bruto Terhadap Deposito Mudharabah Bank Umum Syariah Di Indonesia,” </w:t>
      </w:r>
      <w:r w:rsidRPr="00325C4B">
        <w:rPr>
          <w:rFonts w:asciiTheme="majorBidi" w:hAnsiTheme="majorBidi" w:cstheme="majorBidi"/>
          <w:i/>
          <w:noProof/>
          <w:lang w:val="sv-SE"/>
        </w:rPr>
        <w:t>El-Jizya : Jurnal Ekonomi Islam</w:t>
      </w:r>
      <w:r w:rsidRPr="00325C4B">
        <w:rPr>
          <w:rFonts w:asciiTheme="majorBidi" w:hAnsiTheme="majorBidi" w:cstheme="majorBidi"/>
          <w:noProof/>
          <w:lang w:val="sv-SE"/>
        </w:rPr>
        <w:t xml:space="preserve"> 6, no. 1 (2018): 1–22, https://doi.org/10.24090/ej.v6i1.2045.</w:t>
      </w:r>
      <w:r w:rsidRPr="00325C4B">
        <w:rPr>
          <w:rFonts w:asciiTheme="majorBidi" w:hAnsiTheme="majorBidi" w:cstheme="majorBidi"/>
        </w:rPr>
        <w:fldChar w:fldCharType="end"/>
      </w:r>
      <w:r w:rsidRPr="00325C4B">
        <w:rPr>
          <w:rFonts w:asciiTheme="majorBidi" w:hAnsiTheme="majorBidi" w:cstheme="majorBidi"/>
          <w:lang w:val="sv-SE"/>
        </w:rPr>
        <w:t xml:space="preserve"> Hal.16</w:t>
      </w:r>
    </w:p>
  </w:footnote>
  <w:footnote w:id="27">
    <w:p w14:paraId="47D45070" w14:textId="7556FD05" w:rsidR="00FF5856" w:rsidRPr="00325C4B" w:rsidRDefault="00FF5856"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{"citationItems":[{"id":"ITEM-1","itemData":{"DOI":"10.47903/ji.v10i2.128","abstract":"This research aims to analyze the variable profit-sharing rate of mudharabah deposits, FDR, inflation rates, and GDP in influencing the number of mudharabah deposits at the Sharia People Financing Bank (BPRS) in Banten Province. The data used in this study are time-series data and cross-section (panel data) for the first quarter of 2015 to the fourth quarters of 2018. Meanwhile, the independent variable used is the profit-sharing rate of mudharabah deposits, FDR, interest rates, inflation, and products Gross Domestic and the dependent variable is the number of mudharabah deposits. The method used is a quantitative method of panel data with a fixed-effect model approach. The results showed that the rate of sharing of mudharabah deposits, FDR, interest rates, inflation, and GDP had a significant effect on the number of mudharabah deposits simultaneously. But partially, the profit-sharing rate of mudharabah deposits has a positive and significant effect on the number of mudharabah deposits. FDR, interest rates, and inflation have a negative and significant effect on the number of mudharabah deposits. while GDP has a negative and not significant effect on the number of mudharabah deposits.","author":[{"dropping-particle":"","family":"Mahaaba","given":"Shoona Kabila","non-dropping-particle":"","parse-names":false,"suffix":""}],"container-title":"Islaminomics: Journal of Islamic Economics, Business and Finance","id":"ITEM-1","issue":"2","issued":{"date-parts":[["2020"]]},"page":"104-129","title":"Analisis Pengaruh Tingkat Bagi Hasil Deposito Mudharabah, FDR, Suku Bunga, Inflasi, dan PDB terhadap Jumlah Deposito Mudharabah pada Bank Pembiayaan Rakyat Syari’ah (BPRS) di Provinsi Banten","type":"article-journal","volume":"10"},"uris":["http://www.mendeley.com/documents/?uuid=4748d2a0-f1f5-4884-9069-5deb0406bdb5"]}],"mendeley":{"formattedCitation":"Shoona Kabila Mahaaba, “Analisis Pengaruh Tingkat Bagi Hasil Deposito Mudharabah, FDR, Suku Bunga, Inflasi, Dan PDB Terhadap Jumlah Deposito Mudharabah Pada Bank Pembiayaan Rakyat Syari’ah (BPRS) Di Provinsi Banten,” &lt;i&gt;Islaminomics: Journal of Islamic Economics, Business and Finance&lt;/i&gt; 10, no. 2 (2020): 104–29, https://doi.org/10.47903/ji.v10i2.128.","plainTextFormattedCitation":"Shoona Kabila Mahaaba, “Analisis Pengaruh Tingkat Bagi Hasil Deposito Mudharabah, FDR, Suku Bunga, Inflasi, Dan PDB Terhadap Jumlah Deposito Mudharabah Pada Bank Pembiayaan Rakyat Syari’ah (BPRS) Di Provinsi Banten,” Islaminomics: Journal of Islamic Economics, Business and Finance 10, no. 2 (2020): 104–29, https://doi.org/10.47903/ji.v10i2.128.","previouslyFormattedCitation":"Shoona Kabila Mahaaba, “Analisis Pengaruh Tingkat Bagi Hasil Deposito Mudharabah, FDR, Suku Bunga, Inflasi, Dan PDB Terhadap Jumlah Deposito Mudharabah Pada Bank Pembiayaan Rakyat Syari’ah (BPRS) Di Provinsi Banten,” &lt;i&gt;Islaminomics: Journal of Islamic Economics, Business and Finance&lt;/i&gt; 10, no. 2 (2020): 104–29, https://doi.org/10.47903/ji.v10i2.128."},"properties":{"noteIndex":27},"schema":"https://github.com/citation-style-language/schema/raw/master/csl-citation.json"}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sv-SE"/>
        </w:rPr>
        <w:t xml:space="preserve">Shoona Kabila Mahaaba, “Analisis Pengaruh Tingkat Bagi Hasil Deposito Mudharabah, FDR, Suku Bunga, Inflasi, Dan PDB Terhadap Jumlah Deposito Mudharabah Pada Bank Pembiayaan Rakyat Syari’ah (BPRS) Di Provinsi Banten,” </w:t>
      </w:r>
      <w:r w:rsidRPr="00325C4B">
        <w:rPr>
          <w:rFonts w:asciiTheme="majorBidi" w:hAnsiTheme="majorBidi" w:cstheme="majorBidi"/>
          <w:i/>
          <w:noProof/>
          <w:lang w:val="sv-SE"/>
        </w:rPr>
        <w:t>Islaminomics: Journal of Islamic Economics, Business and Finance</w:t>
      </w:r>
      <w:r w:rsidRPr="00325C4B">
        <w:rPr>
          <w:rFonts w:asciiTheme="majorBidi" w:hAnsiTheme="majorBidi" w:cstheme="majorBidi"/>
          <w:noProof/>
          <w:lang w:val="sv-SE"/>
        </w:rPr>
        <w:t xml:space="preserve"> 10, no. 2 (2020): 104–29, https://doi.org/10.47903/ji.v10i2.128.</w:t>
      </w:r>
      <w:r w:rsidRPr="00325C4B">
        <w:rPr>
          <w:rFonts w:asciiTheme="majorBidi" w:hAnsiTheme="majorBidi" w:cstheme="majorBidi"/>
        </w:rPr>
        <w:fldChar w:fldCharType="end"/>
      </w:r>
    </w:p>
  </w:footnote>
  <w:footnote w:id="28">
    <w:p w14:paraId="08FEE0A4" w14:textId="67EAEA20" w:rsidR="00FF5856" w:rsidRPr="00325C4B" w:rsidRDefault="00FF5856"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00202A6F" w:rsidRPr="00325C4B">
        <w:rPr>
          <w:rFonts w:asciiTheme="majorBidi" w:hAnsiTheme="majorBidi" w:cstheme="majorBidi"/>
          <w:lang w:val="sv-SE"/>
        </w:rPr>
        <w:fldChar w:fldCharType="begin" w:fldLock="1"/>
      </w:r>
      <w:r w:rsidR="00B1250B">
        <w:rPr>
          <w:rFonts w:asciiTheme="majorBidi" w:hAnsiTheme="majorBidi" w:cstheme="majorBidi"/>
          <w:lang w:val="sv-SE"/>
        </w:rPr>
        <w:instrText>ADDIN CSL_CITATION {"citationItems":[{"id":"ITEM-1","itemData":{"author":[{"dropping-particle":"","family":"Piuspitaningrum","given":"Rani","non-dropping-particle":"","parse-names":false,"suffix":""},{"dropping-particle":"","family":"Falahuddin","given":"","non-dropping-particle":"","parse-names":false,"suffix":""},{"dropping-particle":"","family":"Husna","given":"Nurul","non-dropping-particle":"","parse-names":false,"suffix":""}],"id":"ITEM-1","issue":"1","issued":{"date-parts":[["2021"]]},"page":"58-71","title":"Analisis Pengaruh Tingkat Bagi Hasil, Inflasi, Dan Likuiditas Terhadap Deposito Mudharabah Pada Bank Umum Syariah Indonesia (Periode 2015-2019)","type":"article-journal","volume":"4"},"uris":["http://www.mendeley.com/documents/?uuid=3f00f5df-640d-4de6-93af-0386000afed1"]}],"mendeley":{"formattedCitation":"Rani Piuspitaningrum, Falahuddin, and Nurul Husna, “Analisis Pengaruh Tingkat Bagi Hasil, Inflasi, Dan Likuiditas Terhadap Deposito Mudharabah Pada Bank Umum Syariah Indonesia (Periode 2015-2019)” 4, no. 1 (2021): 58–71.","plainTextFormattedCitation":"Rani Piuspitaningrum, Falahuddin, and Nurul Husna, “Analisis Pengaruh Tingkat Bagi Hasil, Inflasi, Dan Likuiditas Terhadap Deposito Mudharabah Pada Bank Umum Syariah Indonesia (Periode 2015-2019)” 4, no. 1 (2021): 58–71.","previouslyFormattedCitation":"Rani Piuspitaningrum, Falahuddin, and Nurul Husna, “Analisis Pengaruh Tingkat Bagi Hasil, Inflasi, Dan Likuiditas Terhadap Deposito Mudharabah Pada Bank Umum Syariah Indonesia (Periode 2015-2019)” 4, no. 1 (2021): 58–71."},"properties":{"noteIndex":28},"schema":"https://github.com/citation-style-language/schema/raw/master/csl-citation.json"}</w:instrText>
      </w:r>
      <w:r w:rsidR="00202A6F" w:rsidRPr="00325C4B">
        <w:rPr>
          <w:rFonts w:asciiTheme="majorBidi" w:hAnsiTheme="majorBidi" w:cstheme="majorBidi"/>
          <w:lang w:val="sv-SE"/>
        </w:rPr>
        <w:fldChar w:fldCharType="separate"/>
      </w:r>
      <w:r w:rsidR="00202A6F" w:rsidRPr="00325C4B">
        <w:rPr>
          <w:rFonts w:asciiTheme="majorBidi" w:hAnsiTheme="majorBidi" w:cstheme="majorBidi"/>
          <w:noProof/>
          <w:lang w:val="sv-SE"/>
        </w:rPr>
        <w:t>Rani Piuspitaningrum, Falahuddin, and Nurul Husna, “Analisis Pengaruh Tingkat Bagi Hasil, Inflasi, Dan Likuiditas Terhadap Deposito Mudharabah Pada Bank Umum Syariah Indonesia (Periode 2015-2019)” 4, no. 1 (2021): 58–71.</w:t>
      </w:r>
      <w:r w:rsidR="00202A6F" w:rsidRPr="00325C4B">
        <w:rPr>
          <w:rFonts w:asciiTheme="majorBidi" w:hAnsiTheme="majorBidi" w:cstheme="majorBidi"/>
          <w:lang w:val="sv-SE"/>
        </w:rPr>
        <w:fldChar w:fldCharType="end"/>
      </w:r>
    </w:p>
  </w:footnote>
  <w:footnote w:id="29">
    <w:p w14:paraId="08917148" w14:textId="39F3967E" w:rsidR="00EB7547" w:rsidRPr="00325C4B" w:rsidRDefault="00EB7547"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lang w:val="sv-SE"/>
        </w:rPr>
        <w:fldChar w:fldCharType="begin" w:fldLock="1"/>
      </w:r>
      <w:r w:rsidR="00B1250B">
        <w:rPr>
          <w:rFonts w:asciiTheme="majorBidi" w:hAnsiTheme="majorBidi" w:cstheme="majorBidi"/>
          <w:lang w:val="sv-SE"/>
        </w:rPr>
        <w:instrText>ADDIN CSL_CITATION {"citationItems":[{"id":"ITEM-1","itemData":{"DOI":"10.22219/jes.v4i1.8752","ISSN":"2502-3918","abstract":"This study aims to determine the factors affect the amount of mudharaba deposits in Sharia Commercial Banks period 2014-2017. Factors affecting mudharaba deposits are used in this study which profit sharing rate, liquidity level measured by financing to deposit ratio, and inflation rate. The method used in this research is quantitative descriptive. The data used are secondary time series for the period of January 2014-December 2017 which has been published by the website of Bank Indonesia and Otoritas Jasa Keuangan (OJK). The method of analysis used is multiple linear regression. The results of this study indicate that the profit sharing rate, financing to deposit ratio and inflation rate significantly influence the number of mudharaba deposit accumulation. Variable of profit sharing rate have a positive relation to mudharaba deposit. However, the variable of financing to deposit ratio and inflation rate have a negative relation to mudharaba deposit.","author":[{"dropping-particle":"","family":"Febriani","given":"Firda Izzati","non-dropping-particle":"","parse-names":false,"suffix":""}],"container-title":"Falah: Jurnal Ekonomi Syariah","id":"ITEM-1","issue":"1","issued":{"date-parts":[["2019"]]},"page":"108","title":"Pengaruh Tingkat Bagi Hasil, Financing to Deposit Ratio (FDR) Dan Tingkat Inflasi Terhadap Deposito Mudharabah Pada Bank Umum Syariah (BUS) Periode 2014 – 2017","type":"article-journal","volume":"4"},"uris":["http://www.mendeley.com/documents/?uuid=42c62c87-a0e6-4191-88ce-e93bd9aea831"]}],"mendeley":{"formattedCitation":"Firda Izzati Febriani, “Pengaruh Tingkat Bagi Hasil, Financing to Deposit Ratio (FDR) Dan Tingkat Inflasi Terhadap Deposito Mudharabah Pada Bank Umum Syariah (BUS) Periode 2014 – 2017,” &lt;i&gt;Falah: Jurnal Ekonomi Syariah&lt;/i&gt; 4, no. 1 (2019): 108, https://doi.org/10.22219/jes.v4i1.8752.","plainTextFormattedCitation":"Firda Izzati Febriani, “Pengaruh Tingkat Bagi Hasil, Financing to Deposit Ratio (FDR) Dan Tingkat Inflasi Terhadap Deposito Mudharabah Pada Bank Umum Syariah (BUS) Periode 2014 – 2017,” Falah: Jurnal Ekonomi Syariah 4, no. 1 (2019): 108, https://doi.org/10.22219/jes.v4i1.8752.","previouslyFormattedCitation":"Firda Izzati Febriani, “Pengaruh Tingkat Bagi Hasil, Financing to Deposit Ratio (FDR) Dan Tingkat Inflasi Terhadap Deposito Mudharabah Pada Bank Umum Syariah (BUS) Periode 2014 – 2017,” &lt;i&gt;Falah: Jurnal Ekonomi Syariah&lt;/i&gt; 4, no. 1 (2019): 108, https://doi.org/10.22219/jes.v4i1.8752."},"properties":{"noteIndex":29},"schema":"https://github.com/citation-style-language/schema/raw/master/csl-citation.json"}</w:instrText>
      </w:r>
      <w:r w:rsidRPr="00325C4B">
        <w:rPr>
          <w:rFonts w:asciiTheme="majorBidi" w:hAnsiTheme="majorBidi" w:cstheme="majorBidi"/>
          <w:lang w:val="sv-SE"/>
        </w:rPr>
        <w:fldChar w:fldCharType="separate"/>
      </w:r>
      <w:r w:rsidRPr="00325C4B">
        <w:rPr>
          <w:rFonts w:asciiTheme="majorBidi" w:hAnsiTheme="majorBidi" w:cstheme="majorBidi"/>
          <w:noProof/>
          <w:lang w:val="sv-SE"/>
        </w:rPr>
        <w:t xml:space="preserve">Firda Izzati Febriani, “Pengaruh Tingkat Bagi Hasil, Financing to Deposit Ratio (FDR) Dan Tingkat Inflasi Terhadap Deposito Mudharabah Pada Bank Umum Syariah (BUS) Periode 2014 – 2017,” </w:t>
      </w:r>
      <w:r w:rsidRPr="00325C4B">
        <w:rPr>
          <w:rFonts w:asciiTheme="majorBidi" w:hAnsiTheme="majorBidi" w:cstheme="majorBidi"/>
          <w:i/>
          <w:noProof/>
          <w:lang w:val="sv-SE"/>
        </w:rPr>
        <w:t>Falah: Jurnal Ekonomi Syariah</w:t>
      </w:r>
      <w:r w:rsidRPr="00325C4B">
        <w:rPr>
          <w:rFonts w:asciiTheme="majorBidi" w:hAnsiTheme="majorBidi" w:cstheme="majorBidi"/>
          <w:noProof/>
          <w:lang w:val="sv-SE"/>
        </w:rPr>
        <w:t xml:space="preserve"> 4, no. 1 (2019): 108, https://doi.org/10.22219/jes.v4i1.8752.</w:t>
      </w:r>
      <w:r w:rsidRPr="00325C4B">
        <w:rPr>
          <w:rFonts w:asciiTheme="majorBidi" w:hAnsiTheme="majorBidi" w:cstheme="majorBidi"/>
          <w:lang w:val="sv-SE"/>
        </w:rPr>
        <w:fldChar w:fldCharType="end"/>
      </w:r>
      <w:r w:rsidRPr="00325C4B">
        <w:rPr>
          <w:rFonts w:asciiTheme="majorBidi" w:hAnsiTheme="majorBidi" w:cstheme="majorBidi"/>
          <w:lang w:val="sv-SE"/>
        </w:rPr>
        <w:t xml:space="preserve"> Hal.116</w:t>
      </w:r>
    </w:p>
  </w:footnote>
  <w:footnote w:id="30">
    <w:p w14:paraId="69A3B9AC" w14:textId="28EBD20E" w:rsidR="00963480" w:rsidRPr="00325C4B" w:rsidRDefault="00963480"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{"citationItems":[{"id":"ITEM-1","itemData":{"abstract":"The purpose of this research is to test the influence of interest rate and nisbah of profit sharing to the mudharabah saving deposit at Bank BRI Syariah. The independent variables are the interest rate and the nisbah of profit sharing and whereas the dependent variable is the mudharabah saving deposit. The sample is Bank BRI Syariah and the observation data are 20 observations from January 2009 to September 2015. The data has been obtained from three quarter statements of Bank BRI Syariah through Indonesia Stock Exchange and Financial Statistics of Bank Indonesia. This research uses correlational research with quantitative approach. The analysis method has been done by using multiple linear regressions.The result of the research shows that (a) the interest rate does not have any influence to the mudharabah saving deposit at Bank BRI Syariah, which means that changes in interest rates do not affect mudharabah saving deposits at Bank BRI Syariah due to the fact that there is a belief that bank interest is contradicted to the religion and (b) the nisbah of profit sharing shows positive influence to the mudharabah saving deposit at Bank BRI Syariah which means that when the nisbah of profit sharing that has been given by Bank BRI Syariah to the bank customers is increasing, it will enhance the amount of mudharabah saving deposit.","author":[{"dropping-particle":"","family":"Alinda","given":"Rika Putri Nur","non-dropping-particle":"","parse-names":false,"suffix":""},{"dropping-particle":"","family":"Riduwan","given":"Akmad","non-dropping-particle":"","parse-names":false,"suffix":""}],"id":"ITEM-1","issued":{"date-parts":[["2016"]]},"page":"1-15","title":"Pengaruh Tingkat Suku Bunga Bank Dan Nisbah Bagi Hasil Pada Deposito Mudharabah","type":"article-journal","volume":"5"},"uris":["http://www.mendeley.com/documents/?uuid=ce470f6f-2d54-4aff-bcfb-6181e2e9ffe2"]}],"mendeley":{"formattedCitation":"Rika Putri Nur Alinda and Akmad Riduwan, “Pengaruh Tingkat Suku Bunga Bank Dan Nisbah Bagi Hasil Pada Deposito Mudharabah” 5 (2016): 1–15.","plainTextFormattedCitation":"Rika Putri Nur Alinda and Akmad Riduwan, “Pengaruh Tingkat Suku Bunga Bank Dan Nisbah Bagi Hasil Pada Deposito Mudharabah” 5 (2016): 1–15.","previouslyFormattedCitation":"Rika Putri Nur Alinda and Akmad Riduwan, “Pengaruh Tingkat Suku Bunga Bank Dan Nisbah Bagi Hasil Pada Deposito Mudharabah” 5 (2016): 1–15."},"properties":{"noteIndex":30},"schema":"https://github.com/citation-style-language/schema/raw/master/csl-citation.json"}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sv-SE"/>
        </w:rPr>
        <w:t>Rika Putri Nur Alinda and Akmad Riduwan, “Pengaruh Tingkat Suku Bunga Bank Dan Nisbah Bagi Hasil Pada Deposito Mudharabah” 5 (2016): 1–15.</w:t>
      </w:r>
      <w:r w:rsidRPr="00325C4B">
        <w:rPr>
          <w:rFonts w:asciiTheme="majorBidi" w:hAnsiTheme="majorBidi" w:cstheme="majorBidi"/>
        </w:rPr>
        <w:fldChar w:fldCharType="end"/>
      </w:r>
    </w:p>
  </w:footnote>
  <w:footnote w:id="31">
    <w:p w14:paraId="4EE7906B" w14:textId="2CC1A65B" w:rsidR="00963480" w:rsidRPr="00325C4B" w:rsidRDefault="00963480"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{"citationItems":[{"id":"ITEM-1","itemData":{"DOI":"10.46367/jas.v6i1.505","ISSN":"25493086","abstract":"This study aims to show the effect of profit-sharing, promotion costs, operational efficiency, and company size on the number of mudharabah deposits. This study includes quantitative using secondary data from Islamic commercial banks (ICB). The population of this study is ICB registered with the financial services authority (FSA) in 2015-2020. The sample selection used the purposive sampling technique. The sample was obtained from as many as 8 ICB for six years, so the total data was 48. The data analysis method used multiple linear regression with the help of e-views software. The results showed that profit sharing and company size positively and significantly affected the number of mudharabah deposits. Promotion costs and operational efficiency do not affect the number of mudharabah deposits. Simultaneously profit-sharing, promotion costs, operational efficiency, and company size affect the number of mudharabah deposits. This study can be a reference for ICB management in improving its performance, especially in enlarging ICB. Then increase the profit-sharing customers receive, so customers are more interested in depositing their funds in the ICB.","author":[{"dropping-particle":"","family":"Sifki","given":"Nurhidayatus","non-dropping-particle":"","parse-names":false,"suffix":""},{"dropping-particle":"","family":"Dalimunthe","given":"Ibram Pinondang","non-dropping-particle":"","parse-names":false,"suffix":""}],"container-title":"JAS (Jurnal Akuntansi Syariah)","id":"ITEM-1","issue":"1","issued":{"date-parts":[["2022"]]},"page":"28-44","title":"Pengaruh Bagi Hasil, Biaya Promosi, Efisiensi Operasional Dan Ukuran Perusahaan Terhadap Jumlah Deposito Mudharabah","type":"article-journal","volume":"6"},"uris":["http://www.mendeley.com/documents/?uuid=5cc90624-910f-4d2a-9818-47738b9ec39a"]}],"mendeley":{"formattedCitation":"Sifki and Dalimunthe, “Pengaruh Bagi Hasil, Biaya Promosi, Efisiensi Operasional Dan Ukuran Perusahaan Terhadap Jumlah Deposito Mudharabah.”","plainTextFormattedCitation":"Sifki and Dalimunthe, “Pengaruh Bagi Hasil, Biaya Promosi, Efisiensi Operasional Dan Ukuran Perusahaan Terhadap Jumlah Deposito Mudharabah.”","previouslyFormattedCitation":"Sifki and Dalimunthe, “Pengaruh Bagi Hasil, Biaya Promosi, Efisiensi Operasional Dan Ukuran Perusahaan Terhadap Jumlah Deposito Mudharabah.”"},"properties":{"noteIndex":31},"schema":"https://github.com/citation-style-language/schema/raw/master/csl-citation.json"}</w:instrText>
      </w:r>
      <w:r w:rsidRPr="00325C4B">
        <w:rPr>
          <w:rFonts w:asciiTheme="majorBidi" w:hAnsiTheme="majorBidi" w:cstheme="majorBidi"/>
        </w:rPr>
        <w:fldChar w:fldCharType="separate"/>
      </w:r>
      <w:r w:rsidR="00EB6351" w:rsidRPr="00325C4B">
        <w:rPr>
          <w:rFonts w:asciiTheme="majorBidi" w:hAnsiTheme="majorBidi" w:cstheme="majorBidi"/>
          <w:noProof/>
          <w:lang w:val="sv-SE"/>
        </w:rPr>
        <w:t>Sifki and Dalimunthe, “Pengaruh Bagi Hasil, Biaya Promosi, Efisiensi Operasional Dan Ukuran Perusahaan Terhadap Jumlah Deposito Mudharabah.”</w:t>
      </w:r>
      <w:r w:rsidRPr="00325C4B">
        <w:rPr>
          <w:rFonts w:asciiTheme="majorBidi" w:hAnsiTheme="majorBidi" w:cstheme="majorBidi"/>
        </w:rPr>
        <w:fldChar w:fldCharType="end"/>
      </w:r>
    </w:p>
  </w:footnote>
  <w:footnote w:id="32">
    <w:p w14:paraId="4266281C" w14:textId="15CC104E" w:rsidR="00EB7547" w:rsidRPr="00325C4B" w:rsidRDefault="00EB7547"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{"citationItems":[{"id":"ITEM-1","itemData":{"DOI":"10.25299/jtb.2022.vol5(2).9681","ISSN":"2621-6833","abstract":"Tujuan dari penelitian ini adalah untuk menganalisis serta menguji pengaruh nisbah bagi hasil, inflasi serta jumlah uang beredar (JUB) terhadap deposito mudharabah pada Bank Muamalat Indonesia baik secara simultan maupun parsial periode tahun 2014-2021. Jenis penelitian ini yaitu kuantitatif dengan studi penelitian pada Bank Muamalat Indonesia dengan menggunakan metode pengumpulan data berupa purposive sampling. Sampel dalam penelitian ini 32 data yang meliputi data keuangan BMI serta data inflasi maupun JUB dari website resmi Bank Indonesia serta Badan Pusat Statistik. Hasil penelitian secara parsial menghasilkan variabel nisbah bagi hasil yang terbukti berpengaruh terhadap deposito mudharabah pada BMI. Sedangkan variabel Inflasi dan JUB terbukti tidak berpengaruh terhadap deposito mudharabah pada BMI. Uji parsial menghasilkan bahwa variabel nisbah bagi hasil, inflasi maupun JUB secara simultan berpengaruh terhadap deposito mudharabah. Hal ini menunjukkan pentingnya perbankan syariah untuk memfokuskan kebijakan pada nisbah bagi hasil yang ditawarkan kepada nasabahnya dan tidak terpengaruh pada situasi keuangan eksternal dalam aspek inflasi dan JUB.","author":[{"dropping-particle":"","family":"Wahyu Fauziah","given":"Nafisah","non-dropping-particle":"","parse-names":false,"suffix":""},{"dropping-particle":"","family":"Segaf","given":"","non-dropping-particle":"","parse-names":false,"suffix":""}],"container-title":"Jurnal Tabarru': Islamic Banking and Finance","id":"ITEM-1","issue":"2","issued":{"date-parts":[["2022"]]},"page":"435-447","title":"Seberapa Pengaruh Penetapan Nisbah Bagi Hasil, Inflasi, Dan Jumlah Uang Beredar Terhadap Deposito Mudharabah Di Indonesia","type":"article-journal","volume":"5"},"uris":["http://www.mendeley.com/documents/?uuid=a4f1dce7-fe37-4204-94a0-859fb93af81e"]}],"mendeley":{"formattedCitation":"Wahyu Fauziah and Segaf, “Seberapa Pengaruh Penetapan Nisbah Bagi Hasil, Inflasi, Dan Jumlah Uang Beredar Terhadap Deposito Mudharabah Di Indonesia.”","plainTextFormattedCitation":"Wahyu Fauziah and Segaf, “Seberapa Pengaruh Penetapan Nisbah Bagi Hasil, Inflasi, Dan Jumlah Uang Beredar Terhadap Deposito Mudharabah Di Indonesia.”","previouslyFormattedCitation":"Wahyu Fauziah and Segaf, “Seberapa Pengaruh Penetapan Nisbah Bagi Hasil, Inflasi, Dan Jumlah Uang Beredar Terhadap Deposito Mudharabah Di Indonesia.”"},"properties":{"noteIndex":32},"schema":"https://github.com/citation-style-language/schema/raw/master/csl-citation.json"}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sv-SE"/>
        </w:rPr>
        <w:t>Wahyu Fauziah and Segaf, “Seberapa Pengaruh Penetapan Nisbah Bagi Hasil, Inflasi, Dan Jumlah Uang Beredar Terhadap Deposito Mudharabah Di Indonesia.”</w:t>
      </w:r>
      <w:r w:rsidRPr="00325C4B">
        <w:rPr>
          <w:rFonts w:asciiTheme="majorBidi" w:hAnsiTheme="majorBidi" w:cstheme="majorBidi"/>
        </w:rPr>
        <w:fldChar w:fldCharType="end"/>
      </w:r>
      <w:r w:rsidRPr="00325C4B">
        <w:rPr>
          <w:rFonts w:asciiTheme="majorBidi" w:hAnsiTheme="majorBidi" w:cstheme="majorBidi"/>
          <w:lang w:val="sv-SE"/>
        </w:rPr>
        <w:t xml:space="preserve"> Hal.446</w:t>
      </w:r>
    </w:p>
  </w:footnote>
  <w:footnote w:id="33">
    <w:p w14:paraId="3C637561" w14:textId="6D9E979C" w:rsidR="00963480" w:rsidRPr="00325C4B" w:rsidRDefault="00963480"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B1250B">
        <w:rPr>
          <w:rFonts w:asciiTheme="majorBidi" w:hAnsiTheme="majorBidi" w:cstheme="majorBidi"/>
          <w:lang w:val="sv-SE"/>
        </w:rPr>
        <w:instrText>ADDIN CSL_CITATION {"citationItems":[{"id":"ITEM-1","itemData":{"abstract":"This research is meant to test the influence of inflation rates, interest rates, liquidity rates which are proxy by the finance to deposit ratio and profit sharing rates to the amount of mudharabah deposit at Bank Rakyat Indonesia Syariah in 2010-2014. This research applies quantitative method. The data has been done by using secondary data and time series which have been retrieved from the financial statement of Bank Rakyat Indonesia Syariah and the Financial Statistic of Bank Indonesia. The sample uses quarterly financial statement from 2010 to 2014. The regressions analysis has been done by using significance test of the influence of inflation rates, interest rates, liquidity rates which are proxy by the finance to deposit ratio and profit sharing rates partially to the mudharabah deposit. The result of this research gives prove that: (a) inflation rates does not have any influence to the amount of deposit mudharabah; (b) the interest rates has positive significant to the amount of deposit mudharabah of Bank Rakyat Indonesia Syariah because when the interest of conventional bank increase, the amount of deposit mudharabah do not experience dramatic changes because the customers still invest their fund at Bank Rakyat Indonesia Syariah; (c) finance to deposit ratio does not have any influence to the amount of mudharabah deposit; and (d) the rates of share profit does not have any influence to the amount of mudharabah deposit.","author":[{"dropping-particle":"Al","family":"Farizi","given":"Fauzan","non-dropping-particle":"","parse-names":false,"suffix":""},{"dropping-particle":"","family":"Riduwan","given":"Akhmad","non-dropping-particle":"","parse-names":false,"suffix":""}],"container-title":"Jurnal Ilmu dan Riset Akuntansi","id":"ITEM-1","issue":"4","issued":{"date-parts":[["2016"]]},"page":"1-16","title":"Pengaruh Inflasi, Suku Bunga, Likuiditas, Dan Bagi Hasil Terhadap Deposito Mudharabah","type":"article-journal","volume":"5"},"uris":["http://www.mendeley.com/documents/?uuid=6adda9a1-8edb-4631-9128-309d60777628"]}],"mendeley":{"formattedCitation":"Farizi and Riduwan, “Pengaruh Inflasi, Suku Bunga, Likuiditas, Dan Bagi Hasil Terhadap Deposito Mudharabah.”","plainTextFormattedCitation":"Farizi and Riduwan, “Pengaruh Inflasi, Suku Bunga, Likuiditas, Dan Bagi Hasil Terhadap Deposito Mudharabah.”","previouslyFormattedCitation":"Farizi and Riduwan, “Pengaruh Inflasi, Suku Bunga, Likuiditas, Dan Bagi Hasil Terhadap Deposito Mudharabah.”"},"properties":{"noteIndex":33},"schema":"https://github.com/citation-style-language/schema/raw/master/csl-citation.json"}</w:instrText>
      </w:r>
      <w:r w:rsidRPr="00325C4B">
        <w:rPr>
          <w:rFonts w:asciiTheme="majorBidi" w:hAnsiTheme="majorBidi" w:cstheme="majorBidi"/>
        </w:rPr>
        <w:fldChar w:fldCharType="separate"/>
      </w:r>
      <w:r w:rsidR="009F5161" w:rsidRPr="00325C4B">
        <w:rPr>
          <w:rFonts w:asciiTheme="majorBidi" w:hAnsiTheme="majorBidi" w:cstheme="majorBidi"/>
          <w:noProof/>
          <w:lang w:val="sv-SE"/>
        </w:rPr>
        <w:t>Farizi and Riduwan, “Pengaruh Inflasi, Suku Bunga, Likuiditas, Dan Bagi Hasil Terhadap Deposito Mudharabah.”</w:t>
      </w:r>
      <w:r w:rsidRPr="00325C4B">
        <w:rPr>
          <w:rFonts w:asciiTheme="majorBidi" w:hAnsiTheme="majorBidi" w:cstheme="majorBidi"/>
        </w:rPr>
        <w:fldChar w:fldCharType="end"/>
      </w:r>
    </w:p>
  </w:footnote>
  <w:footnote w:id="34">
    <w:p w14:paraId="6FD4B4A3" w14:textId="19926551" w:rsidR="00A34E7D" w:rsidRPr="00325C4B" w:rsidRDefault="00A34E7D"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lang w:val="sv-SE"/>
        </w:rPr>
        <w:fldChar w:fldCharType="begin" w:fldLock="1"/>
      </w:r>
      <w:r w:rsidR="00B1250B">
        <w:rPr>
          <w:rFonts w:asciiTheme="majorBidi" w:hAnsiTheme="majorBidi" w:cstheme="majorBidi"/>
          <w:lang w:val="sv-SE"/>
        </w:rPr>
        <w:instrText>ADDIN CSL_CITATION {"citationItems":[{"id":"ITEM-1","itemData":{"DOI":"10.25299/jtb.2022.vol5(2).9681","ISSN":"2621-6833","abstract":"Tujuan dari penelitian ini adalah untuk menganalisis serta menguji pengaruh nisbah bagi hasil, inflasi serta jumlah uang beredar (JUB) terhadap deposito mudharabah pada Bank Muamalat Indonesia baik secara simultan maupun parsial periode tahun 2014-2021. Jenis penelitian ini yaitu kuantitatif dengan studi penelitian pada Bank Muamalat Indonesia dengan menggunakan metode pengumpulan data berupa purposive sampling. Sampel dalam penelitian ini 32 data yang meliputi data keuangan BMI serta data inflasi maupun JUB dari website resmi Bank Indonesia serta Badan Pusat Statistik. Hasil penelitian secara parsial menghasilkan variabel nisbah bagi hasil yang terbukti berpengaruh terhadap deposito mudharabah pada BMI. Sedangkan variabel Inflasi dan JUB terbukti tidak berpengaruh terhadap deposito mudharabah pada BMI. Uji parsial menghasilkan bahwa variabel nisbah bagi hasil, inflasi maupun JUB secara simultan berpengaruh terhadap deposito mudharabah. Hal ini menunjukkan pentingnya perbankan syariah untuk memfokuskan kebijakan pada nisbah bagi hasil yang ditawarkan kepada nasabahnya dan tidak terpengaruh pada situasi keuangan eksternal dalam aspek inflasi dan JUB.","author":[{"dropping-particle":"","family":"Wahyu Fauziah","given":"Nafisah","non-dropping-particle":"","parse-names":false,"suffix":""},{"dropping-particle":"","family":"Segaf","given":"","non-dropping-particle":"","parse-names":false,"suffix":""}],"container-title":"Jurnal Tabarru': Islamic Banking and Finance","id":"ITEM-1","issue":"2","issued":{"date-parts":[["2022"]]},"page":"435-447","title":"Seberapa Pengaruh Penetapan Nisbah Bagi Hasil, Inflasi, Dan Jumlah Uang Beredar Terhadap Deposito Mudharabah Di Indonesia","type":"article-journal","volume":"5"},"uris":["http://www.mendeley.com/documents/?uuid=a4f1dce7-fe37-4204-94a0-859fb93af81e"]}],"mendeley":{"formattedCitation":"Wahyu Fauziah and Segaf, “Seberapa Pengaruh Penetapan Nisbah Bagi Hasil, Inflasi, Dan Jumlah Uang Beredar Terhadap Deposito Mudharabah Di Indonesia.”","plainTextFormattedCitation":"Wahyu Fauziah and Segaf, “Seberapa Pengaruh Penetapan Nisbah Bagi Hasil, Inflasi, Dan Jumlah Uang Beredar Terhadap Deposito Mudharabah Di Indonesia.”","previouslyFormattedCitation":"Wahyu Fauziah and Segaf, “Seberapa Pengaruh Penetapan Nisbah Bagi Hasil, Inflasi, Dan Jumlah Uang Beredar Terhadap Deposito Mudharabah Di Indonesia.”"},"properties":{"noteIndex":34},"schema":"https://github.com/citation-style-language/schema/raw/master/csl-citation.json"}</w:instrText>
      </w:r>
      <w:r w:rsidRPr="00325C4B">
        <w:rPr>
          <w:rFonts w:asciiTheme="majorBidi" w:hAnsiTheme="majorBidi" w:cstheme="majorBidi"/>
          <w:lang w:val="sv-SE"/>
        </w:rPr>
        <w:fldChar w:fldCharType="separate"/>
      </w:r>
      <w:r w:rsidRPr="00325C4B">
        <w:rPr>
          <w:rFonts w:asciiTheme="majorBidi" w:hAnsiTheme="majorBidi" w:cstheme="majorBidi"/>
          <w:noProof/>
          <w:lang w:val="sv-SE"/>
        </w:rPr>
        <w:t>Wahyu Fauziah and Segaf, “Seberapa Pengaruh Penetapan Nisbah Bagi Hasil, Inflasi, Dan Jumlah Uang Beredar Terhadap Deposito Mudharabah Di Indonesia.”</w:t>
      </w:r>
      <w:r w:rsidRPr="00325C4B">
        <w:rPr>
          <w:rFonts w:asciiTheme="majorBidi" w:hAnsiTheme="majorBidi" w:cstheme="majorBidi"/>
          <w:lang w:val="sv-SE"/>
        </w:rPr>
        <w:fldChar w:fldCharType="end"/>
      </w:r>
      <w:r w:rsidRPr="00325C4B">
        <w:rPr>
          <w:rFonts w:asciiTheme="majorBidi" w:hAnsiTheme="majorBidi" w:cstheme="majorBidi"/>
          <w:lang w:val="sv-SE"/>
        </w:rPr>
        <w:t xml:space="preserve"> Hal.12</w:t>
      </w:r>
    </w:p>
  </w:footnote>
  <w:footnote w:id="35">
    <w:p w14:paraId="5436572B" w14:textId="1B79D045" w:rsidR="00B1250B" w:rsidRPr="00711EBA" w:rsidRDefault="00B1250B" w:rsidP="009B563B">
      <w:pPr>
        <w:pStyle w:val="FootnoteText"/>
        <w:tabs>
          <w:tab w:val="left" w:pos="851"/>
        </w:tabs>
        <w:ind w:firstLine="720"/>
        <w:jc w:val="both"/>
        <w:rPr>
          <w:rFonts w:asciiTheme="majorBidi" w:hAnsiTheme="majorBidi" w:cstheme="majorBidi"/>
          <w:lang w:val="sv-SE"/>
        </w:rPr>
      </w:pPr>
      <w:r>
        <w:rPr>
          <w:rStyle w:val="FootnoteReference"/>
        </w:rPr>
        <w:footnoteRef/>
      </w:r>
      <w:r w:rsidRPr="00B1250B">
        <w:rPr>
          <w:lang w:val="sv-SE"/>
        </w:rPr>
        <w:t xml:space="preserve"> </w:t>
      </w:r>
      <w:r w:rsidR="00711EBA" w:rsidRPr="00711EBA">
        <w:rPr>
          <w:rFonts w:asciiTheme="majorBidi" w:hAnsiTheme="majorBidi" w:cstheme="majorBidi"/>
          <w:lang w:val="sv-SE"/>
        </w:rPr>
        <w:fldChar w:fldCharType="begin" w:fldLock="1"/>
      </w:r>
      <w:r w:rsidR="00E23066">
        <w:rPr>
          <w:rFonts w:asciiTheme="majorBidi" w:hAnsiTheme="majorBidi" w:cstheme="majorBidi"/>
          <w:lang w:val="sv-SE"/>
        </w:rPr>
        <w:instrText>ADDIN CSL_CITATION {"citationItems":[{"id":"ITEM-1","itemData":{"ISSN":"08608857","PMID":"14371128","author":[{"dropping-particle":"","family":"Wibowo","given":"Edhi Satriyo","non-dropping-particle":"","parse-names":false,"suffix":""},{"dropping-particle":"","family":"Syaichu","given":"Muhammad","non-dropping-particle":"","parse-names":false,"suffix":""}],"container-title":"Diponegoro Journal Of management","id":"ITEM-1","issue":"6","issued":{"date-parts":[["1955"]]},"page":"191","title":"Analisis Pengaruh Suku Bunga, INFLASI, CAR, BOPO, NPF TERHADAP PROFITABILITAS BANK SYARIAH","type":"article-journal","volume":"10"},"uris":["http://www.mendeley.com/documents/?uuid=1c40f81e-bc2a-42d1-ad69-5a1efd4316cb"]}],"mendeley":{"formattedCitation":"Edhi Satriyo Wibowo and Muhammad Syaichu, “Analisis Pengaruh Suku Bunga, INFLASI, CAR, BOPO, NPF TERHADAP PROFITABILITAS BANK SYARIAH,” &lt;i&gt;Diponegoro Journal Of Management&lt;/i&gt; 10, no. 6 (1955): 191.","plainTextFormattedCitation":"Edhi Satriyo Wibowo and Muhammad Syaichu, “Analisis Pengaruh Suku Bunga, INFLASI, CAR, BOPO, NPF TERHADAP PROFITABILITAS BANK SYARIAH,” Diponegoro Journal Of Management 10, no. 6 (1955): 191.","previouslyFormattedCitation":"Edhi Satriyo Wibowo and Muhammad Syaichu, “Analisis Pengaruh Suku Bunga, INFLASI, CAR, BOPO, NPF TERHADAP PROFITABILITAS BANK SYARIAH,” &lt;i&gt;Diponegoro Journal Of Management&lt;/i&gt; 10, no. 6 (1955): 191."},"properties":{"noteIndex":35},"schema":"https://github.com/citation-style-language/schema/raw/master/csl-citation.json"}</w:instrText>
      </w:r>
      <w:r w:rsidR="00711EBA" w:rsidRPr="00711EBA">
        <w:rPr>
          <w:rFonts w:asciiTheme="majorBidi" w:hAnsiTheme="majorBidi" w:cstheme="majorBidi"/>
          <w:lang w:val="sv-SE"/>
        </w:rPr>
        <w:fldChar w:fldCharType="separate"/>
      </w:r>
      <w:r w:rsidR="00E23066" w:rsidRPr="00E23066">
        <w:rPr>
          <w:rFonts w:asciiTheme="majorBidi" w:hAnsiTheme="majorBidi" w:cstheme="majorBidi"/>
          <w:noProof/>
          <w:lang w:val="sv-SE"/>
        </w:rPr>
        <w:t xml:space="preserve">Edhi Satriyo Wibowo and Muhammad Syaichu, “Analisis Pengaruh Suku Bunga, INFLASI, CAR, BOPO, NPF </w:t>
      </w:r>
      <w:r w:rsidR="009B563B" w:rsidRPr="00E23066">
        <w:rPr>
          <w:rFonts w:asciiTheme="majorBidi" w:hAnsiTheme="majorBidi" w:cstheme="majorBidi"/>
          <w:noProof/>
          <w:lang w:val="sv-SE"/>
        </w:rPr>
        <w:t>Terhadap</w:t>
      </w:r>
      <w:r w:rsidR="00E23066" w:rsidRPr="00E23066">
        <w:rPr>
          <w:rFonts w:asciiTheme="majorBidi" w:hAnsiTheme="majorBidi" w:cstheme="majorBidi"/>
          <w:noProof/>
          <w:lang w:val="sv-SE"/>
        </w:rPr>
        <w:t xml:space="preserve"> </w:t>
      </w:r>
      <w:r w:rsidR="009B563B" w:rsidRPr="00E23066">
        <w:rPr>
          <w:rFonts w:asciiTheme="majorBidi" w:hAnsiTheme="majorBidi" w:cstheme="majorBidi"/>
          <w:noProof/>
          <w:lang w:val="sv-SE"/>
        </w:rPr>
        <w:t>Profitabilitas</w:t>
      </w:r>
      <w:r w:rsidR="00E23066" w:rsidRPr="00E23066">
        <w:rPr>
          <w:rFonts w:asciiTheme="majorBidi" w:hAnsiTheme="majorBidi" w:cstheme="majorBidi"/>
          <w:noProof/>
          <w:lang w:val="sv-SE"/>
        </w:rPr>
        <w:t xml:space="preserve"> </w:t>
      </w:r>
      <w:r w:rsidR="009B563B" w:rsidRPr="00E23066">
        <w:rPr>
          <w:rFonts w:asciiTheme="majorBidi" w:hAnsiTheme="majorBidi" w:cstheme="majorBidi"/>
          <w:noProof/>
          <w:lang w:val="sv-SE"/>
        </w:rPr>
        <w:t>Bank Syariah</w:t>
      </w:r>
      <w:r w:rsidR="00E23066" w:rsidRPr="00E23066">
        <w:rPr>
          <w:rFonts w:asciiTheme="majorBidi" w:hAnsiTheme="majorBidi" w:cstheme="majorBidi"/>
          <w:noProof/>
          <w:lang w:val="sv-SE"/>
        </w:rPr>
        <w:t xml:space="preserve">,” </w:t>
      </w:r>
      <w:r w:rsidR="00E23066" w:rsidRPr="00E23066">
        <w:rPr>
          <w:rFonts w:asciiTheme="majorBidi" w:hAnsiTheme="majorBidi" w:cstheme="majorBidi"/>
          <w:i/>
          <w:noProof/>
          <w:lang w:val="sv-SE"/>
        </w:rPr>
        <w:t>Diponegoro Journal Of Management</w:t>
      </w:r>
      <w:r w:rsidR="00E23066" w:rsidRPr="00E23066">
        <w:rPr>
          <w:rFonts w:asciiTheme="majorBidi" w:hAnsiTheme="majorBidi" w:cstheme="majorBidi"/>
          <w:noProof/>
          <w:lang w:val="sv-SE"/>
        </w:rPr>
        <w:t xml:space="preserve"> 10, no. 6 (1955): 191.</w:t>
      </w:r>
      <w:r w:rsidR="00711EBA" w:rsidRPr="00711EBA">
        <w:rPr>
          <w:rFonts w:asciiTheme="majorBidi" w:hAnsiTheme="majorBidi" w:cstheme="majorBidi"/>
          <w:lang w:val="sv-SE"/>
        </w:rPr>
        <w:fldChar w:fldCharType="end"/>
      </w:r>
    </w:p>
  </w:footnote>
  <w:footnote w:id="36">
    <w:p w14:paraId="79371DDB" w14:textId="2D50D481" w:rsidR="00711EBA" w:rsidRPr="00711EBA" w:rsidRDefault="00711EBA" w:rsidP="00E23066">
      <w:pPr>
        <w:pStyle w:val="FootnoteText"/>
        <w:ind w:firstLine="720"/>
        <w:jc w:val="both"/>
        <w:rPr>
          <w:lang w:val="sv-SE"/>
        </w:rPr>
      </w:pPr>
      <w:r>
        <w:rPr>
          <w:rStyle w:val="FootnoteReference"/>
        </w:rPr>
        <w:footnoteRef/>
      </w:r>
      <w:r w:rsidRPr="00711EBA">
        <w:rPr>
          <w:lang w:val="sv-SE"/>
        </w:rPr>
        <w:t xml:space="preserve"> </w:t>
      </w:r>
      <w:r w:rsidRPr="00711EBA">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{"citationItems":[{"id":"ITEM-1","itemData":{"author":[{"dropping-particle":"","family":"Antonio","given":"Muhammad Syafi'i","non-dropping-particle":"","parse-names":false,"suffix":""}],"edition":"ke-11","id":"ITEM-1","issued":{"date-parts":[["2007"]]},"publisher":"Gema Insani","title":"Bank syariah : dari teori ke praktik","type":"book"},"uris":["http://www.mendeley.com/documents/?uuid=be8e0f82-79ac-4761-87ee-5e85a5cae126"]}],"mendeley":{"formattedCitation":"Muhammad Syafi’i Antonio, &lt;i&gt;Bank Syariah : Dari Teori Ke Praktik&lt;/i&gt;, ke-11 (Gema Insani, 2007), https://books.google.co.id/books?id=r3yFiZMvgdAC&amp;lpg=PA1&amp;ots=Iu0fuPNQp0&amp;dq=Antonio%2C M. S. (2011). Bank Syariah%3A Dari Teori ke Praktik&amp;lr&amp;hl=id&amp;pg=PR4#v=onepage&amp;q&amp;f=false.","plainTextFormattedCitation":"Muhammad Syafi’i Antonio, Bank Syariah : Dari Teori Ke Praktik, ke-11 (Gema Insani, 2007), https://books.google.co.id/books?id=r3yFiZMvgdAC&amp;lpg=PA1&amp;ots=Iu0fuPNQp0&amp;dq=Antonio%2C M. S. (2011). Bank Syariah%3A Dari Teori ke Praktik&amp;lr&amp;hl=id&amp;pg=PR4#v=onepage&amp;q&amp;f=false.","previouslyFormattedCitation":"Muhammad Syafi’i Antonio, &lt;i&gt;Bank Syariah : Dari Teori Ke Praktik&lt;/i&gt;, ke-11 (Gema Insani, 2007), https://books.google.co.id/books?id=r3yFiZMvgdAC&amp;lpg=PA1&amp;ots=Iu0fuPNQp0&amp;dq=Antonio%2C M. S. (2011). Bank Syariah%3A Dari Teori ke Praktik&amp;lr&amp;hl=id&amp;pg=PR4#v=onepage&amp;q&amp;f=false."},"properties":{"noteIndex":36},"schema":"https://github.com/citation-style-language/schema/raw/master/csl-citation.json"}</w:instrText>
      </w:r>
      <w:r w:rsidRPr="00711EBA">
        <w:rPr>
          <w:rFonts w:asciiTheme="majorBidi" w:hAnsiTheme="majorBidi" w:cstheme="majorBidi"/>
        </w:rPr>
        <w:fldChar w:fldCharType="separate"/>
      </w:r>
      <w:r w:rsidRPr="00711EBA">
        <w:rPr>
          <w:rFonts w:asciiTheme="majorBidi" w:hAnsiTheme="majorBidi" w:cstheme="majorBidi"/>
          <w:noProof/>
          <w:lang w:val="sv-SE"/>
        </w:rPr>
        <w:t xml:space="preserve">Muhammad Syafi’i Antonio, </w:t>
      </w:r>
      <w:r w:rsidRPr="00711EBA">
        <w:rPr>
          <w:rFonts w:asciiTheme="majorBidi" w:hAnsiTheme="majorBidi" w:cstheme="majorBidi"/>
          <w:i/>
          <w:noProof/>
          <w:lang w:val="sv-SE"/>
        </w:rPr>
        <w:t>Bank Syariah : Dari Teori Ke Praktik</w:t>
      </w:r>
      <w:r w:rsidRPr="00711EBA">
        <w:rPr>
          <w:rFonts w:asciiTheme="majorBidi" w:hAnsiTheme="majorBidi" w:cstheme="majorBidi"/>
          <w:noProof/>
          <w:lang w:val="sv-SE"/>
        </w:rPr>
        <w:t>, ke-11 (Gema Insani, 2007), https://books.google.co.id/books?id=r3yFiZMvgdAC&amp;lpg=PA1&amp;ots=Iu0fuPNQp0&amp;dq=Antonio%2C M. S. (2011). Bank Syariah%3A Dari Teori ke Praktik&amp;lr&amp;hl=id&amp;pg=PR4#v=onepage&amp;q&amp;f=false.</w:t>
      </w:r>
      <w:r w:rsidRPr="00711EBA">
        <w:rPr>
          <w:rFonts w:asciiTheme="majorBidi" w:hAnsiTheme="majorBidi" w:cstheme="majorBidi"/>
        </w:rPr>
        <w:fldChar w:fldCharType="end"/>
      </w:r>
    </w:p>
  </w:footnote>
  <w:footnote w:id="37">
    <w:p w14:paraId="0A1531FF" w14:textId="54FA643D" w:rsidR="00E47DAC" w:rsidRPr="00E47DAC" w:rsidRDefault="00E47DAC" w:rsidP="00E23066">
      <w:pPr>
        <w:pStyle w:val="FootnoteText"/>
        <w:ind w:firstLine="720"/>
        <w:jc w:val="both"/>
        <w:rPr>
          <w:rFonts w:asciiTheme="majorBidi" w:hAnsiTheme="majorBidi" w:cstheme="majorBidi"/>
          <w:lang w:val="sv-SE"/>
        </w:rPr>
      </w:pPr>
      <w:r w:rsidRPr="00E47DAC">
        <w:rPr>
          <w:rStyle w:val="FootnoteReference"/>
          <w:rFonts w:asciiTheme="majorBidi" w:hAnsiTheme="majorBidi" w:cstheme="majorBidi"/>
        </w:rPr>
        <w:footnoteRef/>
      </w:r>
      <w:r w:rsidRPr="00E47DAC">
        <w:rPr>
          <w:rFonts w:asciiTheme="majorBidi" w:hAnsiTheme="majorBidi" w:cstheme="majorBidi"/>
          <w:lang w:val="sv-SE"/>
        </w:rPr>
        <w:t xml:space="preserve"> </w:t>
      </w:r>
      <w:r w:rsidRPr="00E47DAC">
        <w:rPr>
          <w:rFonts w:asciiTheme="majorBidi" w:hAnsiTheme="majorBidi" w:cstheme="majorBidi"/>
        </w:rPr>
        <w:fldChar w:fldCharType="begin" w:fldLock="1"/>
      </w:r>
      <w:r>
        <w:rPr>
          <w:rFonts w:asciiTheme="majorBidi" w:hAnsiTheme="majorBidi" w:cstheme="majorBidi"/>
          <w:lang w:val="sv-SE"/>
        </w:rPr>
        <w:instrText>ADDIN CSL_CITATION {"citationItems":[{"id":"ITEM-1","itemData":{"DOI":"10.31937/akuntansi.v10i2.978","ISSN":"2085-4595","abstract":"Penelitian ini bertujuan untuk menganalisis pengaruh Beban Operasional Pendapatan Operasional, Capital Adequacy Ratio, Financing to Deposits Ratio, Return on Assets terhadap tingkat bagi hasil deposito mudharabah pada Bank Umum Syariah di Indonesia baik secara parsial maupun simultan. Objek penelitian dalam penelitian ini adalah BOPO, CAR, FDRdanROA terhadap Tingkat Bagi Hasil Deposito Mudharabah pada bank umum syariah yang terdaftar di Bank Indonesia periode 2012-2016. Data yang digunakan. dalam penelitian ini adalah data sekunder yaitu berupa laporan tahunan Bank Umum Syariah (BUS) pada tahun 2012-2016. Teknik pengambilan sampel yang digunakan adalah Purposive sampling,. terdapat 8 Bank Umum Syariah yang memenuhi kriteria yang telah ditetapkan. Analisis data yang digunakan dalam penelitian ini adalah Analisis Deskriptif, Uji Asumsi Klasik (Uji Normalitas, Uji Multikolinearitas, Uji Heterokedastisitas, Uji Autokrelasi), Pengujian Model terdiri dari Uji Chow, Uji Hausman, Uji Lagrange Multiplier. Uji Hipotesis terdiri dari Analisis Regresi Data Panel, Uji t (Parsial) dan Uji F (Simultan). Hasil penelitian menyimpulkan, (1) BOPO secara parsial tidak berpengaruh terhadap tingkat bagi hasil deposito mudharabah pada Bank Umum Syariah di Indonesia tahun Periode 2012-2016, (2) CAR secara parsial tidak berpengaruh terhadap tingkat bagi hasil deposito mudharabah pada Bank Umum Syariah di Indonesia tahun Periode 2012-2016, (3) FDR secara parsial tidak berpengaruh terhadap tingkat bagi hasil deposito mudharabah pada Bank Umum Syariah di Indonesia tahun Periode 2012-2016, (4) ROA secara parsial berpengaruh terhadap tingkat bagi hasil deposito mudharabah pada Bank Umum Syariah di Indonesia tahun Periode 2012- 2016, (5) BOPO, CAR, FDR, ROA secara simultan berpengaruh signifikan terhadap tingkat bagi hasil deposito mudharabah pada Bank Umum Syariah di Indonesia tahun Periode 2012-2016.Kata Kunci: BOPO, CAR, FDR, ROA, Tingkat Bagi Hasil Deposito Mudharabah","author":[{"dropping-particle":"","family":"Sabtatianto","given":"Reandy","non-dropping-particle":"","parse-names":false,"suffix":""},{"dropping-particle":"","family":"Yusuf","given":"Muhamad","non-dropping-particle":"","parse-names":false,"suffix":""}],"container-title":"ULTIMA Accounting","id":"ITEM-1","issue":"2","issued":{"date-parts":[["2019"]]},"page":"169-186","title":"Pengaruh BOPO, CAR, FDR dan ROA terhadap Tingkat Bagi Hasil Deposito Mudharabah pada Bank Umum Syariah di Indonesia","type":"article-journal","volume":"10"},"uris":["http://www.mendeley.com/documents/?uuid=dc7c7c71-9ee8-47de-a3cd-fd7d85a4a48e"]}],"mendeley":{"formattedCitation":"Reandy Sabtatianto and Muhamad Yusuf, “Pengaruh BOPO, CAR, FDR Dan ROA Terhadap Tingkat Bagi Hasil Deposito Mudharabah Pada Bank Umum Syariah Di Indonesia,” &lt;i&gt;ULTIMA Accounting&lt;/i&gt; 10, no. 2 (2019): 169–86, https://doi.org/10.31937/akuntansi.v10i2.978.","plainTextFormattedCitation":"Reandy Sabtatianto and Muhamad Yusuf, “Pengaruh BOPO, CAR, FDR Dan ROA Terhadap Tingkat Bagi Hasil Deposito Mudharabah Pada Bank Umum Syariah Di Indonesia,” ULTIMA Accounting 10, no. 2 (2019): 169–86, https://doi.org/10.31937/akuntansi.v10i2.978.","previouslyFormattedCitation":"Reandy Sabtatianto and Muhamad Yusuf, “Pengaruh BOPO, CAR, FDR Dan ROA Terhadap Tingkat Bagi Hasil Deposito Mudharabah Pada Bank Umum Syariah Di Indonesia,” &lt;i&gt;ULTIMA Accounting&lt;/i&gt; 10, no. 2 (2019): 169–86, https://doi.org/10.31937/akuntansi.v10i2.978."},"properties":{"noteIndex":37},"schema":"https://github.com/citation-style-language/schema/raw/master/csl-citation.json"}</w:instrText>
      </w:r>
      <w:r w:rsidRPr="00E47DAC">
        <w:rPr>
          <w:rFonts w:asciiTheme="majorBidi" w:hAnsiTheme="majorBidi" w:cstheme="majorBidi"/>
        </w:rPr>
        <w:fldChar w:fldCharType="separate"/>
      </w:r>
      <w:r w:rsidRPr="00E47DAC">
        <w:rPr>
          <w:rFonts w:asciiTheme="majorBidi" w:hAnsiTheme="majorBidi" w:cstheme="majorBidi"/>
          <w:noProof/>
          <w:lang w:val="sv-SE"/>
        </w:rPr>
        <w:t xml:space="preserve">Reandy Sabtatianto and Muhamad Yusuf, “Pengaruh BOPO, CAR, FDR Dan ROA Terhadap Tingkat Bagi Hasil Deposito Mudharabah Pada Bank Umum Syariah Di Indonesia,” </w:t>
      </w:r>
      <w:r w:rsidRPr="00E47DAC">
        <w:rPr>
          <w:rFonts w:asciiTheme="majorBidi" w:hAnsiTheme="majorBidi" w:cstheme="majorBidi"/>
          <w:i/>
          <w:noProof/>
          <w:lang w:val="sv-SE"/>
        </w:rPr>
        <w:t>ULTIMA Accounting</w:t>
      </w:r>
      <w:r w:rsidRPr="00E47DAC">
        <w:rPr>
          <w:rFonts w:asciiTheme="majorBidi" w:hAnsiTheme="majorBidi" w:cstheme="majorBidi"/>
          <w:noProof/>
          <w:lang w:val="sv-SE"/>
        </w:rPr>
        <w:t xml:space="preserve"> 10, no. 2 (2019): 169–86, https://doi.org/10.31937/akuntansi.v10i2.978.</w:t>
      </w:r>
      <w:r w:rsidRPr="00E47DAC">
        <w:rPr>
          <w:rFonts w:asciiTheme="majorBidi" w:hAnsiTheme="majorBidi" w:cstheme="majorBidi"/>
        </w:rPr>
        <w:fldChar w:fldCharType="end"/>
      </w:r>
    </w:p>
  </w:footnote>
  <w:footnote w:id="38">
    <w:p w14:paraId="765550CC" w14:textId="1A489625" w:rsidR="00281950" w:rsidRPr="00E47DAC" w:rsidRDefault="00281950" w:rsidP="00420B70">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{"citationItems":[{"id":"ITEM-1","itemData":{"DOI":"10.33395/owner.v7i1.1360","ISSN":"2548-7507","abstract":"Penelitian ini bertujuan untuk menganalisis pengaruh efisiensi, kompetisi, dan inklusi terhadap stabilitas perbankan di Indonesia, serta membandingkan stabilitas antara bank syariah dan bank konvensional di Indonesia. Populasi dalam penelitian ini adalah bank syariah dan bank konvensional yang terdaftar di OJK selama periode 2017 – 2019. Teknik sampling yang digunakan adalah purposive sampling sehingga diperoleh jumlah sampel sebanyak 10 perusahaan perbankan. Data yang digunakan dalam penelitian ini adalah data sekunder yang diperoleh dari laporan keuangan masing-masing bank. Stabilitas bank diukur dengan proksi zscore dan rasio non performing financing/loan (NPF/L). Penelitian ini menggunakan regresi data panel dengan model random effect. Hasil penelitian menunjukkan bahwa efisiensi berpengaruh positif terhadap Zscore, namun sebaliknya berpengaruh negatif terhadap NPF/L. Kompetisi tidak berpengaruh terhadap Zscore, namun berpengaruh negatif terhadap NPF/L. Hasil ini mengonfirmasi teori competition fragility. Inklusi tidak berpengaruh terhadap Zscore, namun berpengaruh positif terhadap NPF/L. Perbandingan efisiensi, kompetisi dan inklusi menunjukkan tidak adanya perbedaan antara bank syariah dan bank konvensional. Penelitian ini juga menunjukkan adanya perbedaan stabilitas bank yang diukur dengan Zscore, dengan bank konvensional lebih stabil. Sedangkan stabilitas yang di ukur dengan NPF/L menunjukkan tidak adanya perbedaan antara bank syariah dan bank konvensional.","author":[{"dropping-particle":"","family":"Muhri","given":"Asriani","non-dropping-particle":"","parse-names":false,"suffix":""},{"dropping-particle":"","family":"Habbe","given":"Abdul Hamid","non-dropping-particle":"","parse-names":false,"suffix":""},{"dropping-particle":"","family":"Rura","given":"Yohanis","non-dropping-particle":"","parse-names":false,"suffix":""}],"container-title":"Owner","id":"ITEM-1","issue":"1","issued":{"date-parts":[["2022"]]},"page":"346-366","title":"Analisis Perbandingan Stabilitas Bank Syariah dan Bank Konvensional","type":"article-journal","volume":"7"},"uris":["http://www.mendeley.com/documents/?uuid=7b3306fb-9f80-4c73-bc10-73312df704be"]}],"mendeley":{"formattedCitation":"Asriani Muhri, Abdul Hamid Habbe, and Yohanis Rura, “Analisis Perbandingan Stabilitas Bank Syariah Dan Bank Konvensional,” &lt;i&gt;Owner&lt;/i&gt; 7, no. 1 (2022): 346–66, https://doi.org/10.33395/owner.v7i1.1360.","plainTextFormattedCitation":"Asriani Muhri, Abdul Hamid Habbe, and Yohanis Rura, “Analisis Perbandingan Stabilitas Bank Syariah Dan Bank Konvensional,” Owner 7, no. 1 (2022): 346–66, https://doi.org/10.33395/owner.v7i1.1360.","previouslyFormattedCitation":"Asriani Muhri, Abdul Hamid Habbe, and Yohanis Rura, “Analisis Perbandingan Stabilitas Bank Syariah Dan Bank Konvensional,” &lt;i&gt;Owner&lt;/i&gt; 7, no. 1 (2022): 346–66, https://doi.org/10.33395/owner.v7i1.1360."},"properties":{"noteIndex":38},"schema":"https://github.com/citation-style-language/schema/raw/master/csl-citation.json"}</w:instrText>
      </w:r>
      <w:r w:rsidRPr="00325C4B">
        <w:rPr>
          <w:rFonts w:asciiTheme="majorBidi" w:hAnsiTheme="majorBidi" w:cstheme="majorBidi"/>
          <w:lang w:val="sv-SE"/>
        </w:rPr>
        <w:fldChar w:fldCharType="separate"/>
      </w:r>
      <w:r w:rsidRPr="00325C4B">
        <w:rPr>
          <w:rFonts w:asciiTheme="majorBidi" w:hAnsiTheme="majorBidi" w:cstheme="majorBidi"/>
          <w:noProof/>
          <w:lang w:val="sv-SE"/>
        </w:rPr>
        <w:t xml:space="preserve">Asriani Muhri, Abdul Hamid Habbe, and Yohanis Rura, “Analisis Perbandingan Stabilitas Bank Syariah Dan Bank Konvensional,” </w:t>
      </w:r>
      <w:r w:rsidRPr="00325C4B">
        <w:rPr>
          <w:rFonts w:asciiTheme="majorBidi" w:hAnsiTheme="majorBidi" w:cstheme="majorBidi"/>
          <w:i/>
          <w:noProof/>
          <w:lang w:val="sv-SE"/>
        </w:rPr>
        <w:t>Owner</w:t>
      </w:r>
      <w:r w:rsidRPr="00325C4B">
        <w:rPr>
          <w:rFonts w:asciiTheme="majorBidi" w:hAnsiTheme="majorBidi" w:cstheme="majorBidi"/>
          <w:noProof/>
          <w:lang w:val="sv-SE"/>
        </w:rPr>
        <w:t xml:space="preserve"> 7, no. 1 (2022): 346–66, https://doi.org/10.33395/owner.v7i1.1360.</w:t>
      </w:r>
      <w:r w:rsidRPr="00325C4B">
        <w:rPr>
          <w:rFonts w:asciiTheme="majorBidi" w:hAnsiTheme="majorBidi" w:cstheme="majorBidi"/>
          <w:lang w:val="sv-SE"/>
        </w:rPr>
        <w:fldChar w:fldCharType="end"/>
      </w:r>
      <w:r w:rsidRPr="00E47DAC">
        <w:rPr>
          <w:rFonts w:asciiTheme="majorBidi" w:hAnsiTheme="majorBidi" w:cstheme="majorBidi"/>
        </w:rPr>
        <w:t>Hal.360</w:t>
      </w:r>
    </w:p>
  </w:footnote>
  <w:footnote w:id="39">
    <w:p w14:paraId="3DD64566" w14:textId="596AFD6E" w:rsidR="00281950" w:rsidRPr="00325C4B" w:rsidRDefault="00281950" w:rsidP="00420B70">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{"citationItems":[{"id":"ITEM-1","itemData":{"DOI":"10.56472/25835238/IRJEMS-V3I2P101","author":[{"dropping-particle":"","family":"Autantika","given":"Eka","non-dropping-particle":"","parse-names":false,"suffix":""},{"dropping-particle":"","family":"Surjandari","given":"Dwi Asih","non-dropping-particle":"","parse-names":false,"suffix":""}],"container-title":"International Research Journal of Economics and Management Studies","id":"ITEM-1","issue":"2","issued":{"date-parts":[["2024"]]},"page":"1-8","title":"The Effect of Digital Banking Capital Ratio , Efficiency Ratio, and Liquidity Ratio on Banking Financial Intermediation","type":"article-journal","volume":"3"},"uris":["http://www.mendeley.com/documents/?uuid=7c30a262-0bb9-4e08-bdc7-6656a12b0217"]}],"mendeley":{"formattedCitation":"Eka Autantika and Dwi Asih Surjandari, “The Effect of Digital Banking Capital Ratio , Efficiency Ratio, and Liquidity Ratio on Banking Financial Intermediation,” &lt;i&gt;International Research Journal of Economics and Management Studies&lt;/i&gt; 3, no. 2 (2024): 1–8, https://doi.org/10.56472/25835238/IRJEMS-V3I2P101.","plainTextFormattedCitation":"Eka Autantika and Dwi Asih Surjandari, “The Effect of Digital Banking Capital Ratio , Efficiency Ratio, and Liquidity Ratio on Banking Financial Intermediation,” International Research Journal of Economics and Management Studies 3, no. 2 (2024): 1–8, https://doi.org/10.56472/25835238/IRJEMS-V3I2P101.","previouslyFormattedCitation":"Eka Autantika and Dwi Asih Surjandari, “The Effect of Digital Banking Capital Ratio , Efficiency Ratio, and Liquidity Ratio on Banking Financial Intermediation,” &lt;i&gt;International Research Journal of Economics and Management Studies&lt;/i&gt; 3, no. 2 (2024): 1–8, https://doi.org/10.56472/25835238/IRJEMS-V3I2P101."},"properties":{"noteIndex":39},"schema":"https://github.com/citation-style-language/schema/raw/master/csl-citation.json"}</w:instrText>
      </w:r>
      <w:r w:rsidRPr="00325C4B">
        <w:rPr>
          <w:rFonts w:asciiTheme="majorBidi" w:hAnsiTheme="majorBidi" w:cstheme="majorBidi"/>
          <w:lang w:val="sv-SE"/>
        </w:rPr>
        <w:fldChar w:fldCharType="separate"/>
      </w:r>
      <w:r w:rsidRPr="00325C4B">
        <w:rPr>
          <w:rFonts w:asciiTheme="majorBidi" w:hAnsiTheme="majorBidi" w:cstheme="majorBidi"/>
          <w:noProof/>
        </w:rPr>
        <w:t xml:space="preserve">Eka Autantika and Dwi Asih Surjandari, “The Effect of Digital Banking Capital Ratio , Efficiency Ratio, and Liquidity Ratio on Banking Financial Intermediation,” </w:t>
      </w:r>
      <w:r w:rsidRPr="00325C4B">
        <w:rPr>
          <w:rFonts w:asciiTheme="majorBidi" w:hAnsiTheme="majorBidi" w:cstheme="majorBidi"/>
          <w:i/>
          <w:noProof/>
        </w:rPr>
        <w:t>International Research Journal of Economics and Management Studies</w:t>
      </w:r>
      <w:r w:rsidRPr="00325C4B">
        <w:rPr>
          <w:rFonts w:asciiTheme="majorBidi" w:hAnsiTheme="majorBidi" w:cstheme="majorBidi"/>
          <w:noProof/>
        </w:rPr>
        <w:t xml:space="preserve"> 3, no. 2 (2024): 1–8, https://doi.org/10.56472/25835238/IRJEMS-V3I2P101.</w:t>
      </w:r>
      <w:r w:rsidRPr="00325C4B">
        <w:rPr>
          <w:rFonts w:asciiTheme="majorBidi" w:hAnsiTheme="majorBidi" w:cstheme="majorBidi"/>
          <w:lang w:val="sv-SE"/>
        </w:rPr>
        <w:fldChar w:fldCharType="end"/>
      </w:r>
      <w:r w:rsidRPr="00325C4B">
        <w:rPr>
          <w:rFonts w:asciiTheme="majorBidi" w:hAnsiTheme="majorBidi" w:cstheme="majorBidi"/>
        </w:rPr>
        <w:t>Hal.2</w:t>
      </w:r>
    </w:p>
  </w:footnote>
  <w:footnote w:id="40">
    <w:p w14:paraId="01B5C938" w14:textId="615D21B9" w:rsidR="00281950" w:rsidRPr="00E47DAC" w:rsidRDefault="00281950" w:rsidP="00420B70">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{"citationItems":[{"id":"ITEM-1","itemData":{"DOI":"10.20473/baki.v6ix.26740","abstract":"This study aims to provide empirical evidence related with financial sector performance and the development of fintech lending in Indonesia","author":[{"dropping-particle":"","family":"Giovanni","given":"Axel","non-dropping-particle":"","parse-names":false,"suffix":""},{"dropping-particle":"","family":"Utami","given":"Devi Wahyu","non-dropping-particle":"","parse-names":false,"suffix":""},{"dropping-particle":"","family":"Jauzaa","given":"Alifa","non-dropping-particle":"","parse-names":false,"suffix":""},{"dropping-particle":"","family":"Lionora","given":"Clarisa Alfa","non-dropping-particle":"","parse-names":false,"suffix":""},{"dropping-particle":"","family":"Kunci","given":"Kata","non-dropping-particle":"","parse-names":false,"suffix":""}],"container-title":"Berkala Akuntansi dan Keuangan Indonesia, Edisi Spesial","id":"ITEM-1","issued":{"date-parts":[["2021"]]},"page":"70-89","title":"Performance Variability of State Owned Enterprises in Financial Sector and Financial Technology Companies during the Covid-19 Pandemic Variabilitas Kinerja BUMN Sektor Keuangan dan Perusahaan Financial Technology di Masa Pandemi Covid-19","type":"article-journal"},"uris":["http://www.mendeley.com/documents/?uuid=7782499a-ba2d-4c10-a866-ee0f0a3075ce"]}],"mendeley":{"formattedCitation":"Axel Giovanni et al., “Performance Variability of State Owned Enterprises in Financial Sector and Financial Technology Companies during the Covid-19 Pandemic Variabilitas Kinerja BUMN Sektor Keuangan Dan Perusahaan Financial Technology Di Masa Pandemi Covid-19,” &lt;i&gt;Berkala Akuntansi Dan Keuangan Indonesia, Edisi Spesial&lt;/i&gt;, 2021, 70–89, https://doi.org/10.20473/baki.v6ix.26740.","plainTextFormattedCitation":"Axel Giovanni et al., “Performance Variability of State Owned Enterprises in Financial Sector and Financial Technology Companies during the Covid-19 Pandemic Variabilitas Kinerja BUMN Sektor Keuangan Dan Perusahaan Financial Technology Di Masa Pandemi Covid-19,” Berkala Akuntansi Dan Keuangan Indonesia, Edisi Spesial, 2021, 70–89, https://doi.org/10.20473/baki.v6ix.26740.","previouslyFormattedCitation":"Axel Giovanni et al., “Performance Variability of State Owned Enterprises in Financial Sector and Financial Technology Companies during the Covid-19 Pandemic Variabilitas Kinerja BUMN Sektor Keuangan Dan Perusahaan Financial Technology Di Masa Pandemi Covid-19,” &lt;i&gt;Berkala Akuntansi Dan Keuangan Indonesia, Edisi Spesial&lt;/i&gt;, 2021, 70–89, https://doi.org/10.20473/baki.v6ix.26740."},"properties":{"noteIndex":40},"schema":"https://github.com/citation-style-language/schema/raw/master/csl-citation.json"}</w:instrText>
      </w:r>
      <w:r w:rsidRPr="00325C4B">
        <w:rPr>
          <w:rFonts w:asciiTheme="majorBidi" w:hAnsiTheme="majorBidi" w:cstheme="majorBidi"/>
          <w:lang w:val="sv-SE"/>
        </w:rPr>
        <w:fldChar w:fldCharType="separate"/>
      </w:r>
      <w:r w:rsidRPr="00325C4B">
        <w:rPr>
          <w:rFonts w:asciiTheme="majorBidi" w:hAnsiTheme="majorBidi" w:cstheme="majorBidi"/>
          <w:noProof/>
        </w:rPr>
        <w:t xml:space="preserve">Axel Giovanni et al., “Performance Variability of State Owned Enterprises in Financial Sector and Financial Technology Companies during the Covid-19 Pandemic Variabilitas Kinerja BUMN Sektor Keuangan Dan Perusahaan Financial Technology Di Masa Pandemi Covid-19,” </w:t>
      </w:r>
      <w:r w:rsidRPr="00325C4B">
        <w:rPr>
          <w:rFonts w:asciiTheme="majorBidi" w:hAnsiTheme="majorBidi" w:cstheme="majorBidi"/>
          <w:i/>
          <w:noProof/>
        </w:rPr>
        <w:t>Berkala Akuntansi Dan Keuangan Indonesia, Edisi Spesial</w:t>
      </w:r>
      <w:r w:rsidRPr="00325C4B">
        <w:rPr>
          <w:rFonts w:asciiTheme="majorBidi" w:hAnsiTheme="majorBidi" w:cstheme="majorBidi"/>
          <w:noProof/>
        </w:rPr>
        <w:t>, 2021, 70–89, https://doi.org/10.20473/baki.v6ix.26740.</w:t>
      </w:r>
      <w:r w:rsidRPr="00325C4B">
        <w:rPr>
          <w:rFonts w:asciiTheme="majorBidi" w:hAnsiTheme="majorBidi" w:cstheme="majorBidi"/>
          <w:lang w:val="sv-SE"/>
        </w:rPr>
        <w:fldChar w:fldCharType="end"/>
      </w:r>
      <w:r w:rsidRPr="00325C4B">
        <w:rPr>
          <w:rFonts w:asciiTheme="majorBidi" w:hAnsiTheme="majorBidi" w:cstheme="majorBidi"/>
          <w:lang w:val="sv-SE"/>
        </w:rPr>
        <w:t>Hal.75</w:t>
      </w:r>
    </w:p>
  </w:footnote>
  <w:footnote w:id="41">
    <w:p w14:paraId="48578342" w14:textId="72DF39F4" w:rsidR="00D51B6E" w:rsidRPr="00075226" w:rsidRDefault="00D51B6E" w:rsidP="0072691E">
      <w:pPr>
        <w:pStyle w:val="FootnoteText"/>
        <w:ind w:firstLine="720"/>
        <w:jc w:val="both"/>
        <w:rPr>
          <w:rFonts w:asciiTheme="majorBidi" w:hAnsiTheme="majorBidi" w:cstheme="majorBidi"/>
          <w:lang w:val="sv-SE"/>
        </w:rPr>
      </w:pPr>
      <w:r w:rsidRPr="00793C89">
        <w:rPr>
          <w:rStyle w:val="FootnoteReference"/>
          <w:rFonts w:asciiTheme="majorBidi" w:hAnsiTheme="majorBidi" w:cstheme="majorBidi"/>
        </w:rPr>
        <w:footnoteRef/>
      </w:r>
      <w:r w:rsidRPr="0031036E">
        <w:rPr>
          <w:rFonts w:asciiTheme="majorBidi" w:hAnsiTheme="majorBidi" w:cstheme="majorBidi"/>
        </w:rPr>
        <w:t xml:space="preserve"> </w:t>
      </w:r>
      <w:r w:rsidRPr="00793C89">
        <w:rPr>
          <w:rFonts w:asciiTheme="majorBidi" w:hAnsiTheme="majorBidi" w:cstheme="majorBidi"/>
          <w:lang w:val="sv-SE"/>
        </w:rPr>
        <w:fldChar w:fldCharType="begin" w:fldLock="1"/>
      </w:r>
      <w:r w:rsidR="00E47DAC" w:rsidRPr="0031036E">
        <w:rPr>
          <w:rFonts w:asciiTheme="majorBidi" w:hAnsiTheme="majorBidi" w:cstheme="majorBidi"/>
        </w:rPr>
        <w:instrText>ADDIN CSL_CITATION {"citationItems":[{"id":"ITEM-1","itemData":{"DOI":"10.33395/owner.v8i2.2331","ISSN":"2548-7507","abstract":"There are numerous factors that influence Non-Performing Loan (NPL) in the banking sector. This research aims to examine empirical evidence regarding factors affecting NPL, namely GDP Growth, inflation, reference interest rates, loan growth, Capital Adequacy Ratio (CAR), and Current Account Saving Account (CASA). The novelty of this research is proposing CASA as a new independent variable influencing NPL. Population of this research comprises all banks listed in the Forbes Global 2000 released in May 2022, located within ASEAN countries, and possessing financial information relevant to variables at the study period. The data were processed using panel data regression, using Fixed Effect Model. This research finds that, GDP Growth, CAR, and CASA were not proven to have a significant impact on NPL. However, inflation, central bank interest rates, and loan growth were found to have a negative impact on NPL. This study contributes primarily to monetary authorities in the ASEAN region.","author":[{"dropping-particle":"","family":"Rohadi","given":"Sigit Catur","non-dropping-particle":"","parse-names":false,"suffix":""},{"dropping-particle":"","family":"Sarumpaet","given":"Susi","non-dropping-particle":"","parse-names":false,"suffix":""},{"dropping-particle":"","family":"Syaipudin","given":"Usep","non-dropping-particle":"","parse-names":false,"suffix":""}],"container-title":"Owner","id":"ITEM-1","issue":"2","issued":{"date-parts":[["2024"]]},"page":"1917-1929","title":"Determinan Non-Performing Loan (NPL) Perbankan Kawasan ASEAN","type":"article-journal","volume":"8"},"uris":["http://www.mendeley.com/documents/?uuid=a3245db5-d983-4467-9b64-8ce464299707"]}],"mendeley":{"formattedCitation":"Sigit Catur Rohadi, Susi Sarumpaet, and Usep Syaipudin, “Determinan Non-Performing Loan (NPL) Perbankan Kawasan ASEAN,” &lt;i&gt;Owner&lt;/i&gt; 8, no. 2 (2024): 1917–29, https://doi.org/10.33395/owner.v8i2.2331.","plainTextFormattedCitation":"Sigit Catur Rohadi, Susi Sarumpaet, and Usep Syaipudin, “Determinan Non-Performing Loan (NPL) Perbankan Kawasan ASEAN,” Owner 8, no. 2 (2024): 1917–29, https://doi.org/10.33395/owner.v8i2.2331.","previouslyFormattedCitation":"Sigit Catur Rohadi, Susi Sarumpaet, and Usep Syaipudin, “Determinan Non-Performing Loan (NPL) Perbankan Kawasan ASEAN,” &lt;i&gt;Owner&lt;/i&gt; 8, no. 2 (2024): 1917–29, https://doi.org/10.33395/owner.v8i2.2331."},"properties":{"noteIndex":41},"schema":"https://github.com/citation-style-language/schema/raw/master/csl-citation.json"}</w:instrText>
      </w:r>
      <w:r w:rsidRPr="00793C89">
        <w:rPr>
          <w:rFonts w:asciiTheme="majorBidi" w:hAnsiTheme="majorBidi" w:cstheme="majorBidi"/>
          <w:lang w:val="sv-SE"/>
        </w:rPr>
        <w:fldChar w:fldCharType="separate"/>
      </w:r>
      <w:r w:rsidRPr="0031036E">
        <w:rPr>
          <w:rFonts w:asciiTheme="majorBidi" w:hAnsiTheme="majorBidi" w:cstheme="majorBidi"/>
          <w:noProof/>
        </w:rPr>
        <w:t xml:space="preserve">Sigit Catur Rohadi, Susi Sarumpaet, and Usep Syaipudin, “Determinan Non-Performing Loan (NPL) Perbankan Kawasan ASEAN,” </w:t>
      </w:r>
      <w:r w:rsidRPr="0031036E">
        <w:rPr>
          <w:rFonts w:asciiTheme="majorBidi" w:hAnsiTheme="majorBidi" w:cstheme="majorBidi"/>
          <w:i/>
          <w:noProof/>
        </w:rPr>
        <w:t>Owner</w:t>
      </w:r>
      <w:r w:rsidRPr="0031036E">
        <w:rPr>
          <w:rFonts w:asciiTheme="majorBidi" w:hAnsiTheme="majorBidi" w:cstheme="majorBidi"/>
          <w:noProof/>
        </w:rPr>
        <w:t xml:space="preserve"> 8, no. 2 (2024): 1917–29, https://doi.org/10.33395/owner.v8i2.2331.</w:t>
      </w:r>
      <w:r w:rsidRPr="00793C89">
        <w:rPr>
          <w:rFonts w:asciiTheme="majorBidi" w:hAnsiTheme="majorBidi" w:cstheme="majorBidi"/>
          <w:lang w:val="sv-SE"/>
        </w:rPr>
        <w:fldChar w:fldCharType="end"/>
      </w:r>
      <w:r w:rsidRPr="00793C89">
        <w:rPr>
          <w:rFonts w:asciiTheme="majorBidi" w:hAnsiTheme="majorBidi" w:cstheme="majorBidi"/>
          <w:lang w:val="sv-SE"/>
        </w:rPr>
        <w:t>Hal.1919</w:t>
      </w:r>
    </w:p>
  </w:footnote>
  <w:footnote w:id="42">
    <w:p w14:paraId="4E5F0414" w14:textId="7ED35417" w:rsidR="00FB0CC9" w:rsidRPr="006C7242" w:rsidRDefault="00FB0CC9" w:rsidP="006D6DA0">
      <w:pPr>
        <w:pStyle w:val="FootnoteText"/>
        <w:ind w:firstLine="720"/>
        <w:jc w:val="both"/>
        <w:rPr>
          <w:rFonts w:asciiTheme="majorBidi" w:hAnsiTheme="majorBidi" w:cstheme="majorBidi"/>
          <w:lang w:val="sv-SE"/>
        </w:rPr>
      </w:pPr>
      <w:r w:rsidRPr="006C7242">
        <w:rPr>
          <w:rStyle w:val="FootnoteReference"/>
          <w:rFonts w:asciiTheme="majorBidi" w:hAnsiTheme="majorBidi" w:cstheme="majorBidi"/>
        </w:rPr>
        <w:footnoteRef/>
      </w:r>
      <w:r w:rsidRPr="00466863">
        <w:rPr>
          <w:rFonts w:asciiTheme="majorBidi" w:hAnsiTheme="majorBidi" w:cstheme="majorBidi"/>
          <w:lang w:val="sv-SE"/>
        </w:rPr>
        <w:t xml:space="preserve"> </w:t>
      </w:r>
      <w:r w:rsidRPr="006C7242">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author":[{"dropping-particle":"","family":"Anggraini","given":"Tuti","non-dropping-particle":"","parse-names":false,"suffix":""},{"dropping-particle":"","family":"Lathief","given":"Muhammad","non-dropping-particle":"","parse-names":false,"suffix":""},{"dropping-particle":"","family":"Nasution","given":"Ilhamy","non-dropping-particle":"","parse-names":false,"suffix":""}],"id":"ITEM-1","issue":"2","issued":{"date-parts":[["2023"]]},"page":"327-339","title":"SEIKO : Journal of Management &amp; Business Analisis Risiko Pembiayaan Bagi Hasil Dengan Menggunakan Metode Risk Adjusted Return On Capital ( RAROC ) Pada Bank Pembiayaan Rakyat Syariah ( BPRS ) Di Indonesia Periode 2016-2022","type":"article-journal","volume":"6"},"uris":["http://www.mendeley.com/documents/?uuid=cc3cab6c-f406-4b5b-b5e3-d3e8dfa1c230"]}],"mendeley":{"formattedCitation":"Tuti Anggraini, Muhammad Lathief, and Ilhamy Nasution, “SEIKO : Journal of Management &amp; Business Analisis Risiko Pembiayaan Bagi Hasil Dengan Menggunakan Metode Risk Adjusted Return On Capital ( RAROC ) Pada Bank Pembiayaan Rakyat Syariah ( BPRS ) Di Indonesia Periode 2016-2022” 6, no. 2 (2023): 327–39.","plainTextFormattedCitation":"Tuti Anggraini, Muhammad Lathief, and Ilhamy Nasution, “SEIKO : Journal of Management &amp; Business Analisis Risiko Pembiayaan Bagi Hasil Dengan Menggunakan Metode Risk Adjusted Return On Capital ( RAROC ) Pada Bank Pembiayaan Rakyat Syariah ( BPRS ) Di Indonesia Periode 2016-2022” 6, no. 2 (2023): 327–39.","previouslyFormattedCitation":"Tuti Anggraini, Muhammad Lathief, and Ilhamy Nasution, “SEIKO : Journal of Management &amp; Business Analisis Risiko Pembiayaan Bagi Hasil Dengan Menggunakan Metode Risk Adjusted Return On Capital ( RAROC ) Pada Bank Pembiayaan Rakyat Syariah ( BPRS ) Di Indonesia Periode 2016-2022” 6, no. 2 (2023): 327–39."},"properties":{"noteIndex":42},"schema":"https://github.com/citation-style-language/schema/raw/master/csl-citation.json"}</w:instrText>
      </w:r>
      <w:r w:rsidRPr="006C7242">
        <w:rPr>
          <w:rFonts w:asciiTheme="majorBidi" w:hAnsiTheme="majorBidi" w:cstheme="majorBidi"/>
          <w:lang w:val="sv-SE"/>
        </w:rPr>
        <w:fldChar w:fldCharType="separate"/>
      </w:r>
      <w:r w:rsidRPr="00466863">
        <w:rPr>
          <w:rFonts w:asciiTheme="majorBidi" w:hAnsiTheme="majorBidi" w:cstheme="majorBidi"/>
          <w:noProof/>
          <w:lang w:val="sv-SE"/>
        </w:rPr>
        <w:t>Tuti Anggraini, Muhammad Lathief, and Ilhamy Nasution, “SEIKO : Journal of Management &amp; Business Analisis Risiko Pembiayaan Bagi Hasil Dengan Menggunakan Metode Risk Adjusted Return On Capital ( RAROC ) Pada Bank Pembiayaan Rakyat Syariah ( BPRS ) Di Indonesia Periode 2016-2022” 6, no. 2 (2023): 327–39.</w:t>
      </w:r>
      <w:r w:rsidRPr="006C7242">
        <w:rPr>
          <w:rFonts w:asciiTheme="majorBidi" w:hAnsiTheme="majorBidi" w:cstheme="majorBidi"/>
          <w:lang w:val="sv-SE"/>
        </w:rPr>
        <w:fldChar w:fldCharType="end"/>
      </w:r>
      <w:r w:rsidRPr="006C7242">
        <w:rPr>
          <w:rFonts w:asciiTheme="majorBidi" w:hAnsiTheme="majorBidi" w:cstheme="majorBidi"/>
          <w:lang w:val="sv-SE"/>
        </w:rPr>
        <w:t>Hal.332</w:t>
      </w:r>
    </w:p>
  </w:footnote>
  <w:footnote w:id="43">
    <w:p w14:paraId="1452EB8D" w14:textId="740B9887" w:rsidR="00FB0CC9" w:rsidRPr="00466863" w:rsidRDefault="00FB0CC9" w:rsidP="006D6DA0">
      <w:pPr>
        <w:pStyle w:val="FootnoteText"/>
        <w:ind w:firstLine="720"/>
        <w:jc w:val="both"/>
        <w:rPr>
          <w:rFonts w:asciiTheme="majorBidi" w:hAnsiTheme="majorBidi" w:cstheme="majorBidi"/>
          <w:lang w:val="sv-SE"/>
        </w:rPr>
      </w:pPr>
      <w:r w:rsidRPr="006C7242">
        <w:rPr>
          <w:rStyle w:val="FootnoteReference"/>
          <w:rFonts w:asciiTheme="majorBidi" w:hAnsiTheme="majorBidi" w:cstheme="majorBidi"/>
        </w:rPr>
        <w:footnoteRef/>
      </w:r>
      <w:r w:rsidRPr="006C7242">
        <w:rPr>
          <w:rFonts w:asciiTheme="majorBidi" w:hAnsiTheme="majorBidi" w:cstheme="majorBidi"/>
          <w:lang w:val="sv-SE"/>
        </w:rPr>
        <w:t xml:space="preserve"> </w:t>
      </w:r>
      <w:r w:rsidRPr="006C7242">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{"citationItems":[{"id":"ITEM-1","itemData":{"author":[{"dropping-particle":"","family":"Ahmad","given":"Farhat Amaliyah","non-dropping-particle":"","parse-names":false,"suffix":""}],"id":"ITEM-1","issue":"2","issued":{"date-parts":[["2018"]]},"title":"Manajemen Risiko terhadap Pembiayaan Murabahah di Bank Pembiayaan Rakyat Syariah","type":"article-journal","volume":"10"},"uris":["http://www.mendeley.com/documents/?uuid=1c507225-b7a9-4840-b180-24ebf265ced2"]}],"mendeley":{"formattedCitation":"Farhat Amaliyah Ahmad, “Manajemen Risiko Terhadap Pembiayaan Murabahah Di Bank Pembiayaan Rakyat Syariah” 10, no. 2 (2018).","plainTextFormattedCitation":"Farhat Amaliyah Ahmad, “Manajemen Risiko Terhadap Pembiayaan Murabahah Di Bank Pembiayaan Rakyat Syariah” 10, no. 2 (2018).","previouslyFormattedCitation":"Farhat Amaliyah Ahmad, “Manajemen Risiko Terhadap Pembiayaan Murabahah Di Bank Pembiayaan Rakyat Syariah” 10, no. 2 (2018)."},"properties":{"noteIndex":43},"schema":"https://github.com/citation-style-language/schema/raw/master/csl-citation.json"}</w:instrText>
      </w:r>
      <w:r w:rsidRPr="006C7242">
        <w:rPr>
          <w:rFonts w:asciiTheme="majorBidi" w:hAnsiTheme="majorBidi" w:cstheme="majorBidi"/>
          <w:lang w:val="sv-SE"/>
        </w:rPr>
        <w:fldChar w:fldCharType="separate"/>
      </w:r>
      <w:r w:rsidRPr="006C7242">
        <w:rPr>
          <w:rFonts w:asciiTheme="majorBidi" w:hAnsiTheme="majorBidi" w:cstheme="majorBidi"/>
          <w:noProof/>
          <w:lang w:val="sv-SE"/>
        </w:rPr>
        <w:t>Farhat Amaliyah Ahmad, “Manajemen Risiko Terhadap Pembiayaan Murabahah Di Bank Pembiayaan Rakyat Syariah” 10, no. 2 (2018).</w:t>
      </w:r>
      <w:r w:rsidRPr="006C7242">
        <w:rPr>
          <w:rFonts w:asciiTheme="majorBidi" w:hAnsiTheme="majorBidi" w:cstheme="majorBidi"/>
          <w:lang w:val="sv-SE"/>
        </w:rPr>
        <w:fldChar w:fldCharType="end"/>
      </w:r>
      <w:r w:rsidRPr="00466863">
        <w:rPr>
          <w:rFonts w:asciiTheme="majorBidi" w:hAnsiTheme="majorBidi" w:cstheme="majorBidi"/>
          <w:lang w:val="sv-SE"/>
        </w:rPr>
        <w:t>Hal.239</w:t>
      </w:r>
    </w:p>
  </w:footnote>
  <w:footnote w:id="44">
    <w:p w14:paraId="3DFC5B08" w14:textId="2503D46F" w:rsidR="006E626C" w:rsidRPr="00325C4B" w:rsidRDefault="006E626C" w:rsidP="00325C4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lang w:val="sv-SE"/>
        </w:rPr>
        <w:t xml:space="preserve"> </w:t>
      </w:r>
      <w:r w:rsidRPr="00325C4B">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uthor":[{"dropping-particle":"","family":"Yulianah","given":"","non-dropping-particle":"","parse-names":false,"suffix":""},{"dropping-particle":"","family":"Komariah","given":"Euis","non-dropping-particle":"","parse-names":false,"suffix":""}],"id":"ITEM-1","issue":"1","issued":{"date-parts":[["2017"]]},"title":"Risiko Pembiayaan Murabahah, Mudharabah dan Musyarakah BUS Terhadap Profitabilitas (ROA) Periode 2011-2015","type":"article-journal","volume":"10"},"uris":["http://www.mendeley.com/documents/?uuid=7be54a59-d9b7-45ab-87e0-e951577e9e23"]}],"mendeley":{"formattedCitation":"Yulianah and Euis Komariah, “Risiko Pembiayaan Murabahah, Mudharabah Dan Musyarakah BUS Terhadap Profitabilitas (ROA) Periode 2011-2015” 10, no. 1 (2017).","plainTextFormattedCitation":"Yulianah and Euis Komariah, “Risiko Pembiayaan Murabahah, Mudharabah Dan Musyarakah BUS Terhadap Profitabilitas (ROA) Periode 2011-2015” 10, no. 1 (2017).","previouslyFormattedCitation":"Yulianah and Euis Komariah, “Risiko Pembiayaan Murabahah, Mudharabah Dan Musyarakah BUS Terhadap Profitabilitas (ROA) Periode 2011-2015” 10, no. 1 (2017)."},"properties":{"noteIndex":44},"schema":"https://github.com/citation-style-language/schema/raw/master/csl-citation.json"}</w:instrText>
      </w:r>
      <w:r w:rsidRPr="00325C4B">
        <w:rPr>
          <w:rFonts w:asciiTheme="majorBidi" w:hAnsiTheme="majorBidi" w:cstheme="majorBidi"/>
        </w:rPr>
        <w:fldChar w:fldCharType="separate"/>
      </w:r>
      <w:r w:rsidRPr="00325C4B">
        <w:rPr>
          <w:rFonts w:asciiTheme="majorBidi" w:hAnsiTheme="majorBidi" w:cstheme="majorBidi"/>
          <w:noProof/>
          <w:lang w:val="sv-SE"/>
        </w:rPr>
        <w:t>Yulianah and Euis Komariah, “Risiko Pembiayaan Murabahah, Mudharabah Dan Musyarakah BUS Terhadap Profitabilitas (ROA) Periode 2011-2015” 10, no. 1 (2017).</w:t>
      </w:r>
      <w:r w:rsidRPr="00325C4B">
        <w:rPr>
          <w:rFonts w:asciiTheme="majorBidi" w:hAnsiTheme="majorBidi" w:cstheme="majorBidi"/>
        </w:rPr>
        <w:fldChar w:fldCharType="end"/>
      </w:r>
      <w:r w:rsidRPr="00325C4B">
        <w:rPr>
          <w:rFonts w:asciiTheme="majorBidi" w:hAnsiTheme="majorBidi" w:cstheme="majorBidi"/>
        </w:rPr>
        <w:t>Hal.91</w:t>
      </w:r>
    </w:p>
  </w:footnote>
  <w:footnote w:id="45">
    <w:p w14:paraId="564868C2" w14:textId="64B4B72B" w:rsidR="00825953" w:rsidRPr="00325C4B" w:rsidRDefault="00825953" w:rsidP="00325C4B">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{"citationItems":[{"id":"ITEM-1","itemData":{"abstract":"Abstrak Pembiayaan merupakan salah satu fungsi bank syariah, dalam menjalankan fungsi nya bank syariah akan mengalami tantangan besar yaitu terjadinya risiko pembiayaan. …","author":[{"dropping-particle":"","family":"Fahlevi","given":"Muhammad Ryan","non-dropping-particle":"","parse-names":false,"suffix":""}],"container-title":"Jurnal Masharif al-Syariah:Jurnal Ekonomi dan Perbankan Syariah","id":"ITEM-1","issue":"30","issued":{"date-parts":[["2022"]]},"page":"482-509","title":"Pengaruh Inflasi, Kurs dan Gross Domestic Product terhadap Non Performing Financing (NPF) Perbankan Syariah Indonesia Periode 2016–2020","type":"article-journal","volume":"7"},"uris":["http://www.mendeley.com/documents/?uuid=743e7917-ec82-4752-9d52-84c3e83da1b3"]}],"mendeley":{"formattedCitation":"Muhammad Ryan Fahlevi, “Pengaruh Inflasi, Kurs Dan Gross Domestic Product Terhadap Non Performing Financing (NPF) Perbankan Syariah Indonesia Periode 2016–2020,” &lt;i&gt;Jurnal Masharif Al-Syariah:Jurnal Ekonomi Dan Perbankan Syariah&lt;/i&gt; 7, no. 30 (2022): 482–509, http://journal.um-surabaya.ac.id/index.php/Mas/article/view/13750.","plainTextFormattedCitation":"Muhammad Ryan Fahlevi, “Pengaruh Inflasi, Kurs Dan Gross Domestic Product Terhadap Non Performing Financing (NPF) Perbankan Syariah Indonesia Periode 2016–2020,” Jurnal Masharif Al-Syariah:Jurnal Ekonomi Dan Perbankan Syariah 7, no. 30 (2022): 482–509, http://journal.um-surabaya.ac.id/index.php/Mas/article/view/13750.","previouslyFormattedCitation":"Muhammad Ryan Fahlevi, “Pengaruh Inflasi, Kurs Dan Gross Domestic Product Terhadap Non Performing Financing (NPF) Perbankan Syariah Indonesia Periode 2016–2020,” &lt;i&gt;Jurnal Masharif Al-Syariah:Jurnal Ekonomi Dan Perbankan Syariah&lt;/i&gt; 7, no. 30 (2022): 482–509, http://journal.um-surabaya.ac.id/index.php/Mas/article/view/13750."},"properties":{"noteIndex":45},"schema":"https://github.com/citation-style-language/schema/raw/master/csl-citation.json"}</w:instrText>
      </w:r>
      <w:r w:rsidRPr="00325C4B">
        <w:rPr>
          <w:rFonts w:asciiTheme="majorBidi" w:hAnsiTheme="majorBidi" w:cstheme="majorBidi"/>
          <w:lang w:val="sv-SE"/>
        </w:rPr>
        <w:fldChar w:fldCharType="separate"/>
      </w:r>
      <w:r w:rsidRPr="00325C4B">
        <w:rPr>
          <w:rFonts w:asciiTheme="majorBidi" w:hAnsiTheme="majorBidi" w:cstheme="majorBidi"/>
          <w:noProof/>
        </w:rPr>
        <w:t xml:space="preserve">Muhammad Ryan Fahlevi, “Pengaruh Inflasi, Kurs Dan Gross Domestic Product Terhadap Non Performing Financing (NPF) Perbankan Syariah Indonesia Periode 2016–2020,” </w:t>
      </w:r>
      <w:r w:rsidRPr="00325C4B">
        <w:rPr>
          <w:rFonts w:asciiTheme="majorBidi" w:hAnsiTheme="majorBidi" w:cstheme="majorBidi"/>
          <w:i/>
          <w:noProof/>
        </w:rPr>
        <w:t>Jurnal Masharif Al-Syariah:Jurnal Ekonomi Dan Perbankan Syariah</w:t>
      </w:r>
      <w:r w:rsidRPr="00325C4B">
        <w:rPr>
          <w:rFonts w:asciiTheme="majorBidi" w:hAnsiTheme="majorBidi" w:cstheme="majorBidi"/>
          <w:noProof/>
        </w:rPr>
        <w:t xml:space="preserve"> 7, no. 30 (2022): 482–509, http://journal.um-surabaya.ac.id/index.php/Mas/article/view/13</w:t>
      </w:r>
      <w:r w:rsidR="009B563B">
        <w:rPr>
          <w:rFonts w:asciiTheme="majorBidi" w:hAnsiTheme="majorBidi" w:cstheme="majorBidi"/>
          <w:noProof/>
        </w:rPr>
        <w:t xml:space="preserve"> </w:t>
      </w:r>
      <w:r w:rsidRPr="00325C4B">
        <w:rPr>
          <w:rFonts w:asciiTheme="majorBidi" w:hAnsiTheme="majorBidi" w:cstheme="majorBidi"/>
          <w:noProof/>
        </w:rPr>
        <w:t>750.</w:t>
      </w:r>
      <w:r w:rsidRPr="00325C4B">
        <w:rPr>
          <w:rFonts w:asciiTheme="majorBidi" w:hAnsiTheme="majorBidi" w:cstheme="majorBidi"/>
          <w:lang w:val="sv-SE"/>
        </w:rPr>
        <w:fldChar w:fldCharType="end"/>
      </w:r>
      <w:r w:rsidRPr="00325C4B">
        <w:rPr>
          <w:rFonts w:asciiTheme="majorBidi" w:hAnsiTheme="majorBidi" w:cstheme="majorBidi"/>
        </w:rPr>
        <w:t xml:space="preserve"> Hal.484</w:t>
      </w:r>
    </w:p>
  </w:footnote>
  <w:footnote w:id="46">
    <w:p w14:paraId="32E7C7A6" w14:textId="7C29CCEC" w:rsidR="00825953" w:rsidRPr="00325C4B" w:rsidRDefault="00825953" w:rsidP="00325C4B">
      <w:pPr>
        <w:pStyle w:val="FootnoteText"/>
        <w:ind w:firstLine="720"/>
        <w:jc w:val="both"/>
        <w:rPr>
          <w:rFonts w:asciiTheme="majorBidi" w:hAnsiTheme="majorBidi" w:cstheme="majorBidi"/>
          <w:lang w:val="sv-SE"/>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{"citationItems":[{"id":"ITEM-1","itemData":{"DOI":"10.14710/jdep.1.1.65-73","ISSN":"2089-2489","abstract":"Profit sharing (Mudharabah) is a monetary instrument of Islamic finance as interest is a monetaryinstrument of conventional economics. Both have extreme one another paradigm. Results have a theoreticalbasis for the profit and loss sharing (PLS). PLS theory was built as a new offer on the outside of the systemwhich tend not to reflect the interest of justice (injustice / dzalim) due to discrimination against the sharingof risks and profits for economic actors. Profit-loss sharing means profits and or losses that may arise fromeconomic activities / business borne together. In the instrument for the results are not fixed and there is a certainreturns as interest, but do profit and loss sharing based on the real productivity of the product. Therefore thesystem to better reflect the outcome of justice. Profit sharing as a monetary instrument has been frequentlyapplied in studies of Islamic economics, both from the supply side (financing) or the supply side economicsand/or demand-side economics.","author":[{"dropping-particle":"","family":"Yahya","given":"Muchlis","non-dropping-particle":"","parse-names":false,"suffix":""},{"dropping-particle":"","family":"Agunggunanto","given":"Edy Yusuf","non-dropping-particle":"","parse-names":false,"suffix":""}],"container-title":"Jurnal Dinamika Ekonomi Pembangunan","id":"ITEM-1","issue":"1","issued":{"date-parts":[["2012"]]},"page":"65","title":"Teori Bagi Hasil (Profit and Loss Sharing) Dan Perbankan Syariah Dalam Ekonomi Syariah","type":"article-journal","volume":"1"},"uris":["http://www.mendeley.com/documents/?uuid=5d577f7c-b9c0-42a1-9fe6-4c8f133f838f"]}],"mendeley":{"formattedCitation":"Muchlis Yahya and Edy Yusuf Agunggunanto, “Teori Bagi Hasil (Profit and Loss Sharing) Dan Perbankan Syariah Dalam Ekonomi Syariah,” &lt;i&gt;Jurnal Dinamika Ekonomi Pembangunan&lt;/i&gt; 1, no. 1 (2012): 65, https://doi.org/10.14710/jdep.1.1.65-73.","plainTextFormattedCitation":"Muchlis Yahya and Edy Yusuf Agunggunanto, “Teori Bagi Hasil (Profit and Loss Sharing) Dan Perbankan Syariah Dalam Ekonomi Syariah,” Jurnal Dinamika Ekonomi Pembangunan 1, no. 1 (2012): 65, https://doi.org/10.14710/jdep.1.1.65-73.","previouslyFormattedCitation":"Muchlis Yahya and Edy Yusuf Agunggunanto, “Teori Bagi Hasil (Profit and Loss Sharing) Dan Perbankan Syariah Dalam Ekonomi Syariah,” &lt;i&gt;Jurnal Dinamika Ekonomi Pembangunan&lt;/i&gt; 1, no. 1 (2012): 65, https://doi.org/10.14710/jdep.1.1.65-73."},"properties":{"noteIndex":46},"schema":"https://github.com/citation-style-language/schema/raw/master/csl-citation.json"}</w:instrText>
      </w:r>
      <w:r w:rsidRPr="00325C4B">
        <w:rPr>
          <w:rFonts w:asciiTheme="majorBidi" w:hAnsiTheme="majorBidi" w:cstheme="majorBidi"/>
          <w:lang w:val="sv-SE"/>
        </w:rPr>
        <w:fldChar w:fldCharType="separate"/>
      </w:r>
      <w:r w:rsidR="00B37267" w:rsidRPr="00325C4B">
        <w:rPr>
          <w:rFonts w:asciiTheme="majorBidi" w:hAnsiTheme="majorBidi" w:cstheme="majorBidi"/>
          <w:noProof/>
        </w:rPr>
        <w:t xml:space="preserve">Muchlis Yahya and Edy Yusuf Agunggunanto, “Teori Bagi Hasil (Profit and Loss Sharing) Dan Perbankan Syariah Dalam Ekonomi Syariah,” </w:t>
      </w:r>
      <w:r w:rsidR="00B37267" w:rsidRPr="00325C4B">
        <w:rPr>
          <w:rFonts w:asciiTheme="majorBidi" w:hAnsiTheme="majorBidi" w:cstheme="majorBidi"/>
          <w:i/>
          <w:noProof/>
        </w:rPr>
        <w:t>Jurnal Dinamika Ekonomi Pembangunan</w:t>
      </w:r>
      <w:r w:rsidR="00B37267" w:rsidRPr="00325C4B">
        <w:rPr>
          <w:rFonts w:asciiTheme="majorBidi" w:hAnsiTheme="majorBidi" w:cstheme="majorBidi"/>
          <w:noProof/>
        </w:rPr>
        <w:t xml:space="preserve"> 1, no. 1 (2012): 65, https://doi.org/10.14710/jdep.1.1.65-73.</w:t>
      </w:r>
      <w:r w:rsidRPr="00325C4B">
        <w:rPr>
          <w:rFonts w:asciiTheme="majorBidi" w:hAnsiTheme="majorBidi" w:cstheme="majorBidi"/>
          <w:lang w:val="sv-SE"/>
        </w:rPr>
        <w:fldChar w:fldCharType="end"/>
      </w:r>
      <w:r w:rsidRPr="00325C4B">
        <w:rPr>
          <w:rFonts w:asciiTheme="majorBidi" w:hAnsiTheme="majorBidi" w:cstheme="majorBidi"/>
          <w:lang w:val="sv-SE"/>
        </w:rPr>
        <w:t>Hal.156</w:t>
      </w:r>
    </w:p>
  </w:footnote>
  <w:footnote w:id="47">
    <w:p w14:paraId="2BEE73A6" w14:textId="02534F1A" w:rsidR="006729D1" w:rsidRPr="002B79F1" w:rsidRDefault="006729D1" w:rsidP="006729D1">
      <w:pPr>
        <w:pStyle w:val="FootnoteText"/>
        <w:ind w:firstLine="720"/>
        <w:jc w:val="both"/>
        <w:rPr>
          <w:rFonts w:asciiTheme="majorBidi" w:hAnsiTheme="majorBidi" w:cstheme="majorBidi"/>
          <w:lang w:val="sv-SE"/>
        </w:rPr>
      </w:pPr>
      <w:r w:rsidRPr="006729D1">
        <w:rPr>
          <w:rStyle w:val="FootnoteReference"/>
          <w:rFonts w:asciiTheme="majorBidi" w:hAnsiTheme="majorBidi" w:cstheme="majorBidi"/>
        </w:rPr>
        <w:footnoteRef/>
      </w:r>
      <w:r w:rsidRPr="006729D1">
        <w:rPr>
          <w:rFonts w:asciiTheme="majorBidi" w:hAnsiTheme="majorBidi" w:cstheme="majorBidi"/>
          <w:lang w:val="sv-SE"/>
        </w:rPr>
        <w:t xml:space="preserve"> </w:t>
      </w:r>
      <w:r w:rsidRPr="006729D1">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{"citationItems":[{"id":"ITEM-1","itemData":{"abstract":"Konferensi ini secara khusus mendorong interaksi para peneliti dengan para akademisi sewilayah Asia Tenggara yang mendalami kajian bangsa Melayu dari berbagai perspektif. Hal …","author":[{"dropping-particle":"","family":"Syi'aruddin.dkk","given":"Muhammad Anwar","non-dropping-particle":"","parse-names":false,"suffix":""}],"container-title":"Dinamika Pengalaman Keagamaan Umat Islam Melayu di Asia Tenggara","id":"ITEM-1","issue":"April","issued":{"date-parts":[["2023"]]},"page":"1-584","title":"Dinamika Pengalaman Keagamaan Umat Islam Melayu di Asia Tenggara","type":"article-journal"},"uris":["http://www.mendeley.com/documents/?uuid=1df3c0fb-8f55-4190-bed4-db01326e60e4"]}],"mendeley":{"formattedCitation":"Muhammad Anwar Syi’aruddin.dkk, “Dinamika Pengalaman Keagamaan Umat Islam Melayu Di Asia Tenggara,” &lt;i&gt;Dinamika Pengalaman Keagamaan Umat Islam Melayu Di Asia Tenggara&lt;/i&gt;, no. April (2023): 1–584.","plainTextFormattedCitation":"Muhammad Anwar Syi’aruddin.dkk, “Dinamika Pengalaman Keagamaan Umat Islam Melayu Di Asia Tenggara,” Dinamika Pengalaman Keagamaan Umat Islam Melayu Di Asia Tenggara, no. April (2023): 1–584.","previouslyFormattedCitation":"Muhammad Anwar Syi’aruddin.dkk, “Dinamika Pengalaman Keagamaan Umat Islam Melayu Di Asia Tenggara,” &lt;i&gt;Dinamika Pengalaman Keagamaan Umat Islam Melayu Di Asia Tenggara&lt;/i&gt;, no. April (2023): 1–584."},"properties":{"noteIndex":47},"schema":"https://github.com/citation-style-language/schema/raw/master/csl-citation.json"}</w:instrText>
      </w:r>
      <w:r w:rsidRPr="006729D1">
        <w:rPr>
          <w:rFonts w:asciiTheme="majorBidi" w:hAnsiTheme="majorBidi" w:cstheme="majorBidi"/>
        </w:rPr>
        <w:fldChar w:fldCharType="separate"/>
      </w:r>
      <w:r w:rsidRPr="006729D1">
        <w:rPr>
          <w:rFonts w:asciiTheme="majorBidi" w:hAnsiTheme="majorBidi" w:cstheme="majorBidi"/>
          <w:noProof/>
          <w:lang w:val="sv-SE"/>
        </w:rPr>
        <w:t xml:space="preserve">Muhammad Anwar Syi’aruddin.dkk, “Dinamika Pengalaman Keagamaan Umat Islam Melayu Di Asia Tenggara,” </w:t>
      </w:r>
      <w:r w:rsidRPr="006729D1">
        <w:rPr>
          <w:rFonts w:asciiTheme="majorBidi" w:hAnsiTheme="majorBidi" w:cstheme="majorBidi"/>
          <w:i/>
          <w:noProof/>
          <w:lang w:val="sv-SE"/>
        </w:rPr>
        <w:t>Dinamika Pengalaman Keagamaan Umat Islam Melayu Di Asia Tenggara</w:t>
      </w:r>
      <w:r w:rsidRPr="006729D1">
        <w:rPr>
          <w:rFonts w:asciiTheme="majorBidi" w:hAnsiTheme="majorBidi" w:cstheme="majorBidi"/>
          <w:noProof/>
          <w:lang w:val="sv-SE"/>
        </w:rPr>
        <w:t xml:space="preserve">, no. </w:t>
      </w:r>
      <w:r w:rsidRPr="002B79F1">
        <w:rPr>
          <w:rFonts w:asciiTheme="majorBidi" w:hAnsiTheme="majorBidi" w:cstheme="majorBidi"/>
          <w:noProof/>
          <w:lang w:val="sv-SE"/>
        </w:rPr>
        <w:t>April (2023): 1–584.</w:t>
      </w:r>
      <w:r w:rsidRPr="006729D1">
        <w:rPr>
          <w:rFonts w:asciiTheme="majorBidi" w:hAnsiTheme="majorBidi" w:cstheme="majorBidi"/>
        </w:rPr>
        <w:fldChar w:fldCharType="end"/>
      </w:r>
      <w:r w:rsidRPr="002B79F1">
        <w:rPr>
          <w:rFonts w:asciiTheme="majorBidi" w:hAnsiTheme="majorBidi" w:cstheme="majorBidi"/>
          <w:lang w:val="sv-SE"/>
        </w:rPr>
        <w:t xml:space="preserve"> Hal.142-143</w:t>
      </w:r>
    </w:p>
  </w:footnote>
  <w:footnote w:id="48">
    <w:p w14:paraId="173EDD80" w14:textId="7355627D" w:rsidR="00825953" w:rsidRPr="006C7242" w:rsidRDefault="00825953" w:rsidP="006729D1">
      <w:pPr>
        <w:pStyle w:val="FootnoteText"/>
        <w:ind w:firstLine="720"/>
        <w:jc w:val="both"/>
        <w:rPr>
          <w:rFonts w:asciiTheme="majorBidi" w:hAnsiTheme="majorBidi" w:cstheme="majorBidi"/>
          <w:lang w:val="sv-SE"/>
        </w:rPr>
      </w:pPr>
      <w:r w:rsidRPr="006C7242">
        <w:rPr>
          <w:rStyle w:val="FootnoteReference"/>
          <w:rFonts w:asciiTheme="majorBidi" w:hAnsiTheme="majorBidi" w:cstheme="majorBidi"/>
        </w:rPr>
        <w:footnoteRef/>
      </w:r>
      <w:r w:rsidRPr="006C7242">
        <w:rPr>
          <w:rFonts w:asciiTheme="majorBidi" w:hAnsiTheme="majorBidi" w:cstheme="majorBidi"/>
          <w:lang w:val="sv-SE"/>
        </w:rPr>
        <w:t xml:space="preserve"> </w:t>
      </w:r>
      <w:r w:rsidRPr="006C7242">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{"citationItems":[{"id":"ITEM-1","itemData":{"DOI":"10.47498/bashair.v3i1.989","ISSN":"2807-1018","abstract":"In carrying out the activities of daily life humans will always be faced with various possible risks either directly or indirectly. The risks that occur in life can be positive (beneficial risk) or negative (detrimental risk), hence humans are encouraged to plan carefully to minimize any possible negative risks that can harm themselves. In addition to minimizing the possibility of negative risks they also recommended to be able to overcome any negative risk with various actions called Risk Management.","author":[{"dropping-particle":"","family":"Rohmaniyah","given":"Rosy Tasliyatul","non-dropping-particle":"","parse-names":false,"suffix":""},{"dropping-particle":"","family":"Cecep","given":"Cecep","non-dropping-particle":"","parse-names":false,"suffix":""}],"container-title":"Basha'Ir: Jurnal Studi Al-Qur'an Dan Tafsir","id":"ITEM-1","issue":"1","issued":{"date-parts":[["2023"]]},"page":"17-22","title":"Pandangan Islam Terhadap Manajemen Risiko Melalui Teladan Kisah Nabi Yusuf As","type":"article-journal","volume":"3"},"uris":["http://www.mendeley.com/documents/?uuid=17f4e4b3-9980-4aa8-8763-b32755678794"]}],"mendeley":{"formattedCitation":"Rosy Tasliyatul Rohmaniyah and Cecep Cecep, “Pandangan Islam Terhadap Manajemen Risiko Melalui Teladan Kisah Nabi Yusuf As,” &lt;i&gt;Basha’Ir: Jurnal Studi Al-Qur’an Dan Tafsir&lt;/i&gt; 3, no. 1 (2023): 17–22, https://doi.org/10.47498/bashair.v3i1.989.","plainTextFormattedCitation":"Rosy Tasliyatul Rohmaniyah and Cecep Cecep, “Pandangan Islam Terhadap Manajemen Risiko Melalui Teladan Kisah Nabi Yusuf As,” Basha’Ir: Jurnal Studi Al-Qur’an Dan Tafsir 3, no. 1 (2023): 17–22, https://doi.org/10.47498/bashair.v3i1.989.","previouslyFormattedCitation":"Rosy Tasliyatul Rohmaniyah and Cecep Cecep, “Pandangan Islam Terhadap Manajemen Risiko Melalui Teladan Kisah Nabi Yusuf As,” &lt;i&gt;Basha’Ir: Jurnal Studi Al-Qur’an Dan Tafsir&lt;/i&gt; 3, no. 1 (2023): 17–22, https://doi.org/10.47498/bashair.v3i1.989."},"properties":{"noteIndex":48},"schema":"https://github.com/citation-style-language/schema/raw/master/csl-citation.json"}</w:instrText>
      </w:r>
      <w:r w:rsidRPr="006C7242">
        <w:rPr>
          <w:rFonts w:asciiTheme="majorBidi" w:hAnsiTheme="majorBidi" w:cstheme="majorBidi"/>
          <w:lang w:val="sv-SE"/>
        </w:rPr>
        <w:fldChar w:fldCharType="separate"/>
      </w:r>
      <w:r w:rsidRPr="006C7242">
        <w:rPr>
          <w:rFonts w:asciiTheme="majorBidi" w:hAnsiTheme="majorBidi" w:cstheme="majorBidi"/>
          <w:noProof/>
          <w:lang w:val="sv-SE"/>
        </w:rPr>
        <w:t xml:space="preserve">Rosy Tasliyatul Rohmaniyah and Cecep Cecep, “Pandangan Islam Terhadap Manajemen Risiko Melalui Teladan Kisah Nabi Yusuf As,” </w:t>
      </w:r>
      <w:r w:rsidRPr="006C7242">
        <w:rPr>
          <w:rFonts w:asciiTheme="majorBidi" w:hAnsiTheme="majorBidi" w:cstheme="majorBidi"/>
          <w:i/>
          <w:noProof/>
          <w:lang w:val="sv-SE"/>
        </w:rPr>
        <w:t>Basha’Ir: Jurnal Studi Al-Qur’an Dan Tafsir</w:t>
      </w:r>
      <w:r w:rsidRPr="006C7242">
        <w:rPr>
          <w:rFonts w:asciiTheme="majorBidi" w:hAnsiTheme="majorBidi" w:cstheme="majorBidi"/>
          <w:noProof/>
          <w:lang w:val="sv-SE"/>
        </w:rPr>
        <w:t xml:space="preserve"> 3, no. 1 (2023): 17–22, https://doi.org/10.47498/bashair.v3i1.989.</w:t>
      </w:r>
      <w:r w:rsidRPr="006C7242">
        <w:rPr>
          <w:rFonts w:asciiTheme="majorBidi" w:hAnsiTheme="majorBidi" w:cstheme="majorBidi"/>
          <w:lang w:val="sv-SE"/>
        </w:rPr>
        <w:fldChar w:fldCharType="end"/>
      </w:r>
      <w:r w:rsidRPr="006C7242">
        <w:rPr>
          <w:rFonts w:asciiTheme="majorBidi" w:hAnsiTheme="majorBidi" w:cstheme="majorBidi"/>
          <w:lang w:val="sv-SE"/>
        </w:rPr>
        <w:t xml:space="preserve"> Hal.20</w:t>
      </w:r>
    </w:p>
  </w:footnote>
  <w:footnote w:id="49">
    <w:p w14:paraId="61C43487" w14:textId="33B98FC1" w:rsidR="00825953" w:rsidRPr="006C7242" w:rsidRDefault="00825953" w:rsidP="006729D1">
      <w:pPr>
        <w:pStyle w:val="FootnoteText"/>
        <w:ind w:firstLine="720"/>
        <w:jc w:val="both"/>
        <w:rPr>
          <w:rFonts w:asciiTheme="majorBidi" w:hAnsiTheme="majorBidi" w:cstheme="majorBidi"/>
          <w:lang w:val="sv-SE"/>
        </w:rPr>
      </w:pPr>
      <w:r w:rsidRPr="006C7242">
        <w:rPr>
          <w:rStyle w:val="FootnoteReference"/>
          <w:rFonts w:asciiTheme="majorBidi" w:hAnsiTheme="majorBidi" w:cstheme="majorBidi"/>
        </w:rPr>
        <w:footnoteRef/>
      </w:r>
      <w:r w:rsidRPr="006C7242">
        <w:rPr>
          <w:rFonts w:asciiTheme="majorBidi" w:hAnsiTheme="majorBidi" w:cstheme="majorBidi"/>
          <w:lang w:val="sv-SE"/>
        </w:rPr>
        <w:t xml:space="preserve"> </w:t>
      </w:r>
      <w:r w:rsidRPr="006C7242">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{"citationItems":[{"id":"ITEM-1","itemData":{"DOI":"10.31857/s013116462104007x","ISSN":"0131-1646","abstract":"Abstrak - Pandemi Covid-19 berdampak pada perlambatan ekonomi nasional, Financial Technology (Fintech) memiliki potensi mengambil peran dalam upaya pemulihan ekonomi. Dampak pandemi covid-19 yang semakin meluas sektor Financial Technology (Fintech) memiliki peran penting untuk meningkatkan inklusi finansial dan kesejahteraan masyarakat. Metode penelitian yang digunakan untuk penulisan ini adalah teknik analisis deskriptif kualitatif. Hasil penelitian menujukkan keberadaan Financial Technology (Fintech) memiliki dampak positif dimasa pandemi covid-19. Kontribusi Fintech telah banyak membantu masyarakat yang masih belum terlayani lembaga keuangan formal dalam melakukan transaksi keuangan sesuai dengan kebutuhannya. Pemulihan ekonomi nasional dan peningkatan penerimaan negara dimasa pandemi dapat dilakukan dengan dukungan penguatan regulasi terhadap pertumbuhan Fintech yang inklusif dan berkesinambungan yang memiliki potensi sebagai faktor pemicu lompatan yang sangat besar bagi industri pembayaran layanan keuangan digital. Kata Kunci: Financial Technology, Inklusi Keuangan, Ekonomi Nasional Abstract - The Covid-19 pandemic has an impact on the national economic slowdown, Financial Technology (Fintech) has the potential to play a role in economic recovery efforts. The impact of the Covid-19 pandemic which is increasingly widespread in the Financial Technology (Fintech) sector has an important role to play in increasing financial inclusion and public welfare. The research method used for this writing is a qualitative descriptive analysis technique. The research results show that the existence of Financial Technology (Fintech) has a positive impact during the Covid-19 pandemic. Fintech's contribution has helped many people who are still not served by formal financial institutions in carrying out financial transactions according to their needs. National economic recovery and increased state revenue during the pandemic can be carried out with the support of strengthening regulations for inclusive and sustainable Fintech growth which has the potential to trigger a huge leap for the digital financial service payment industry. Keywords: Financial Technology, Financial Inclusion, National Economy","author":[{"dropping-particle":"","family":"Muhammad Farid","given":"Wafiq Azizah","non-dropping-particle":"","parse-names":false,"suffix":""}],"container-title":"Jurnal Akuntasi dan Keuangan Islam","id":"ITEM-1","issue":"4","issued":{"date-parts":[["2021"]]},"page":"124-134","title":"\"Manajemen Risiko Dalam Perbankan Syariah\"","type":"article-journal","volume":"47"},"uris":["http://www.mendeley.com/documents/?uuid=37401b25-2277-4f32-a570-d3d9020a173c"]}],"mendeley":{"formattedCitation":"Wafiq Azizah Muhammad Farid, “‘Manajemen Risiko Dalam Perbankan Syariah,’” &lt;i&gt;Jurnal Akuntasi Dan Keuangan Islam&lt;/i&gt; 47, no. 4 (2021): 124–34, https://doi.org/10.31857/s013116462104007x.","plainTextFormattedCitation":"Wafiq Azizah Muhammad Farid, “‘Manajemen Risiko Dalam Perbankan Syariah,’” Jurnal Akuntasi Dan Keuangan Islam 47, no. 4 (2021): 124–34, https://doi.org/10.31857/s013116462104007x.","previouslyFormattedCitation":"Wafiq Azizah Muhammad Farid, “‘Manajemen Risiko Dalam Perbankan Syariah,’” &lt;i&gt;Jurnal Akuntasi Dan Keuangan Islam&lt;/i&gt; 47, no. 4 (2021): 124–34, https://doi.org/10.31857/s013116462104007x."},"properties":{"noteIndex":49},"schema":"https://github.com/citation-style-language/schema/raw/master/csl-citation.json"}</w:instrText>
      </w:r>
      <w:r w:rsidRPr="006C7242">
        <w:rPr>
          <w:rFonts w:asciiTheme="majorBidi" w:hAnsiTheme="majorBidi" w:cstheme="majorBidi"/>
          <w:lang w:val="sv-SE"/>
        </w:rPr>
        <w:fldChar w:fldCharType="separate"/>
      </w:r>
      <w:r w:rsidRPr="006C7242">
        <w:rPr>
          <w:rFonts w:asciiTheme="majorBidi" w:hAnsiTheme="majorBidi" w:cstheme="majorBidi"/>
          <w:noProof/>
          <w:lang w:val="sv-SE"/>
        </w:rPr>
        <w:t xml:space="preserve">Wafiq Azizah Muhammad Farid, “‘Manajemen Risiko Dalam Perbankan Syariah,’” </w:t>
      </w:r>
      <w:r w:rsidRPr="006C7242">
        <w:rPr>
          <w:rFonts w:asciiTheme="majorBidi" w:hAnsiTheme="majorBidi" w:cstheme="majorBidi"/>
          <w:i/>
          <w:noProof/>
          <w:lang w:val="sv-SE"/>
        </w:rPr>
        <w:t>Jurnal Akuntasi Dan Keuangan Islam</w:t>
      </w:r>
      <w:r w:rsidRPr="006C7242">
        <w:rPr>
          <w:rFonts w:asciiTheme="majorBidi" w:hAnsiTheme="majorBidi" w:cstheme="majorBidi"/>
          <w:noProof/>
          <w:lang w:val="sv-SE"/>
        </w:rPr>
        <w:t xml:space="preserve"> 47, no. 4 (2021): 124–34, https://doi.org/10.31857/s013116462104007x.</w:t>
      </w:r>
      <w:r w:rsidRPr="006C7242">
        <w:rPr>
          <w:rFonts w:asciiTheme="majorBidi" w:hAnsiTheme="majorBidi" w:cstheme="majorBidi"/>
          <w:lang w:val="sv-SE"/>
        </w:rPr>
        <w:fldChar w:fldCharType="end"/>
      </w:r>
      <w:r w:rsidRPr="006C7242">
        <w:rPr>
          <w:rFonts w:asciiTheme="majorBidi" w:hAnsiTheme="majorBidi" w:cstheme="majorBidi"/>
          <w:lang w:val="sv-SE"/>
        </w:rPr>
        <w:t xml:space="preserve"> Hal.39</w:t>
      </w:r>
    </w:p>
  </w:footnote>
  <w:footnote w:id="50">
    <w:p w14:paraId="3F200A01" w14:textId="3F7D8297" w:rsidR="00825953" w:rsidRPr="006729D1" w:rsidRDefault="00825953" w:rsidP="00AD46AB">
      <w:pPr>
        <w:pStyle w:val="FootnoteText"/>
        <w:ind w:firstLine="720"/>
        <w:jc w:val="both"/>
        <w:rPr>
          <w:rFonts w:asciiTheme="majorBidi" w:hAnsiTheme="majorBidi" w:cstheme="majorBidi"/>
          <w:lang w:val="sv-SE"/>
        </w:rPr>
      </w:pPr>
      <w:r w:rsidRPr="006729D1">
        <w:rPr>
          <w:rStyle w:val="FootnoteReference"/>
          <w:rFonts w:asciiTheme="majorBidi" w:hAnsiTheme="majorBidi" w:cstheme="majorBidi"/>
        </w:rPr>
        <w:footnoteRef/>
      </w:r>
      <w:r w:rsidRPr="006729D1">
        <w:rPr>
          <w:rFonts w:asciiTheme="majorBidi" w:hAnsiTheme="majorBidi" w:cstheme="majorBidi"/>
          <w:lang w:val="sv-SE"/>
        </w:rPr>
        <w:t xml:space="preserve"> </w:t>
      </w:r>
      <w:r w:rsidRPr="006729D1">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{"citationItems":[{"id":"ITEM-1","itemData":{"ISBN":"9786236092446","abstract":"Predicting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approach.","author":[{"dropping-particle":"","family":"Arta","given":"I Putu Sugih","non-dropping-particle":"","parse-names":false,"suffix":""}],"id":"ITEM-1","issued":{"date-parts":[["2021"]]},"number-of-pages":"1-240","publisher":"Widina Bhakti Persada","publisher-place":"Bandung","title":"Manajemen Risiko Tinjauan Teori dan Praktis","type":"book"},"uris":["http://www.mendeley.com/documents/?uuid=f4f20265-3b1d-44ba-8a5d-72c477729eaa"]}],"mendeley":{"formattedCitation":"I Putu Sugih Arta, &lt;i&gt;Manajemen Risiko Tinjauan Teori Dan Praktis&lt;/i&gt; (Bandung: Widina Bhakti Persada, 2021).","plainTextFormattedCitation":"I Putu Sugih Arta, Manajemen Risiko Tinjauan Teori Dan Praktis (Bandung: Widina Bhakti Persada, 2021).","previouslyFormattedCitation":"I Putu Sugih Arta, &lt;i&gt;Manajemen Risiko Tinjauan Teori Dan Praktis&lt;/i&gt; (Bandung: Widina Bhakti Persada, 2021)."},"properties":{"noteIndex":50},"schema":"https://github.com/citation-style-language/schema/raw/master/csl-citation.json"}</w:instrText>
      </w:r>
      <w:r w:rsidRPr="006729D1">
        <w:rPr>
          <w:rFonts w:asciiTheme="majorBidi" w:hAnsiTheme="majorBidi" w:cstheme="majorBidi"/>
          <w:lang w:val="sv-SE"/>
        </w:rPr>
        <w:fldChar w:fldCharType="separate"/>
      </w:r>
      <w:r w:rsidRPr="006729D1">
        <w:rPr>
          <w:rFonts w:asciiTheme="majorBidi" w:hAnsiTheme="majorBidi" w:cstheme="majorBidi"/>
          <w:noProof/>
          <w:lang w:val="sv-SE"/>
        </w:rPr>
        <w:t xml:space="preserve">I Putu Sugih Arta, </w:t>
      </w:r>
      <w:r w:rsidRPr="006729D1">
        <w:rPr>
          <w:rFonts w:asciiTheme="majorBidi" w:hAnsiTheme="majorBidi" w:cstheme="majorBidi"/>
          <w:i/>
          <w:noProof/>
          <w:lang w:val="sv-SE"/>
        </w:rPr>
        <w:t>Manajemen Risiko Tinjauan Teori Dan Praktis</w:t>
      </w:r>
      <w:r w:rsidRPr="006729D1">
        <w:rPr>
          <w:rFonts w:asciiTheme="majorBidi" w:hAnsiTheme="majorBidi" w:cstheme="majorBidi"/>
          <w:noProof/>
          <w:lang w:val="sv-SE"/>
        </w:rPr>
        <w:t xml:space="preserve"> (Bandung: Widina Bhakti Persada, 2021).</w:t>
      </w:r>
      <w:r w:rsidRPr="006729D1">
        <w:rPr>
          <w:rFonts w:asciiTheme="majorBidi" w:hAnsiTheme="majorBidi" w:cstheme="majorBidi"/>
          <w:lang w:val="sv-SE"/>
        </w:rPr>
        <w:fldChar w:fldCharType="end"/>
      </w:r>
      <w:r w:rsidRPr="006729D1">
        <w:rPr>
          <w:rFonts w:asciiTheme="majorBidi" w:hAnsiTheme="majorBidi" w:cstheme="majorBidi"/>
          <w:lang w:val="sv-SE"/>
        </w:rPr>
        <w:t>Hal.15</w:t>
      </w:r>
    </w:p>
  </w:footnote>
  <w:footnote w:id="51">
    <w:p w14:paraId="4A9F68CA" w14:textId="0C361067" w:rsidR="00DB7CC6" w:rsidRPr="006729D1" w:rsidRDefault="00DB7CC6" w:rsidP="00DB7CC6">
      <w:pPr>
        <w:pStyle w:val="FootnoteText"/>
        <w:ind w:firstLine="720"/>
        <w:jc w:val="both"/>
        <w:rPr>
          <w:rFonts w:asciiTheme="majorBidi" w:hAnsiTheme="majorBidi" w:cstheme="majorBidi"/>
          <w:lang w:val="sv-SE"/>
        </w:rPr>
      </w:pPr>
      <w:r w:rsidRPr="006729D1">
        <w:rPr>
          <w:rStyle w:val="FootnoteReference"/>
          <w:rFonts w:asciiTheme="majorBidi" w:hAnsiTheme="majorBidi" w:cstheme="majorBidi"/>
        </w:rPr>
        <w:footnoteRef/>
      </w:r>
      <w:r w:rsidRPr="006729D1">
        <w:rPr>
          <w:rFonts w:asciiTheme="majorBidi" w:hAnsiTheme="majorBidi" w:cstheme="majorBidi"/>
          <w:lang w:val="sv-SE"/>
        </w:rPr>
        <w:t xml:space="preserve"> </w:t>
      </w:r>
      <w:r w:rsidRPr="006729D1">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{"citationItems":[{"id":"ITEM-1","itemData":{"ISSN":"2527-9769","abstract":"Tujuan penelitian ini adalah untuk mengetahui ada atau tidaknya pengaruh risiko pembiayaan, risiko likuiditas dan permodalan terhadap profitabilitas bank syariah. Sampel dalam penelitian ini adalah 9 bank syariah. Teknik pengambilan sampel adalah metode purposive sampling. Penelitian ini dilakukan pada perode 2015–2018 sehingga jumlah observasi sebanyak 36 observasi perbankan syariah. Risiko pembiayaan diukur dengan NPF. Risiko likuiditas diukur dengan FDR. Permodalan diukur dengan CAR. Profitabilitas diukur dengan ROA. Sumber data berupa laporan keuangan perbankan syariah yang disajikan dan dipublikasikan pada annual report tahunan. Metode analisis yang digunakan adalah analisis\nregresi berganda. Berdasarkan hasil analisis regresi berganda dengan tingkat signifikansi 5%,maka hasil penelitian ini menyimpulkan: (1) Risiko pembiayaan berpengaruh signifikan negatif terhadap profitabilitas perbankan syariah dengan koefisien β NPF bernilai negatif sebesar -0,472 dan nilai\nsignifikansi 0,001&lt;0,05.(2) Risiko likuiditas berpengaruh signifikan negatif terhadap profitabilitas perbankan syariah dengan koefisien β FDR bernilai negatif sebesar -0,499 dan nilai signifikansi 0,001&lt;0,05. (3) Permodalan berpengaruh signifikan positif terhadap profitabilitas perbankan syariah\ndengan koefisien β CAR bernilai negatif sebesar -0,204 dan nilai signifikansi 0,181&gt;0,05","author":[{"dropping-particle":"","family":"Rahmawati","given":"Apriliyana","non-dropping-particle":"","parse-names":false,"suffix":""}],"container-title":"Jurnal Administrasi Kantor","id":"ITEM-1","issue":"2","issued":{"date-parts":[["2020"]]},"page":"185-198","title":"Dampak risiko pembiayaan, risiko likuiditas dan permodalan terhadap profitabilitas perbankan syariah","type":"article-journal","volume":"8"},"uris":["http://www.mendeley.com/documents/?uuid=269b18bc-e635-4231-90c1-50ba26436568"]}],"mendeley":{"formattedCitation":"Apriliyana Rahmawati, “Dampak Risiko Pembiayaan, Risiko Likuiditas Dan Permodalan Terhadap Profitabilitas Perbankan Syariah,” &lt;i&gt;Jurnal Administrasi Kantor&lt;/i&gt; 8, no. 2 (2020): 185–98, https://ejournal-binainsani.ac.id/index.php/JAK/article/view/1455/1245.","plainTextFormattedCitation":"Apriliyana Rahmawati, “Dampak Risiko Pembiayaan, Risiko Likuiditas Dan Permodalan Terhadap Profitabilitas Perbankan Syariah,” Jurnal Administrasi Kantor 8, no. 2 (2020): 185–98, https://ejournal-binainsani.ac.id/index.php/JAK/article/view/1455/1245.","previouslyFormattedCitation":"Apriliyana Rahmawati, “Dampak Risiko Pembiayaan, Risiko Likuiditas Dan Permodalan Terhadap Profitabilitas Perbankan Syariah,” &lt;i&gt;Jurnal Administrasi Kantor&lt;/i&gt; 8, no. 2 (2020): 185–98, https://ejournal-binainsani.ac.id/index.php/JAK/article/view/1455/1245."},"properties":{"noteIndex":51},"schema":"https://github.com/citation-style-language/schema/raw/master/csl-citation.json"}</w:instrText>
      </w:r>
      <w:r w:rsidRPr="006729D1">
        <w:rPr>
          <w:rFonts w:asciiTheme="majorBidi" w:hAnsiTheme="majorBidi" w:cstheme="majorBidi"/>
          <w:lang w:val="sv-SE"/>
        </w:rPr>
        <w:fldChar w:fldCharType="separate"/>
      </w:r>
      <w:r w:rsidR="009F5161" w:rsidRPr="006729D1">
        <w:rPr>
          <w:rFonts w:asciiTheme="majorBidi" w:hAnsiTheme="majorBidi" w:cstheme="majorBidi"/>
          <w:noProof/>
          <w:lang w:val="sv-SE"/>
        </w:rPr>
        <w:t xml:space="preserve">Apriliyana Rahmawati, “Dampak Risiko Pembiayaan, Risiko Likuiditas Dan Permodalan Terhadap Profitabilitas Perbankan Syariah,” </w:t>
      </w:r>
      <w:r w:rsidR="009F5161" w:rsidRPr="006729D1">
        <w:rPr>
          <w:rFonts w:asciiTheme="majorBidi" w:hAnsiTheme="majorBidi" w:cstheme="majorBidi"/>
          <w:i/>
          <w:noProof/>
          <w:lang w:val="sv-SE"/>
        </w:rPr>
        <w:t>Jurnal Administrasi Kantor</w:t>
      </w:r>
      <w:r w:rsidR="009F5161" w:rsidRPr="006729D1">
        <w:rPr>
          <w:rFonts w:asciiTheme="majorBidi" w:hAnsiTheme="majorBidi" w:cstheme="majorBidi"/>
          <w:noProof/>
          <w:lang w:val="sv-SE"/>
        </w:rPr>
        <w:t xml:space="preserve"> 8, no. 2 (2020): 185–98, https://ejournal-binainsani.ac.id/index.php/JAK/article/view/1455/1245.</w:t>
      </w:r>
      <w:r w:rsidRPr="006729D1">
        <w:rPr>
          <w:rFonts w:asciiTheme="majorBidi" w:hAnsiTheme="majorBidi" w:cstheme="majorBidi"/>
          <w:lang w:val="sv-SE"/>
        </w:rPr>
        <w:fldChar w:fldCharType="end"/>
      </w:r>
      <w:r w:rsidRPr="006729D1">
        <w:rPr>
          <w:rFonts w:asciiTheme="majorBidi" w:hAnsiTheme="majorBidi" w:cstheme="majorBidi"/>
          <w:lang w:val="sv-SE"/>
        </w:rPr>
        <w:t>Hal.188</w:t>
      </w:r>
    </w:p>
  </w:footnote>
  <w:footnote w:id="52">
    <w:p w14:paraId="6083F262" w14:textId="5146804D" w:rsidR="00DB7CC6" w:rsidRPr="002B3EA9" w:rsidRDefault="00DB7CC6" w:rsidP="00DB7CC6">
      <w:pPr>
        <w:pStyle w:val="FootnoteText"/>
        <w:ind w:firstLine="720"/>
        <w:jc w:val="both"/>
        <w:rPr>
          <w:rFonts w:asciiTheme="majorBidi" w:hAnsiTheme="majorBidi" w:cstheme="majorBidi"/>
        </w:rPr>
      </w:pPr>
      <w:r w:rsidRPr="006729D1">
        <w:rPr>
          <w:rStyle w:val="FootnoteReference"/>
          <w:rFonts w:asciiTheme="majorBidi" w:hAnsiTheme="majorBidi" w:cstheme="majorBidi"/>
        </w:rPr>
        <w:footnoteRef/>
      </w:r>
      <w:r w:rsidRPr="006729D1">
        <w:rPr>
          <w:rFonts w:asciiTheme="majorBidi" w:hAnsiTheme="majorBidi" w:cstheme="majorBidi"/>
          <w:lang w:val="sv-SE"/>
        </w:rPr>
        <w:t xml:space="preserve"> </w:t>
      </w:r>
      <w:r w:rsidRPr="006729D1">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{"citationItems":[{"id":"ITEM-1","itemData":{"ISSN":"2017-2021","abstract":"The stability of bank profitability is needed in financial institutions. A company certainly seeks to compete to produce good profitability. The level of profitability that fluctuates greatly affects the performance of a bank, especially at this time the condition of the bank is not all stable. This is based on the fact that profitability is one of the triggers in improving bank quality. Although the ups and downs of profitability are commonplace for banks. The purpose of this study is to describe the effect of financing risk, capital adequacy and third party funds on profitability. The method used in this study is an associative quantitative method. The population in this study are all Islamic banks in Indonesia. The samples taken were 6 Islamic banks. The data analysis technique used is using multiple linear regression tests. Based on the research results show that; (1) Financing risk has no effect on profitability. (2) Capital adequacy affects profitability. (3) Third party funds affect profitability. But simultaneously the three of these variables affect profitability. This shows that profitability has a significant impact on other variables.","author":[{"dropping-particle":"","family":"Safitri","given":"Risa Bela Eka","non-dropping-particle":"","parse-names":false,"suffix":""},{"dropping-particle":"","family":"Suselo","given":"Dedi","non-dropping-particle":"","parse-names":false,"suffix":""}],"container-title":"Jurnal Mirai Management","id":"ITEM-1","issue":"1","issued":{"date-parts":[["2023"]]},"page":"78-87","title":"Pengaruh Risiko Pembiayaan, Kecukupan Modal dan Dana Pihak Ketiga terhadap Profitabilitas pada Bank Syariah di Indonesia Tahun 2017-2021","type":"article-journal","volume":"8"},"uris":["http://www.mendeley.com/documents/?uuid=f1f9287a-017a-4e9f-9c88-82cd3abe3389"]}],"mendeley":{"formattedCitation":"Risa Bela Eka Safitri and Dedi Suselo, “Pengaruh Risiko Pembiayaan, Kecukupan Modal Dan Dana Pihak Ketiga Terhadap Profitabilitas Pada Bank Syariah Di Indonesia Tahun 2017-2021,” &lt;i&gt;Jurnal Mirai Management&lt;/i&gt; 8, no. 1 (2023): 78–87.","plainTextFormattedCitation":"Risa Bela Eka Safitri and Dedi Suselo, “Pengaruh Risiko Pembiayaan, Kecukupan Modal Dan Dana Pihak Ketiga Terhadap Profitabilitas Pada Bank Syariah Di Indonesia Tahun 2017-2021,” Jurnal Mirai Management 8, no. 1 (2023): 78–87.","previouslyFormattedCitation":"Risa Bela Eka Safitri and Dedi Suselo, “Pengaruh Risiko Pembiayaan, Kecukupan Modal Dan Dana Pihak Ketiga Terhadap Profitabilitas Pada Bank Syariah Di Indonesia Tahun 2017-2021,” &lt;i&gt;Jurnal Mirai Management&lt;/i&gt; 8, no. 1 (2023): 78–87."},"properties":{"noteIndex":52},"schema":"https://github.com/citation-style-language/schema/raw/master/csl-citation.json"}</w:instrText>
      </w:r>
      <w:r w:rsidRPr="006729D1">
        <w:rPr>
          <w:rFonts w:asciiTheme="majorBidi" w:hAnsiTheme="majorBidi" w:cstheme="majorBidi"/>
          <w:lang w:val="sv-SE"/>
        </w:rPr>
        <w:fldChar w:fldCharType="separate"/>
      </w:r>
      <w:r w:rsidRPr="006729D1">
        <w:rPr>
          <w:rFonts w:asciiTheme="majorBidi" w:hAnsiTheme="majorBidi" w:cstheme="majorBidi"/>
          <w:noProof/>
          <w:lang w:val="sv-SE"/>
        </w:rPr>
        <w:t xml:space="preserve">Risa Bela Eka Safitri and Dedi Suselo, “Pengaruh Risiko Pembiayaan, Kecukupan Modal Dan Dana Pihak Ketiga Terhadap Profitabilitas Pada Bank Syariah Di Indonesia Tahun 2017-2021,” </w:t>
      </w:r>
      <w:r w:rsidRPr="006729D1">
        <w:rPr>
          <w:rFonts w:asciiTheme="majorBidi" w:hAnsiTheme="majorBidi" w:cstheme="majorBidi"/>
          <w:i/>
          <w:noProof/>
          <w:lang w:val="sv-SE"/>
        </w:rPr>
        <w:t>Jurnal Mirai Management</w:t>
      </w:r>
      <w:r w:rsidRPr="006729D1">
        <w:rPr>
          <w:rFonts w:asciiTheme="majorBidi" w:hAnsiTheme="majorBidi" w:cstheme="majorBidi"/>
          <w:noProof/>
          <w:lang w:val="sv-SE"/>
        </w:rPr>
        <w:t xml:space="preserve"> 8, no. 1 (2023): 78–87.</w:t>
      </w:r>
      <w:r w:rsidRPr="006729D1">
        <w:rPr>
          <w:rFonts w:asciiTheme="majorBidi" w:hAnsiTheme="majorBidi" w:cstheme="majorBidi"/>
          <w:lang w:val="sv-SE"/>
        </w:rPr>
        <w:fldChar w:fldCharType="end"/>
      </w:r>
      <w:r w:rsidRPr="002B3EA9">
        <w:rPr>
          <w:rFonts w:asciiTheme="majorBidi" w:hAnsiTheme="majorBidi" w:cstheme="majorBidi"/>
        </w:rPr>
        <w:t>Hal.78</w:t>
      </w:r>
    </w:p>
  </w:footnote>
  <w:footnote w:id="53">
    <w:p w14:paraId="5FE32EEF" w14:textId="0AE25FEB" w:rsidR="005B626F" w:rsidRPr="002B3EA9" w:rsidRDefault="005B626F" w:rsidP="009B563B">
      <w:pPr>
        <w:pStyle w:val="FootnoteText"/>
        <w:ind w:firstLine="720"/>
        <w:jc w:val="both"/>
        <w:rPr>
          <w:rFonts w:asciiTheme="majorBidi" w:hAnsiTheme="majorBidi" w:cstheme="majorBidi"/>
        </w:rPr>
      </w:pPr>
      <w:r w:rsidRPr="006729D1">
        <w:rPr>
          <w:rStyle w:val="FootnoteReference"/>
          <w:rFonts w:asciiTheme="majorBidi" w:hAnsiTheme="majorBidi" w:cstheme="majorBidi"/>
        </w:rPr>
        <w:footnoteRef/>
      </w:r>
      <w:r w:rsidRPr="002B3EA9">
        <w:rPr>
          <w:rFonts w:asciiTheme="majorBidi" w:hAnsiTheme="majorBidi" w:cstheme="majorBidi"/>
        </w:rPr>
        <w:t xml:space="preserve"> </w:t>
      </w:r>
      <w:r w:rsidR="002B3EA9">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{"citationItems":[{"id":"ITEM-1","itemData":{"ISSN":"2304-1269","abstract":"In the recent years, Islamic banking in Indonesia is growing rapidly. The data of Bank Indonesia shows that the number of Islamic banking instruments such as mudharabah deposits has increased both in the number and the total value. The objective of this research is to analyze the influence of Financing to Deposit Ratio (FDR) and Non Performing Financing (NPF) on Mudharabah Deposits of Indonesian Islamic Banking in the period from 2010 to 2013. The sample of this study was 11 Islamic Commercial Banks and 23 Islamic Business Units of Conventional Bank in Indonesia. Secondary data was collected from the Islamic Banking Statistics of Bank Indonesia official website. The data analysis technique used in this study was multiple regression analysis. Based on statistical analysis, it is concluded that Non Performing Financing (NPF) effect on Mudharabah Deposits. Meanwhile, Financing to Deposit Ratio (FDR) has no effect on the Mudharabah Deposits. The results indicate that the customers' motivation to save their money in the bank is to invest in Islamic financial instruments in accordance with Islamic principles, so that customers do not pay much attention to factors such as the level of Financing to Deposit Ratio (FDR).","author":[{"dropping-particle":"","family":"Mayasari","given":"Triya","non-dropping-particle":"","parse-names":false,"suffix":""},{"dropping-particle":"","family":"Yusuf","given":"","non-dropping-particle":"","parse-names":false,"suffix":""},{"dropping-particle":"","family":"Yulianto","given":"Agung","non-dropping-particle":"","parse-names":false,"suffix":""}],"container-title":"Rev. Integr. Bus. Econ. Res.","id":"ITEM-1","issue":"1","issued":{"date-parts":[["2018"]]},"page":"210","title":"The Internal Factors of Indonesian Sharia Banking to Predict The Mudharabah Deposits","type":"article-journal","volume":"5"},"uris":["http://www.mendeley.com/documents/?uuid=e5fa6830-f4a5-421b-8a5a-198724164682"]}],"mendeley":{"formattedCitation":"Mayasari, Yusuf, and Yulianto, “The Internal Factors of Indonesian Sharia Banking to Predict The Mudharabah Deposits.”","plainTextFormattedCitation":"Mayasari, Yusuf, and Yulianto, “The Internal Factors of Indonesian Sharia Banking to Predict The Mudharabah Deposits.”","previouslyFormattedCitation":"Mayasari, Yusuf, and Yulianto, “The Internal Factors of Indonesian Sharia Banking to Predict The Mudharabah Deposits.”"},"properties":{"noteIndex":53},"schema":"https://github.com/citation-style-language/schema/raw/master/csl-citation.json"}</w:instrText>
      </w:r>
      <w:r w:rsidR="002B3EA9">
        <w:rPr>
          <w:rFonts w:asciiTheme="majorBidi" w:hAnsiTheme="majorBidi" w:cstheme="majorBidi"/>
          <w:lang w:val="sv-SE"/>
        </w:rPr>
        <w:fldChar w:fldCharType="separate"/>
      </w:r>
      <w:r w:rsidR="00B839FE" w:rsidRPr="00B839FE">
        <w:rPr>
          <w:rFonts w:asciiTheme="majorBidi" w:hAnsiTheme="majorBidi" w:cstheme="majorBidi"/>
          <w:noProof/>
        </w:rPr>
        <w:t>Mayasari, Yusuf, and Yulianto, “The Internal Factors of Indonesian Sharia Banking to Predict The Mudharabah Deposits.”</w:t>
      </w:r>
      <w:r w:rsidR="002B3EA9">
        <w:rPr>
          <w:rFonts w:asciiTheme="majorBidi" w:hAnsiTheme="majorBidi" w:cstheme="majorBidi"/>
          <w:lang w:val="sv-SE"/>
        </w:rPr>
        <w:fldChar w:fldCharType="end"/>
      </w:r>
      <w:r w:rsidR="002B3EA9" w:rsidRPr="002B3EA9">
        <w:rPr>
          <w:rFonts w:asciiTheme="majorBidi" w:hAnsiTheme="majorBidi" w:cstheme="majorBidi"/>
        </w:rPr>
        <w:t xml:space="preserve"> </w:t>
      </w:r>
      <w:r w:rsidR="002B3EA9">
        <w:rPr>
          <w:rFonts w:asciiTheme="majorBidi" w:hAnsiTheme="majorBidi" w:cstheme="majorBidi"/>
        </w:rPr>
        <w:t>Hal.</w:t>
      </w:r>
      <w:r w:rsidR="00434444">
        <w:rPr>
          <w:rFonts w:asciiTheme="majorBidi" w:hAnsiTheme="majorBidi" w:cstheme="majorBidi"/>
        </w:rPr>
        <w:t>216</w:t>
      </w:r>
    </w:p>
  </w:footnote>
  <w:footnote w:id="54">
    <w:p w14:paraId="673A35B0" w14:textId="27885068" w:rsidR="00825953" w:rsidRPr="00B665A8" w:rsidRDefault="00825953" w:rsidP="009B563B">
      <w:pPr>
        <w:pStyle w:val="FootnoteText"/>
        <w:ind w:firstLine="720"/>
        <w:jc w:val="both"/>
        <w:rPr>
          <w:rFonts w:asciiTheme="majorBidi" w:hAnsiTheme="majorBidi" w:cstheme="majorBidi"/>
        </w:rPr>
      </w:pPr>
      <w:r w:rsidRPr="006729D1">
        <w:rPr>
          <w:rStyle w:val="FootnoteReference"/>
          <w:rFonts w:asciiTheme="majorBidi" w:hAnsiTheme="majorBidi" w:cstheme="majorBidi"/>
        </w:rPr>
        <w:footnoteRef/>
      </w:r>
      <w:r w:rsidRPr="00B839FE">
        <w:rPr>
          <w:rFonts w:asciiTheme="majorBidi" w:hAnsiTheme="majorBidi" w:cstheme="majorBidi"/>
        </w:rPr>
        <w:t xml:space="preserve"> </w:t>
      </w:r>
      <w:r w:rsidRPr="006729D1">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{"citationItems":[{"id":"ITEM-1","itemData":{"ISSN":"2527-9769","abstract":"Tujuan penelitian ini adalah untuk mengetahui ada atau tidaknya pengaruh risiko pembiayaan, risiko likuiditas dan permodalan terhadap profitabilitas bank syariah. Sampel dalam penelitian ini adalah 9 bank syariah. Teknik pengambilan sampel adalah metode purposive sampling. Penelitian ini dilakukan pada perode 2015–2018 sehingga jumlah observasi sebanyak 36 observasi perbankan syariah. Risiko pembiayaan diukur dengan NPF. Risiko likuiditas diukur dengan FDR. Permodalan diukur dengan CAR. Profitabilitas diukur dengan ROA. Sumber data berupa laporan keuangan perbankan syariah yang disajikan dan dipublikasikan pada annual report tahunan. Metode analisis yang digunakan adalah analisis\nregresi berganda. Berdasarkan hasil analisis regresi berganda dengan tingkat signifikansi 5%,maka hasil penelitian ini menyimpulkan: (1) Risiko pembiayaan berpengaruh signifikan negatif terhadap profitabilitas perbankan syariah dengan koefisien β NPF bernilai negatif sebesar -0,472 dan nilai\nsignifikansi 0,001&lt;0,05.(2) Risiko likuiditas berpengaruh signifikan negatif terhadap profitabilitas perbankan syariah dengan koefisien β FDR bernilai negatif sebesar -0,499 dan nilai signifikansi 0,001&lt;0,05. (3) Permodalan berpengaruh signifikan positif terhadap profitabilitas perbankan syariah\ndengan koefisien β CAR bernilai negatif sebesar -0,204 dan nilai signifikansi 0,181&gt;0,05","author":[{"dropping-particle":"","family":"Rahmawati","given":"Apriliyana","non-dropping-particle":"","parse-names":false,"suffix":""}],"container-title":"Jurnal Administrasi Kantor","id":"ITEM-1","issue":"2","issued":{"date-parts":[["2020"]]},"page":"185-198","title":"Dampak risiko pembiayaan, risiko likuiditas dan permodalan terhadap profitabilitas perbankan syariah","type":"article-journal","volume":"8"},"uris":["http://www.mendeley.com/documents/?uuid=269b18bc-e635-4231-90c1-50ba26436568"]}],"mendeley":{"formattedCitation":"Rahmawati, “Dampak Risiko Pembiayaan, Risiko Likuiditas Dan Permodalan Terhadap Profitabilitas Perbankan Syariah.”","plainTextFormattedCitation":"Rahmawati, “Dampak Risiko Pembiayaan, Risiko Likuiditas Dan Permodalan Terhadap Profitabilitas Perbankan Syariah.”","previouslyFormattedCitation":"Rahmawati, “Dampak Risiko Pembiayaan, Risiko Likuiditas Dan Permodalan Terhadap Profitabilitas Perbankan Syariah.”"},"properties":{"noteIndex":54},"schema":"https://github.com/citation-style-language/schema/raw/master/csl-citation.json"}</w:instrText>
      </w:r>
      <w:r w:rsidRPr="006729D1">
        <w:rPr>
          <w:rFonts w:asciiTheme="majorBidi" w:hAnsiTheme="majorBidi" w:cstheme="majorBidi"/>
          <w:lang w:val="sv-SE"/>
        </w:rPr>
        <w:fldChar w:fldCharType="separate"/>
      </w:r>
      <w:r w:rsidRPr="00B839FE">
        <w:rPr>
          <w:rFonts w:asciiTheme="majorBidi" w:hAnsiTheme="majorBidi" w:cstheme="majorBidi"/>
          <w:noProof/>
        </w:rPr>
        <w:t>Rahmawati, “Dampak Risiko Pembiayaan, Risiko Likuiditas Dan Permodalan Terhadap Profitabilitas Perbankan Syariah.”</w:t>
      </w:r>
      <w:r w:rsidRPr="006729D1">
        <w:rPr>
          <w:rFonts w:asciiTheme="majorBidi" w:hAnsiTheme="majorBidi" w:cstheme="majorBidi"/>
          <w:lang w:val="sv-SE"/>
        </w:rPr>
        <w:fldChar w:fldCharType="end"/>
      </w:r>
      <w:r w:rsidRPr="00B839FE">
        <w:rPr>
          <w:rFonts w:asciiTheme="majorBidi" w:hAnsiTheme="majorBidi" w:cstheme="majorBidi"/>
        </w:rPr>
        <w:t xml:space="preserve"> </w:t>
      </w:r>
      <w:r w:rsidRPr="00B665A8">
        <w:rPr>
          <w:rFonts w:asciiTheme="majorBidi" w:hAnsiTheme="majorBidi" w:cstheme="majorBidi"/>
        </w:rPr>
        <w:t>Hal.189</w:t>
      </w:r>
    </w:p>
  </w:footnote>
  <w:footnote w:id="55">
    <w:p w14:paraId="3F2A89C3" w14:textId="05D95099" w:rsidR="00825953" w:rsidRPr="00B665A8" w:rsidRDefault="00825953" w:rsidP="00AD46AB">
      <w:pPr>
        <w:pStyle w:val="FootnoteText"/>
        <w:ind w:firstLine="720"/>
        <w:jc w:val="both"/>
        <w:rPr>
          <w:rFonts w:asciiTheme="majorBidi" w:hAnsiTheme="majorBidi" w:cstheme="majorBidi"/>
        </w:rPr>
      </w:pPr>
      <w:r w:rsidRPr="006729D1">
        <w:rPr>
          <w:rStyle w:val="FootnoteReference"/>
          <w:rFonts w:asciiTheme="majorBidi" w:hAnsiTheme="majorBidi" w:cstheme="majorBidi"/>
        </w:rPr>
        <w:footnoteRef/>
      </w:r>
      <w:r w:rsidRPr="00B665A8">
        <w:rPr>
          <w:rFonts w:asciiTheme="majorBidi" w:hAnsiTheme="majorBidi" w:cstheme="majorBidi"/>
        </w:rPr>
        <w:t xml:space="preserve"> </w:t>
      </w:r>
      <w:r w:rsidRPr="006729D1">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{"citationItems":[{"id":"ITEM-1","itemData":{"DOI":"10.37641/jimkes.v6i3.294","ISSN":"2337-7860","abstract":"Banks in it’s operations are certainly unfree from various risks. The Bank's business risk is uncertainty about a predictable or unpredictable outcome. Non-Performing Loans (NPL) Are financial ratios related to credit risk. Loan to Deposit Ratio (LDR) is a financial ratio related to liquidity risk. This study aims to examine the relationship between credit risk and liquidity risk to profitability at 3 government banks. The data in this study are secondary data. The results of this study indicate that partially credit risk has a significant effect on profitability, and liquidity risk has no significant effect on profitability. Credit risk and liquidity risk simultaneously have an influence on profitability.\r  \r Keywords: non performing loan, liquidity risk, profitability","author":[{"dropping-particle":"","family":"Dewi","given":"Eneng Trisnawati","non-dropping-particle":"","parse-names":false,"suffix":""},{"dropping-particle":"","family":"Srihandoko","given":"Wimpi","non-dropping-particle":"","parse-names":false,"suffix":""}],"container-title":"Jurnal Ilmiah Manajemen Kesatuan","id":"ITEM-1","issue":"3","issued":{"date-parts":[["2018"]]},"page":"131-138","title":"Pengaruh Risiko Kredit dan Risiko Likuiditas Terhadap Profitabilitas Bank","type":"article-journal","volume":"6"},"uris":["http://www.mendeley.com/documents/?uuid=769236d7-9303-4912-80c0-177e8f44528d"]}],"mendeley":{"formattedCitation":"Eneng Trisnawati Dewi and Wimpi Srihandoko, “Pengaruh Risiko Kredit Dan Risiko Likuiditas Terhadap Profitabilitas Bank,” &lt;i&gt;Jurnal Ilmiah Manajemen Kesatuan&lt;/i&gt; 6, no. 3 (2018): 131–38, https://doi.org/10.37641/jimkes.v6i3.294.","plainTextFormattedCitation":"Eneng Trisnawati Dewi and Wimpi Srihandoko, “Pengaruh Risiko Kredit Dan Risiko Likuiditas Terhadap Profitabilitas Bank,” Jurnal Ilmiah Manajemen Kesatuan 6, no. 3 (2018): 131–38, https://doi.org/10.37641/jimkes.v6i3.294.","previouslyFormattedCitation":"Eneng Trisnawati Dewi and Wimpi Srihandoko, “Pengaruh Risiko Kredit Dan Risiko Likuiditas Terhadap Profitabilitas Bank,” &lt;i&gt;Jurnal Ilmiah Manajemen Kesatuan&lt;/i&gt; 6, no. 3 (2018): 131–38, https://doi.org/10.37641/jimkes.v6i3.294."},"properties":{"noteIndex":55},"schema":"https://github.com/citation-style-language/schema/raw/master/csl-citation.json"}</w:instrText>
      </w:r>
      <w:r w:rsidRPr="006729D1">
        <w:rPr>
          <w:rFonts w:asciiTheme="majorBidi" w:hAnsiTheme="majorBidi" w:cstheme="majorBidi"/>
          <w:lang w:val="sv-SE"/>
        </w:rPr>
        <w:fldChar w:fldCharType="separate"/>
      </w:r>
      <w:r w:rsidRPr="00B665A8">
        <w:rPr>
          <w:rFonts w:asciiTheme="majorBidi" w:hAnsiTheme="majorBidi" w:cstheme="majorBidi"/>
          <w:noProof/>
        </w:rPr>
        <w:t xml:space="preserve">Eneng Trisnawati Dewi and Wimpi Srihandoko, “Pengaruh Risiko Kredit Dan Risiko Likuiditas Terhadap Profitabilitas Bank,” </w:t>
      </w:r>
      <w:r w:rsidRPr="00B665A8">
        <w:rPr>
          <w:rFonts w:asciiTheme="majorBidi" w:hAnsiTheme="majorBidi" w:cstheme="majorBidi"/>
          <w:i/>
          <w:noProof/>
        </w:rPr>
        <w:t>Jurnal Ilmiah Manajemen Kesatuan</w:t>
      </w:r>
      <w:r w:rsidRPr="00B665A8">
        <w:rPr>
          <w:rFonts w:asciiTheme="majorBidi" w:hAnsiTheme="majorBidi" w:cstheme="majorBidi"/>
          <w:noProof/>
        </w:rPr>
        <w:t xml:space="preserve"> 6, no. 3 (2018): 131–38, https://doi.org/10.37641/jimkes.v6i3.294.</w:t>
      </w:r>
      <w:r w:rsidRPr="006729D1">
        <w:rPr>
          <w:rFonts w:asciiTheme="majorBidi" w:hAnsiTheme="majorBidi" w:cstheme="majorBidi"/>
          <w:lang w:val="sv-SE"/>
        </w:rPr>
        <w:fldChar w:fldCharType="end"/>
      </w:r>
      <w:r w:rsidRPr="00B665A8">
        <w:rPr>
          <w:rFonts w:asciiTheme="majorBidi" w:hAnsiTheme="majorBidi" w:cstheme="majorBidi"/>
        </w:rPr>
        <w:t xml:space="preserve"> Hal.40</w:t>
      </w:r>
    </w:p>
  </w:footnote>
  <w:footnote w:id="56">
    <w:p w14:paraId="5DF3DC19" w14:textId="6683A6B6" w:rsidR="00825953" w:rsidRPr="00B665A8" w:rsidRDefault="00825953" w:rsidP="00AD46AB">
      <w:pPr>
        <w:pStyle w:val="FootnoteText"/>
        <w:ind w:firstLine="720"/>
        <w:jc w:val="both"/>
        <w:rPr>
          <w:rFonts w:asciiTheme="majorBidi" w:hAnsiTheme="majorBidi" w:cstheme="majorBidi"/>
        </w:rPr>
      </w:pPr>
      <w:r w:rsidRPr="00793C89">
        <w:rPr>
          <w:rStyle w:val="FootnoteReference"/>
          <w:rFonts w:asciiTheme="majorBidi" w:hAnsiTheme="majorBidi" w:cstheme="majorBidi"/>
        </w:rPr>
        <w:footnoteRef/>
      </w:r>
      <w:r w:rsidRPr="00B665A8">
        <w:rPr>
          <w:rFonts w:asciiTheme="majorBidi" w:hAnsiTheme="majorBidi" w:cstheme="majorBidi"/>
        </w:rPr>
        <w:t xml:space="preserve"> </w:t>
      </w:r>
      <w:r w:rsidRPr="00793C89">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{"citationItems":[{"id":"ITEM-1","itemData":{"DOI":"10.31955/mea.v7i3.3313","ISSN":"2621-5306","abstract":"Hasil dari Penelitian ini memiliki tujuan untuk melihat seberapa pengaruh risiko kredit, risiko likuiditas, modal bank dan efisiensi biaya pada profitabilitas bank selama periode lima tahun (2017-2021) dengan memeriksa data pada laporan keuangan yang tercatat di Bank Indonesia (BI) sebagai sektor pebankan, hal tersebut dilakukan dengan metode purposive sampling kriteria penilitian yang telah terpenuhi. Total sampel yang dipergunakan dalam penelitian sebanyak 135 data dari 27 perusahaan sektor perbankan selama 5 tahun periode. Analisis linier berganda dengan tipe data sekunder ini sebagai metode dalam penelitian. Hasil penelitian ini memperlihatkan Risiko kredit menunjukan kearah negatif dan signifikan terhadap profitabilitas bank, pengaruh positif risiko likuiditas terhadap profitabilitas bank, modal bank membuktikan jika berpengaruh negatif tidak signifikan terhadap profitabilitas bank sedangkan efisiensi biaya secara signifikan mempengaruhi profitabilitas.","author":[{"dropping-particle":"","family":"Putri","given":"Aloysia Praskalin Jelita","non-dropping-particle":"","parse-names":false,"suffix":""},{"dropping-particle":"","family":"Wahyudi","given":"Ickhsanto","non-dropping-particle":"","parse-names":false,"suffix":""}],"container-title":"Jurnal Ilmiah Manajemen, Ekonomi, &amp; Akuntansi (MEA)","id":"ITEM-1","issue":"3","issued":{"date-parts":[["2023"]]},"page":"79-94","title":"Pengaruh Risiko Kredit, Risiko Likuiditas, Modal Bank Dan Efisiensi Operasional Terhadap Profitibilitas Bank","type":"article-journal","volume":"7"},"uris":["http://www.mendeley.com/documents/?uuid=0459f48d-ccce-4f55-bfac-51bc56e2736f"]}],"mendeley":{"formattedCitation":"Aloysia Praskalin Jelita Putri and Ickhsanto Wahyudi, “Pengaruh Risiko Kredit, Risiko Likuiditas, Modal Bank Dan Efisiensi Operasional Terhadap Profitibilitas Bank,” &lt;i&gt;Jurnal Ilmiah Manajemen, Ekonomi, &amp; Akuntansi (MEA)&lt;/i&gt; 7, no. 3 (2023): 79–94, https://doi.org/10.31955/mea.v7i3.3313.","plainTextFormattedCitation":"Aloysia Praskalin Jelita Putri and Ickhsanto Wahyudi, “Pengaruh Risiko Kredit, Risiko Likuiditas, Modal Bank Dan Efisiensi Operasional Terhadap Profitibilitas Bank,” Jurnal Ilmiah Manajemen, Ekonomi, &amp; Akuntansi (MEA) 7, no. 3 (2023): 79–94, https://doi.org/10.31955/mea.v7i3.3313.","previouslyFormattedCitation":"Aloysia Praskalin Jelita Putri and Ickhsanto Wahyudi, “Pengaruh Risiko Kredit, Risiko Likuiditas, Modal Bank Dan Efisiensi Operasional Terhadap Profitibilitas Bank,” &lt;i&gt;Jurnal Ilmiah Manajemen, Ekonomi, &amp; Akuntansi (MEA)&lt;/i&gt; 7, no. 3 (2023): 79–94, https://doi.org/10.31955/mea.v7i3.3313."},"properties":{"noteIndex":56},"schema":"https://github.com/citation-style-language/schema/raw/master/csl-citation.json"}</w:instrText>
      </w:r>
      <w:r w:rsidRPr="00793C89">
        <w:rPr>
          <w:rFonts w:asciiTheme="majorBidi" w:hAnsiTheme="majorBidi" w:cstheme="majorBidi"/>
          <w:lang w:val="sv-SE"/>
        </w:rPr>
        <w:fldChar w:fldCharType="separate"/>
      </w:r>
      <w:r w:rsidRPr="00B665A8">
        <w:rPr>
          <w:rFonts w:asciiTheme="majorBidi" w:hAnsiTheme="majorBidi" w:cstheme="majorBidi"/>
          <w:noProof/>
        </w:rPr>
        <w:t xml:space="preserve">Aloysia Praskalin Jelita Putri and Ickhsanto Wahyudi, “Pengaruh Risiko Kredit, Risiko Likuiditas, Modal Bank Dan Efisiensi Operasional Terhadap Profitibilitas Bank,” </w:t>
      </w:r>
      <w:r w:rsidRPr="00B665A8">
        <w:rPr>
          <w:rFonts w:asciiTheme="majorBidi" w:hAnsiTheme="majorBidi" w:cstheme="majorBidi"/>
          <w:i/>
          <w:noProof/>
        </w:rPr>
        <w:t>Jurnal Ilmiah Manajemen, Ekonomi, &amp; Akuntansi (MEA)</w:t>
      </w:r>
      <w:r w:rsidRPr="00B665A8">
        <w:rPr>
          <w:rFonts w:asciiTheme="majorBidi" w:hAnsiTheme="majorBidi" w:cstheme="majorBidi"/>
          <w:noProof/>
        </w:rPr>
        <w:t xml:space="preserve"> 7, no. 3 (2023): 79–94, https://doi.org/10.31955/mea.v7i3.3313.</w:t>
      </w:r>
      <w:r w:rsidRPr="00793C89">
        <w:rPr>
          <w:rFonts w:asciiTheme="majorBidi" w:hAnsiTheme="majorBidi" w:cstheme="majorBidi"/>
          <w:lang w:val="sv-SE"/>
        </w:rPr>
        <w:fldChar w:fldCharType="end"/>
      </w:r>
      <w:r w:rsidRPr="00B665A8">
        <w:rPr>
          <w:rFonts w:asciiTheme="majorBidi" w:hAnsiTheme="majorBidi" w:cstheme="majorBidi"/>
        </w:rPr>
        <w:t xml:space="preserve"> Hal.82</w:t>
      </w:r>
    </w:p>
  </w:footnote>
  <w:footnote w:id="57">
    <w:p w14:paraId="6F4F9840" w14:textId="46358345" w:rsidR="00825953" w:rsidRPr="00B665A8" w:rsidRDefault="00825953" w:rsidP="00AD46AB">
      <w:pPr>
        <w:pStyle w:val="FootnoteText"/>
        <w:ind w:firstLine="720"/>
        <w:jc w:val="both"/>
        <w:rPr>
          <w:rFonts w:asciiTheme="majorBidi" w:hAnsiTheme="majorBidi" w:cstheme="majorBidi"/>
        </w:rPr>
      </w:pPr>
      <w:r w:rsidRPr="00793C89">
        <w:rPr>
          <w:rStyle w:val="FootnoteReference"/>
          <w:rFonts w:asciiTheme="majorBidi" w:hAnsiTheme="majorBidi" w:cstheme="majorBidi"/>
        </w:rPr>
        <w:footnoteRef/>
      </w:r>
      <w:r w:rsidRPr="00B665A8">
        <w:rPr>
          <w:rFonts w:asciiTheme="majorBidi" w:hAnsiTheme="majorBidi" w:cstheme="majorBidi"/>
        </w:rPr>
        <w:t xml:space="preserve"> </w:t>
      </w:r>
      <w:r w:rsidRPr="00793C89">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{"citationItems":[{"id":"ITEM-1","itemData":{"abstract":"This research is motivated by a problem that there are inconsistencies with increased profitability at BTPN Syariah followed by an increase in the value of NPF, FDR and BOPO and vice versa. This study aims to analyze the effect of NPF, FDR, and BOPO on the Profitability of BTPN Syariah in the 2014-2022 Period. The data used in this study is BTPN Syariah's Quarterly Financial Report for the 2014-2022 period. The type of data used is secondary data obtained from financial statements published through the official BTPN Syariah website. The analysis method used is multiple linear regression with a significance rate of 5%. The results of this study show that the NPF ratio partially negatively affects the profitability of banks while the FDR ratio and the BOPO ratio have no significant effect on profitability. Simultaneously, Financing Risk (NPF), Liquidity Risk (FDR) and Operational Risk (BOPO) had an insignificant effect on Profitability by 24% and the remaining 76% were influenced by other factors besides the variables that were the object of this study.","author":[{"dropping-particle":"","family":"Fadhlillah","given":"Afif Pasya","non-dropping-particle":"","parse-names":false,"suffix":""},{"dropping-particle":"","family":"Waluyo","given":"Bambang","non-dropping-particle":"","parse-names":false,"suffix":""}],"id":"ITEM-1","issued":{"date-parts":[["2022"]]},"title":"Pengaruh Risiko Pembiayaan, Risiko Likuiditas, Dan Risiko Operasional Terhadap Profitabilitas PT BTPN Syariah pada Tahun 2014-2022","type":"article-journal"},"uris":["http://www.mendeley.com/documents/?uuid=4dd82928-ca40-4bfb-861e-4acbd1d10c9d"]}],"mendeley":{"formattedCitation":"Afif Pasya Fadhlillah and Bambang Waluyo, “Pengaruh Risiko Pembiayaan, Risiko Likuiditas, Dan Risiko Operasional Terhadap Profitabilitas PT BTPN Syariah Pada Tahun 2014-2022,” 2022.","plainTextFormattedCitation":"Afif Pasya Fadhlillah and Bambang Waluyo, “Pengaruh Risiko Pembiayaan, Risiko Likuiditas, Dan Risiko Operasional Terhadap Profitabilitas PT BTPN Syariah Pada Tahun 2014-2022,” 2022.","previouslyFormattedCitation":"Afif Pasya Fadhlillah and Bambang Waluyo, “Pengaruh Risiko Pembiayaan, Risiko Likuiditas, Dan Risiko Operasional Terhadap Profitabilitas PT BTPN Syariah Pada Tahun 2014-2022,” 2022."},"properties":{"noteIndex":57},"schema":"https://github.com/citation-style-language/schema/raw/master/csl-citation.json"}</w:instrText>
      </w:r>
      <w:r w:rsidRPr="00793C89">
        <w:rPr>
          <w:rFonts w:asciiTheme="majorBidi" w:hAnsiTheme="majorBidi" w:cstheme="majorBidi"/>
          <w:lang w:val="sv-SE"/>
        </w:rPr>
        <w:fldChar w:fldCharType="separate"/>
      </w:r>
      <w:r w:rsidRPr="00B665A8">
        <w:rPr>
          <w:rFonts w:asciiTheme="majorBidi" w:hAnsiTheme="majorBidi" w:cstheme="majorBidi"/>
          <w:noProof/>
        </w:rPr>
        <w:t>Afif Pasya Fadhlillah and Bambang Waluyo, “Pengaruh Risiko Pembiayaan, Risiko Likuiditas, Dan Risiko Operasional Terhadap Profitabilitas PT BTPN Syariah Pada Tahun 2014-2022,” 2022.</w:t>
      </w:r>
      <w:r w:rsidRPr="00793C89">
        <w:rPr>
          <w:rFonts w:asciiTheme="majorBidi" w:hAnsiTheme="majorBidi" w:cstheme="majorBidi"/>
          <w:lang w:val="sv-SE"/>
        </w:rPr>
        <w:fldChar w:fldCharType="end"/>
      </w:r>
    </w:p>
  </w:footnote>
  <w:footnote w:id="58">
    <w:p w14:paraId="5B70DDF6" w14:textId="4DCF8F92" w:rsidR="00825953" w:rsidRPr="00793C89" w:rsidRDefault="00825953" w:rsidP="00AD46AB">
      <w:pPr>
        <w:pStyle w:val="FootnoteText"/>
        <w:ind w:firstLine="720"/>
        <w:jc w:val="both"/>
        <w:rPr>
          <w:rFonts w:asciiTheme="majorBidi" w:hAnsiTheme="majorBidi" w:cstheme="majorBidi"/>
        </w:rPr>
      </w:pPr>
      <w:r w:rsidRPr="00793C89">
        <w:rPr>
          <w:rStyle w:val="FootnoteReference"/>
          <w:rFonts w:asciiTheme="majorBidi" w:hAnsiTheme="majorBidi" w:cstheme="majorBidi"/>
        </w:rPr>
        <w:footnoteRef/>
      </w:r>
      <w:r w:rsidRPr="00A8607D">
        <w:rPr>
          <w:rFonts w:asciiTheme="majorBidi" w:hAnsiTheme="majorBidi" w:cstheme="majorBidi"/>
          <w:lang w:val="pt-BR"/>
        </w:rPr>
        <w:t xml:space="preserve"> </w:t>
      </w:r>
      <w:r w:rsidRPr="00793C89">
        <w:rPr>
          <w:rFonts w:asciiTheme="majorBidi" w:hAnsiTheme="majorBidi" w:cstheme="majorBidi"/>
          <w:lang w:val="sv-SE"/>
        </w:rPr>
        <w:fldChar w:fldCharType="begin" w:fldLock="1"/>
      </w:r>
      <w:r w:rsidR="00E47DAC">
        <w:rPr>
          <w:rFonts w:asciiTheme="majorBidi" w:hAnsiTheme="majorBidi" w:cstheme="majorBidi"/>
          <w:lang w:val="pt-BR"/>
        </w:rPr>
        <w:instrText>ADDIN CSL_CITATION {"citationItems":[{"id":"ITEM-1","itemData":{"DOI":"10.20473/baki.v4i2.18404","ISSN":"2459-9581","abstract":"Penelitian ini mengenai ”Analisis Faktor-faktor yang Mempengaruhi Financing to Deposit Ratio (FDR) pada Bank Umum Syariah di Indonesia” telah dilaksanakan pada bulan Mei –Nopember 2018. Tujuan penelitian ini adalah untuk mengetahui dan menganalisis faktor-faktor apa saja yang mampu mempengaruhi tingkat likuiditas penyaluran dana/pembiayaan pada Bank Umum Syariah di Indonesia. Teknik analisis data dalam penelitian ini dilakukan dengan regresi berganda dengan menggunakan software SPSS. Metode yang digunakan dalam penelitian ini adalah explanatory research, yaitu menekankan hubungan antara variabel-variabel penelitian (variabel dependen dan variabel independen) dan pengujian hipotesis (hypothesis testing) untuk menguji hipotesis yang diajukan mengenai pengaruh dana pihak ketiga (DPK), return on asset (ROA), non performing financing (NPF), dan tingkat inflasi sebagai faktor-faktor yang berpengaruh terhadap tingkat likuiditas penyaluran dana/pembiayaan bank syariah di Indonesia. Hasil penelitian menunjukkan bahwa dana pihak ketiga (DPK), return on asset (ROA), non performing financing (NPF), dan tingkat inflasi berpengaruh secara signifikan, baik secara parsial maupun simultan.","author":[{"dropping-particle":"","family":"Somantri","given":"Yeni Fitriani","non-dropping-particle":"","parse-names":false,"suffix":""},{"dropping-particle":"","family":"Sukmana","given":"Wawan","non-dropping-particle":"","parse-names":false,"suffix":""}],"container-title":"Berkala Akuntansi dan Keuangan Indonesia","id":"ITEM-1","issue":"2","issued":{"date-parts":[["2020"]]},"page":"61","title":"Analisis Faktor- Faktor yang Mempengaruhi Financing to Deposit Ratio (FDR) pada Bank Umum Syariah di Indonesia","type":"article-journal","volume":"4"},"uris":["http://www.mendeley.com/documents/?uuid=ebb0e66c-b4ef-4e88-be38-5ab38704811e"]}],"mendeley":{"formattedCitation":"Yeni Fitriani Somantri and Wawan Sukmana, “Analisis Faktor- Faktor Yang Mempengaruhi Financing to Deposit Ratio (FDR) Pada Bank Umum Syariah Di Indonesia,” &lt;i&gt;Berkala Akuntansi Dan Keuangan Indonesia&lt;/i&gt; 4, no. 2 (2020): 61, https://doi.org/10.20473/baki.v4i2.18404.","plainTextFormattedCitation":"Yeni Fitriani Somantri and Wawan Sukmana, “Analisis Faktor- Faktor Yang Mempengaruhi Financing to Deposit Ratio (FDR) Pada Bank Umum Syariah Di Indonesia,” Berkala Akuntansi Dan Keuangan Indonesia 4, no. 2 (2020): 61, https://doi.org/10.20473/baki.v4i2.18404.","previouslyFormattedCitation":"Yeni Fitriani Somantri and Wawan Sukmana, “Analisis Faktor- Faktor Yang Mempengaruhi Financing to Deposit Ratio (FDR) Pada Bank Umum Syariah Di Indonesia,” &lt;i&gt;Berkala Akuntansi Dan Keuangan Indonesia&lt;/i&gt; 4, no. 2 (2020): 61, https://doi.org/10.20473/baki.v4i2.18404."},"properties":{"noteIndex":58},"schema":"https://github.com/citation-style-language/schema/raw/master/csl-citation.json"}</w:instrText>
      </w:r>
      <w:r w:rsidRPr="00793C89">
        <w:rPr>
          <w:rFonts w:asciiTheme="majorBidi" w:hAnsiTheme="majorBidi" w:cstheme="majorBidi"/>
          <w:lang w:val="sv-SE"/>
        </w:rPr>
        <w:fldChar w:fldCharType="separate"/>
      </w:r>
      <w:r w:rsidRPr="00A8607D">
        <w:rPr>
          <w:rFonts w:asciiTheme="majorBidi" w:hAnsiTheme="majorBidi" w:cstheme="majorBidi"/>
          <w:noProof/>
          <w:lang w:val="pt-BR"/>
        </w:rPr>
        <w:t xml:space="preserve">Yeni Fitriani Somantri and Wawan Sukmana, “Analisis Faktor- Faktor Yang Mempengaruhi Financing to Deposit Ratio (FDR) Pada Bank Umum Syariah Di Indonesia,” </w:t>
      </w:r>
      <w:r w:rsidRPr="00A8607D">
        <w:rPr>
          <w:rFonts w:asciiTheme="majorBidi" w:hAnsiTheme="majorBidi" w:cstheme="majorBidi"/>
          <w:i/>
          <w:noProof/>
          <w:lang w:val="pt-BR"/>
        </w:rPr>
        <w:t>Berkala Akuntansi Dan Keuangan Indonesia</w:t>
      </w:r>
      <w:r w:rsidRPr="00A8607D">
        <w:rPr>
          <w:rFonts w:asciiTheme="majorBidi" w:hAnsiTheme="majorBidi" w:cstheme="majorBidi"/>
          <w:noProof/>
          <w:lang w:val="pt-BR"/>
        </w:rPr>
        <w:t xml:space="preserve"> 4, no. 2 (2020): 61, https://doi.org/10.20473/baki.v4i2.18404.</w:t>
      </w:r>
      <w:r w:rsidRPr="00793C89">
        <w:rPr>
          <w:rFonts w:asciiTheme="majorBidi" w:hAnsiTheme="majorBidi" w:cstheme="majorBidi"/>
          <w:lang w:val="sv-SE"/>
        </w:rPr>
        <w:fldChar w:fldCharType="end"/>
      </w:r>
      <w:r w:rsidRPr="00A8607D">
        <w:rPr>
          <w:rFonts w:asciiTheme="majorBidi" w:hAnsiTheme="majorBidi" w:cstheme="majorBidi"/>
          <w:lang w:val="pt-BR"/>
        </w:rPr>
        <w:t xml:space="preserve"> </w:t>
      </w:r>
      <w:r w:rsidRPr="00793C89">
        <w:rPr>
          <w:rFonts w:asciiTheme="majorBidi" w:hAnsiTheme="majorBidi" w:cstheme="majorBidi"/>
        </w:rPr>
        <w:t>hal.63</w:t>
      </w:r>
    </w:p>
  </w:footnote>
  <w:footnote w:id="59">
    <w:p w14:paraId="14000887" w14:textId="1E2D5A9C" w:rsidR="00825953" w:rsidRPr="00793C89" w:rsidRDefault="00825953" w:rsidP="00AD46AB">
      <w:pPr>
        <w:pStyle w:val="FootnoteText"/>
        <w:ind w:firstLine="720"/>
        <w:jc w:val="both"/>
        <w:rPr>
          <w:rFonts w:asciiTheme="majorBidi" w:hAnsiTheme="majorBidi" w:cstheme="majorBidi"/>
          <w:lang w:val="en-US"/>
        </w:rPr>
      </w:pPr>
      <w:r w:rsidRPr="00793C89">
        <w:rPr>
          <w:rStyle w:val="FootnoteReference"/>
          <w:rFonts w:asciiTheme="majorBidi" w:hAnsiTheme="majorBidi" w:cstheme="majorBidi"/>
        </w:rPr>
        <w:footnoteRef/>
      </w:r>
      <w:r w:rsidRPr="00793C89">
        <w:rPr>
          <w:rFonts w:asciiTheme="majorBidi" w:hAnsiTheme="majorBidi" w:cstheme="majorBidi"/>
        </w:rPr>
        <w:t xml:space="preserve"> </w:t>
      </w:r>
      <w:r w:rsidRPr="00793C89">
        <w:rPr>
          <w:rFonts w:asciiTheme="majorBidi" w:hAnsiTheme="majorBidi" w:cstheme="majorBidi"/>
        </w:rPr>
        <w:fldChar w:fldCharType="begin" w:fldLock="1"/>
      </w:r>
      <w:r w:rsidR="00E47DAC">
        <w:rPr>
          <w:rFonts w:asciiTheme="majorBidi" w:hAnsiTheme="majorBidi" w:cstheme="majorBidi"/>
        </w:rPr>
        <w:instrText>ADDIN CSL_CITATION {"citationItems":[{"id":"ITEM-1","itemData":{"DOI":"10.22515/jfib.v1i1.1245","ISSN":"2615-2967","abstract":"This study analyzes the factors affecting Non-Performing Financing (NPF) in the sharia bank in Indonesia. The independent variable in this research uses microeconomic variables such as Capital Adequacy Ratio (CAR), Return on Assets (ROA), Financing to Deposit Ratio (FDR), Productive Financing Ratio (PFR), and Earning Asset Quality (EAQ). The sample used in this research is all population of Sharia Commercial Bank in Indonesia. The data used in this study were obtained from the Sharia Banking Statistics Report issued by the Financial Services Authority (Otoritas Jasa Keuangan - OJK) with the observation period from 2015 to 2017. The results showed that simultaneously CAR, ROA, FDR, PFR, and EAQ significantly influence NPF. Partially only variable FDR and EAQ which have the positive and significant influence to NPF, while CAR, ROA, and PFR has no significant effect on NPF.","author":[{"dropping-particle":"","family":"Nihayah","given":"Ana Zahrotun","non-dropping-particle":"","parse-names":false,"suffix":""},{"dropping-particle":"","family":"Walyoto","given":"Sri","non-dropping-particle":"","parse-names":false,"suffix":""}],"container-title":"Journal of Finance and Islamic Banking","id":"ITEM-1","issue":"1","issued":{"date-parts":[["2018"]]},"page":"23-38","title":"Identification of Non Performing Financing Alteration Measured by Microeconomic Variable Sharia Banking","type":"article-journal","volume":"1"},"uris":["http://www.mendeley.com/documents/?uuid=579b841d-7fcf-4cfa-a3ec-296947311775"]}],"mendeley":{"formattedCitation":"Ana Zahrotun Nihayah and Sri Walyoto, “Identification of Non Performing Financing Alteration Measured by Microeconomic Variable Sharia Banking,” &lt;i&gt;Journal of Finance and Islamic Banking&lt;/i&gt; 1, no. 1 (2018): 23–38, https://doi.org/10.22515/jfib.v1i1.1245.","plainTextFormattedCitation":"Ana Zahrotun Nihayah and Sri Walyoto, “Identification of Non Performing Financing Alteration Measured by Microeconomic Variable Sharia Banking,” Journal of Finance and Islamic Banking 1, no. 1 (2018): 23–38, https://doi.org/10.22515/jfib.v1i1.1245.","previouslyFormattedCitation":"Ana Zahrotun Nihayah and Sri Walyoto, “Identification of Non Performing Financing Alteration Measured by Microeconomic Variable Sharia Banking,” &lt;i&gt;Journal of Finance and Islamic Banking&lt;/i&gt; 1, no. 1 (2018): 23–38, https://doi.org/10.22515/jfib.v1i1.1245."},"properties":{"noteIndex":59},"schema":"https://github.com/citation-style-language/schema/raw/master/csl-citation.json"}</w:instrText>
      </w:r>
      <w:r w:rsidRPr="00793C89">
        <w:rPr>
          <w:rFonts w:asciiTheme="majorBidi" w:hAnsiTheme="majorBidi" w:cstheme="majorBidi"/>
        </w:rPr>
        <w:fldChar w:fldCharType="separate"/>
      </w:r>
      <w:r w:rsidRPr="00793C89">
        <w:rPr>
          <w:rFonts w:asciiTheme="majorBidi" w:hAnsiTheme="majorBidi" w:cstheme="majorBidi"/>
          <w:noProof/>
        </w:rPr>
        <w:t xml:space="preserve">Ana Zahrotun Nihayah and Sri Walyoto, “Identification of Non Performing Financing Alteration Measured by Microeconomic Variable Sharia Banking,” </w:t>
      </w:r>
      <w:r w:rsidRPr="00793C89">
        <w:rPr>
          <w:rFonts w:asciiTheme="majorBidi" w:hAnsiTheme="majorBidi" w:cstheme="majorBidi"/>
          <w:i/>
          <w:noProof/>
        </w:rPr>
        <w:t>Journal of Finance and Islamic Banking</w:t>
      </w:r>
      <w:r w:rsidRPr="00793C89">
        <w:rPr>
          <w:rFonts w:asciiTheme="majorBidi" w:hAnsiTheme="majorBidi" w:cstheme="majorBidi"/>
          <w:noProof/>
        </w:rPr>
        <w:t xml:space="preserve"> 1, no. 1 (2018): 23–38, https://doi.org/10.22515/jfib.v1i1.1245.</w:t>
      </w:r>
      <w:r w:rsidRPr="00793C89">
        <w:rPr>
          <w:rFonts w:asciiTheme="majorBidi" w:hAnsiTheme="majorBidi" w:cstheme="majorBidi"/>
        </w:rPr>
        <w:fldChar w:fldCharType="end"/>
      </w:r>
      <w:r w:rsidRPr="00793C89">
        <w:rPr>
          <w:rFonts w:asciiTheme="majorBidi" w:hAnsiTheme="majorBidi" w:cstheme="majorBidi"/>
        </w:rPr>
        <w:t xml:space="preserve"> hal.26</w:t>
      </w:r>
    </w:p>
  </w:footnote>
  <w:footnote w:id="60">
    <w:p w14:paraId="6053D492" w14:textId="5C500D75" w:rsidR="00825953" w:rsidRPr="002B79F1" w:rsidRDefault="00825953" w:rsidP="00AD46AB">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{"citationItems":[{"id":"ITEM-1","itemData":{"abstract":"… Lembaga Keuangan Syariah (LKS). Lembaga Keuangan Syariah merupakan suatu sistem … Term tentang ta’zir dalam kajian Lembaga Keuangan Syariah adalah merupakan sesuatu …","author":[{"dropping-particle":"","family":"Isnalina","given":"","non-dropping-particle":"","parse-names":false,"suffix":""},{"dropping-particle":"","family":"Inayatillah","given":"","non-dropping-particle":"","parse-names":false,"suffix":""}],"container-title":"Proceeding of Dirundeng International Conference on Islamic Studies (DICIS 2021)","id":"ITEM-1","issue":"17","issued":{"date-parts":[["2021"]]},"page":"293-304","title":"Urgensi Penerapan Ta'Zir Pada Perbankan Syariah","type":"article-journal"},"uris":["http://www.mendeley.com/documents/?uuid=8919a8b4-6c7c-4283-ae1e-ece589011956"]}],"mendeley":{"formattedCitation":"Isnalina and Inayatillah, “Urgensi Penerapan Ta’Zir Pada Perbankan Syariah,” &lt;i&gt;Proceeding of Dirundeng International Conference on Islamic Studies (DICIS 2021)&lt;/i&gt;, no. 17 (2021): 293–304.","plainTextFormattedCitation":"Isnalina and Inayatillah, “Urgensi Penerapan Ta’Zir Pada Perbankan Syariah,” Proceeding of Dirundeng International Conference on Islamic Studies (DICIS 2021), no. 17 (2021): 293–304.","previouslyFormattedCitation":"Isnalina and Inayatillah, “Urgensi Penerapan Ta’Zir Pada Perbankan Syariah,” &lt;i&gt;Proceeding of Dirundeng International Conference on Islamic Studies (DICIS 2021)&lt;/i&gt;, no. 17 (2021): 293–304."},"properties":{"noteIndex":60},"schema":"https://github.com/citation-style-language/schema/raw/master/csl-citation.json"}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rPr>
        <w:t xml:space="preserve">Isnalina and Inayatillah, “Urgensi Penerapan Ta’Zir Pada Perbankan Syariah,” </w:t>
      </w:r>
      <w:r w:rsidRPr="009E3DCE">
        <w:rPr>
          <w:rFonts w:asciiTheme="majorBidi" w:hAnsiTheme="majorBidi" w:cstheme="majorBidi"/>
          <w:i/>
          <w:noProof/>
        </w:rPr>
        <w:t>Proceeding of Dirundeng International Conference on Islamic Studies (DICIS 2021)</w:t>
      </w:r>
      <w:r w:rsidRPr="009E3DCE">
        <w:rPr>
          <w:rFonts w:asciiTheme="majorBidi" w:hAnsiTheme="majorBidi" w:cstheme="majorBidi"/>
          <w:noProof/>
        </w:rPr>
        <w:t>, no. 17 (2021): 293–304.</w:t>
      </w:r>
      <w:r w:rsidRPr="009E3DCE">
        <w:rPr>
          <w:rFonts w:asciiTheme="majorBidi" w:hAnsiTheme="majorBidi" w:cstheme="majorBidi"/>
          <w:lang w:val="sv-SE"/>
        </w:rPr>
        <w:fldChar w:fldCharType="end"/>
      </w:r>
      <w:r w:rsidRPr="009E3DCE">
        <w:rPr>
          <w:rFonts w:asciiTheme="majorBidi" w:hAnsiTheme="majorBidi" w:cstheme="majorBidi"/>
        </w:rPr>
        <w:t xml:space="preserve"> </w:t>
      </w:r>
      <w:r w:rsidRPr="002B79F1">
        <w:rPr>
          <w:rFonts w:asciiTheme="majorBidi" w:hAnsiTheme="majorBidi" w:cstheme="majorBidi"/>
          <w:lang w:val="sv-SE"/>
        </w:rPr>
        <w:t>Hal.299</w:t>
      </w:r>
    </w:p>
  </w:footnote>
  <w:footnote w:id="61">
    <w:p w14:paraId="3AFE27E4" w14:textId="11F80A7C" w:rsidR="001114A2" w:rsidRPr="009E3DCE" w:rsidRDefault="001114A2" w:rsidP="009E3DCE">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{"citationItems":[{"id":"ITEM-1","itemData":{"DOI":"10.24090/ej.v6i1.2045","ISSN":"2354-905X","abstract":"The purpose of this study is to examine the influence of interest rates, the level of profit sharing, liquidity, inflation, the size of the company, and the growth of gross domestic product simultaneously and partially on mudaraba deposits at Islamic Commercial Banking in Indonesia. This study conduct quantitative research with hypothesis testing on secondary data in term of time series on the quartely financial statements starting from the first quarter of 2011 to fourth quarter of 2014. The reserach sample is six Islamic Commercial Banking in Indonesia. The data analysis technique in this study are descriptive analysis, classical assumption test, multiple regression analysis, hypothesis test uses F test, and t test. The result showed that variable of interest rates, the level of profit sharing, liquidity, inflation, the size of the company, and the growth of gross domestic product simultaneously significant influence on mudaraba deposits at Islamic Commercial Banking in Indonesia. while partially variable of the level of profit sharing, and the size of the company positivelly significant influence on mudaraba deposits at Islamic Commercial Banking in Indonesia, but interest rates, liquidity, inflation, and the growth of gross domestic product does not  significant influence on mudaraba deposits at Islamic Commercial Banking in Indonesia.","author":[{"dropping-particle":"","family":"Sholikha","given":"Akhris Fuadatis","non-dropping-particle":"","parse-names":false,"suffix":""}],"container-title":"el-Jizya : Jurnal Ekonomi Islam","id":"ITEM-1","issue":"1","issued":{"date-parts":[["2018"]]},"page":"1-22","title":"Pengaruh Tingkat Suku Bunga, Tingkat Bagi Hasil, Likuiditas, Inflasi, Ukuran Bank, dan Pertumbuhan Produk Domestik Bruto terhadap Deposito Mudharabah Bank Umum Syariah di Indonesia","type":"article-journal","volume":"6"},"uris":["http://www.mendeley.com/documents/?uuid=0dcdaded-cd3a-4b49-977b-0cc477dc8e1c"]}],"mendeley":{"formattedCitation":"Sholikha, “Pengaruh Tingkat Suku Bunga, Tingkat Bagi Hasil, Likuiditas, Inflasi, Ukuran Bank, Dan Pertumbuhan Produk Domestik Bruto Terhadap Deposito Mudharabah Bank Umum Syariah Di Indonesia.”","plainTextFormattedCitation":"Sholikha, “Pengaruh Tingkat Suku Bunga, Tingkat Bagi Hasil, Likuiditas, Inflasi, Ukuran Bank, Dan Pertumbuhan Produk Domestik Bruto Terhadap Deposito Mudharabah Bank Umum Syariah Di Indonesia.”","previouslyFormattedCitation":"Sholikha, “Pengaruh Tingkat Suku Bunga, Tingkat Bagi Hasil, Likuiditas, Inflasi, Ukuran Bank, Dan Pertumbuhan Produk Domestik Bruto Terhadap Deposito Mudharabah Bank Umum Syariah Di Indonesia.”"},"properties":{"noteIndex":61},"schema":"https://github.com/citation-style-language/schema/raw/master/csl-citation.json"}</w:instrText>
      </w:r>
      <w:r w:rsidRPr="009E3DCE">
        <w:rPr>
          <w:rFonts w:asciiTheme="majorBidi" w:hAnsiTheme="majorBidi" w:cstheme="majorBidi"/>
        </w:rPr>
        <w:fldChar w:fldCharType="separate"/>
      </w:r>
      <w:r w:rsidR="009F5161" w:rsidRPr="009E3DCE">
        <w:rPr>
          <w:rFonts w:asciiTheme="majorBidi" w:hAnsiTheme="majorBidi" w:cstheme="majorBidi"/>
          <w:noProof/>
          <w:lang w:val="sv-SE"/>
        </w:rPr>
        <w:t>Sholikha, “Pengaruh Tingkat Suku Bunga, Tingkat Bagi Hasil, Likuiditas, Inflasi, Ukuran Bank, Dan Pertumbuhan Produk Domestik Bruto Terhadap Deposito Mudharabah Bank Umum Syariah Di Indonesia.”</w:t>
      </w:r>
      <w:r w:rsidRPr="009E3DCE">
        <w:rPr>
          <w:rFonts w:asciiTheme="majorBidi" w:hAnsiTheme="majorBidi" w:cstheme="majorBidi"/>
        </w:rPr>
        <w:fldChar w:fldCharType="end"/>
      </w:r>
      <w:r w:rsidRPr="009E3DCE">
        <w:rPr>
          <w:rFonts w:asciiTheme="majorBidi" w:hAnsiTheme="majorBidi" w:cstheme="majorBidi"/>
        </w:rPr>
        <w:t>.Hal.8</w:t>
      </w:r>
    </w:p>
  </w:footnote>
  <w:footnote w:id="62">
    <w:p w14:paraId="434D216E" w14:textId="21419B2E" w:rsidR="001114A2" w:rsidRPr="009E3DCE" w:rsidRDefault="001114A2" w:rsidP="009E3DCE">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00996ECE">
        <w:rPr>
          <w:rFonts w:asciiTheme="majorBidi" w:hAnsiTheme="majorBidi" w:cstheme="majorBidi"/>
        </w:rPr>
        <w:fldChar w:fldCharType="begin" w:fldLock="1"/>
      </w:r>
      <w:r w:rsidR="00E47DAC">
        <w:rPr>
          <w:rFonts w:asciiTheme="majorBidi" w:hAnsiTheme="majorBidi" w:cstheme="majorBidi"/>
        </w:rPr>
        <w:instrText>ADDIN CSL_CITATION {"citationItems":[{"id":"ITEM-1","itemData":{"DOI":"10.22219/jes.v4i1.8752","ISSN":"2502-3918","abstract":"This study aims to determine the factors affect the amount of mudharaba deposits in Sharia Commercial Banks period 2014-2017. Factors affecting mudharaba deposits are used in this study which profit sharing rate, liquidity level measured by financing to deposit ratio, and inflation rate. The method used in this research is quantitative descriptive. The data used are secondary time series for the period of January 2014-December 2017 which has been published by the website of Bank Indonesia and Otoritas Jasa Keuangan (OJK). The method of analysis used is multiple linear regression. The results of this study indicate that the profit sharing rate, financing to deposit ratio and inflation rate significantly influence the number of mudharaba deposit accumulation. Variable of profit sharing rate have a positive relation to mudharaba deposit. However, the variable of financing to deposit ratio and inflation rate have a negative relation to mudharaba deposit.","author":[{"dropping-particle":"","family":"Febriani","given":"Firda Izzati","non-dropping-particle":"","parse-names":false,"suffix":""}],"container-title":"Falah: Jurnal Ekonomi Syariah","id":"ITEM-1","issue":"1","issued":{"date-parts":[["2019"]]},"page":"108","title":"Pengaruh Tingkat Bagi Hasil, Financing to Deposit Ratio (FDR) Dan Tingkat Inflasi Terhadap Deposito Mudharabah Pada Bank Umum Syariah (BUS) Periode 2014 – 2017","type":"article-journal","volume":"4"},"uris":["http://www.mendeley.com/documents/?uuid=42c62c87-a0e6-4191-88ce-e93bd9aea831"]}],"mendeley":{"formattedCitation":"Febriani, “Pengaruh Tingkat Bagi Hasil, Financing to Deposit Ratio (FDR) Dan Tingkat Inflasi Terhadap Deposito Mudharabah Pada Bank Umum Syariah (BUS) Periode 2014 – 2017.”","plainTextFormattedCitation":"Febriani, “Pengaruh Tingkat Bagi Hasil, Financing to Deposit Ratio (FDR) Dan Tingkat Inflasi Terhadap Deposito Mudharabah Pada Bank Umum Syariah (BUS) Periode 2014 – 2017.”","previouslyFormattedCitation":"Febriani, “Pengaruh Tingkat Bagi Hasil, Financing to Deposit Ratio (FDR) Dan Tingkat Inflasi Terhadap Deposito Mudharabah Pada Bank Umum Syariah (BUS) Periode 2014 – 2017.”"},"properties":{"noteIndex":62},"schema":"https://github.com/citation-style-language/schema/raw/master/csl-citation.json"}</w:instrText>
      </w:r>
      <w:r w:rsidR="00996ECE">
        <w:rPr>
          <w:rFonts w:asciiTheme="majorBidi" w:hAnsiTheme="majorBidi" w:cstheme="majorBidi"/>
        </w:rPr>
        <w:fldChar w:fldCharType="separate"/>
      </w:r>
      <w:r w:rsidR="00996ECE" w:rsidRPr="00996ECE">
        <w:rPr>
          <w:rFonts w:asciiTheme="majorBidi" w:hAnsiTheme="majorBidi" w:cstheme="majorBidi"/>
          <w:noProof/>
        </w:rPr>
        <w:t>Febriani, “Pengaruh Tingkat Bagi Hasil, Financing to Deposit Ratio (FDR) Dan Tingkat Inflasi Terhadap Deposito Mudharabah Pada Bank Umum Syariah (BUS) Periode 2014 – 2017.”</w:t>
      </w:r>
      <w:r w:rsidR="00996ECE">
        <w:rPr>
          <w:rFonts w:asciiTheme="majorBidi" w:hAnsiTheme="majorBidi" w:cstheme="majorBidi"/>
        </w:rPr>
        <w:fldChar w:fldCharType="end"/>
      </w:r>
      <w:r w:rsidR="00B9747F">
        <w:rPr>
          <w:rFonts w:asciiTheme="majorBidi" w:hAnsiTheme="majorBidi" w:cstheme="majorBidi"/>
        </w:rPr>
        <w:t xml:space="preserve"> Hal.116</w:t>
      </w:r>
    </w:p>
  </w:footnote>
  <w:footnote w:id="63">
    <w:p w14:paraId="77BBDE67" w14:textId="1E0D6A2F" w:rsidR="00BC5A82" w:rsidRPr="009E3DCE" w:rsidRDefault="00BC5A82" w:rsidP="00AD46AB">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rPr>
        <w:fldChar w:fldCharType="begin" w:fldLock="1"/>
      </w:r>
      <w:r w:rsidR="00E47DAC">
        <w:rPr>
          <w:rFonts w:asciiTheme="majorBidi" w:hAnsiTheme="majorBidi" w:cstheme="majorBidi"/>
        </w:rPr>
        <w:instrText>ADDIN CSL_CITATION {"citationItems":[{"id":"ITEM-1","itemData":{"DOI":"10.56013/jebi.v2i2.1529","ISSN":"2775-6920","abstract":"Sharia Bank is one of the financial institutions that provide services with sharia principles. In this case, Islamic banks refer to a system of banking activities that are consistent with sharia principles. Shari'a principles emphasize more on moral and ethical values ​​in all transactions carried out. Sharia prohibits the payment or receipt of interest charges or usury. There are various kinds of products offered by Islamic banking such as savings, financing, to various other service products. To understand this, through this research, the products offered by Islamic banks to avoid usury are formulated, namely Mudharabah products with a profit-sharing system. To implement the profit-sharing system, Islamic banks use two methods in determining the margin and ratio, namely profit-loss sharing and revenue-sharing methods.\r Keywords: Islamic Bank, Mudharabah Agreement, Margin and Ratio, Profit loss sharing, Revenue sharing.","author":[{"dropping-particle":"","family":"Sutra Lena","given":"Shery","non-dropping-particle":"","parse-names":false,"suffix":""},{"dropping-particle":"","family":"Syarofi","given":"Muhammad","non-dropping-particle":"","parse-names":false,"suffix":""}],"container-title":"Jurnal Ekonomi dan Bisnis Islam (JEBI)","id":"ITEM-1","issue":"2","issued":{"date-parts":[["2022"]]},"page":"153-162","title":"Penetapan Margin dan Nisbah Bagi Hasil Pada Pembiayaan Mudharabah di Bank Syariah Indonesia","type":"article-journal","volume":"2"},"uris":["http://www.mendeley.com/documents/?uuid=35095eb7-8ef0-4a27-80b6-0304145bcdf7"]}],"mendeley":{"formattedCitation":"Shery Sutra Lena and Muhammad Syarofi, “Penetapan Margin Dan Nisbah Bagi Hasil Pada Pembiayaan Mudharabah Di Bank Syariah Indonesia,” &lt;i&gt;Jurnal Ekonomi Dan Bisnis Islam (JEBI)&lt;/i&gt; 2, no. 2 (2022): 153–62, https://doi.org/10.56013/jebi.v2i2.1529.","plainTextFormattedCitation":"Shery Sutra Lena and Muhammad Syarofi, “Penetapan Margin Dan Nisbah Bagi Hasil Pada Pembiayaan Mudharabah Di Bank Syariah Indonesia,” Jurnal Ekonomi Dan Bisnis Islam (JEBI) 2, no. 2 (2022): 153–62, https://doi.org/10.56013/jebi.v2i2.1529.","previouslyFormattedCitation":"Shery Sutra Lena and Muhammad Syarofi, “Penetapan Margin Dan Nisbah Bagi Hasil Pada Pembiayaan Mudharabah Di Bank Syariah Indonesia,” &lt;i&gt;Jurnal Ekonomi Dan Bisnis Islam (JEBI)&lt;/i&gt; 2, no. 2 (2022): 153–62, https://doi.org/10.56013/jebi.v2i2.1529."},"properties":{"noteIndex":63},"schema":"https://github.com/citation-style-language/schema/raw/master/csl-citation.json"}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rPr>
        <w:t xml:space="preserve">Shery Sutra Lena and Muhammad Syarofi, “Penetapan Margin Dan Nisbah Bagi Hasil Pada Pembiayaan Mudharabah Di Bank Syariah Indonesia,” </w:t>
      </w:r>
      <w:r w:rsidRPr="009E3DCE">
        <w:rPr>
          <w:rFonts w:asciiTheme="majorBidi" w:hAnsiTheme="majorBidi" w:cstheme="majorBidi"/>
          <w:i/>
          <w:noProof/>
        </w:rPr>
        <w:t>Jurnal Ekonomi Dan Bisnis Islam (JEBI)</w:t>
      </w:r>
      <w:r w:rsidRPr="009E3DCE">
        <w:rPr>
          <w:rFonts w:asciiTheme="majorBidi" w:hAnsiTheme="majorBidi" w:cstheme="majorBidi"/>
          <w:noProof/>
        </w:rPr>
        <w:t xml:space="preserve"> 2, no. 2 (2022): 153–62, https://doi.org/10.56013/jebi.v2i2.1529.</w:t>
      </w:r>
      <w:r w:rsidRPr="009E3DCE">
        <w:rPr>
          <w:rFonts w:asciiTheme="majorBidi" w:hAnsiTheme="majorBidi" w:cstheme="majorBidi"/>
        </w:rPr>
        <w:fldChar w:fldCharType="end"/>
      </w:r>
      <w:r w:rsidRPr="009E3DCE">
        <w:rPr>
          <w:rFonts w:asciiTheme="majorBidi" w:hAnsiTheme="majorBidi" w:cstheme="majorBidi"/>
        </w:rPr>
        <w:t xml:space="preserve"> Hal.157-158</w:t>
      </w:r>
    </w:p>
  </w:footnote>
  <w:footnote w:id="64">
    <w:p w14:paraId="7D501DB6" w14:textId="10B7D07B" w:rsidR="00BC5A82" w:rsidRPr="009E3DCE" w:rsidRDefault="00BC5A82" w:rsidP="00AD46AB">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rPr>
        <w:fldChar w:fldCharType="begin" w:fldLock="1"/>
      </w:r>
      <w:r w:rsidR="00E47DAC">
        <w:rPr>
          <w:rFonts w:asciiTheme="majorBidi" w:hAnsiTheme="majorBidi" w:cstheme="majorBidi"/>
        </w:rPr>
        <w:instrText>ADDIN CSL_CITATION {"citationItems":[{"id":"ITEM-1","itemData":{"ISSN":"2807-9051","author":[{"dropping-particle":"","family":"Kadir","given":"Abdul","non-dropping-particle":"","parse-names":false,"suffix":""},{"dropping-particle":"","family":"Rahman","given":"Fadali","non-dropping-particle":"","parse-names":false,"suffix":""}],"container-title":"Jurnal Investasi Islam","id":"ITEM-1","issued":{"date-parts":[["2022"]]},"page":"357-365","title":"Implementasi Sistem Bagi Hasil Pada Produk Deposito Di Koppontren","type":"article-journal","volume":"3"},"uris":["http://www.mendeley.com/documents/?uuid=4bf8773b-5897-49cd-a0ba-a8e4821623f7"]}],"mendeley":{"formattedCitation":"Abdul Kadir and Fadali Rahman, “Implementasi Sistem Bagi Hasil Pada Produk Deposito Di Koppontren,” &lt;i&gt;Jurnal Investasi Islam&lt;/i&gt; 3 (2022): 357–65, http://www.syariahbank.com.","plainTextFormattedCitation":"Abdul Kadir and Fadali Rahman, “Implementasi Sistem Bagi Hasil Pada Produk Deposito Di Koppontren,” Jurnal Investasi Islam 3 (2022): 357–65, http://www.syariahbank.com.","previouslyFormattedCitation":"Abdul Kadir and Fadali Rahman, “Implementasi Sistem Bagi Hasil Pada Produk Deposito Di Koppontren,” &lt;i&gt;Jurnal Investasi Islam&lt;/i&gt; 3 (2022): 357–65, http://www.syariahbank.com."},"properties":{"noteIndex":64},"schema":"https://github.com/citation-style-language/schema/raw/master/csl-citation.json"}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rPr>
        <w:t xml:space="preserve">Abdul Kadir and Fadali Rahman, “Implementasi Sistem Bagi Hasil Pada Produk Deposito Di Koppontren,” </w:t>
      </w:r>
      <w:r w:rsidRPr="009E3DCE">
        <w:rPr>
          <w:rFonts w:asciiTheme="majorBidi" w:hAnsiTheme="majorBidi" w:cstheme="majorBidi"/>
          <w:i/>
          <w:noProof/>
        </w:rPr>
        <w:t>Jurnal Investasi Islam</w:t>
      </w:r>
      <w:r w:rsidRPr="009E3DCE">
        <w:rPr>
          <w:rFonts w:asciiTheme="majorBidi" w:hAnsiTheme="majorBidi" w:cstheme="majorBidi"/>
          <w:noProof/>
        </w:rPr>
        <w:t xml:space="preserve"> 3 (2022): 357–65, http://www.syariahbank.com.</w:t>
      </w:r>
      <w:r w:rsidRPr="009E3DCE">
        <w:rPr>
          <w:rFonts w:asciiTheme="majorBidi" w:hAnsiTheme="majorBidi" w:cstheme="majorBidi"/>
        </w:rPr>
        <w:fldChar w:fldCharType="end"/>
      </w:r>
      <w:r w:rsidRPr="009E3DCE">
        <w:rPr>
          <w:rFonts w:asciiTheme="majorBidi" w:hAnsiTheme="majorBidi" w:cstheme="majorBidi"/>
        </w:rPr>
        <w:t xml:space="preserve"> Hal.358</w:t>
      </w:r>
    </w:p>
  </w:footnote>
  <w:footnote w:id="65">
    <w:p w14:paraId="0590B88C" w14:textId="1C59CDBC" w:rsidR="00BC5A82" w:rsidRPr="00793C89" w:rsidRDefault="00BC5A82" w:rsidP="009E3DCE">
      <w:pPr>
        <w:pStyle w:val="FootnoteText"/>
        <w:ind w:firstLine="720"/>
        <w:jc w:val="both"/>
        <w:rPr>
          <w:rFonts w:asciiTheme="majorBidi" w:hAnsiTheme="majorBidi" w:cstheme="majorBidi"/>
        </w:rPr>
      </w:pPr>
      <w:r w:rsidRPr="00793C89">
        <w:rPr>
          <w:rStyle w:val="FootnoteReference"/>
          <w:rFonts w:asciiTheme="majorBidi" w:hAnsiTheme="majorBidi" w:cstheme="majorBidi"/>
        </w:rPr>
        <w:footnoteRef/>
      </w:r>
      <w:r w:rsidRPr="00793C89">
        <w:rPr>
          <w:rFonts w:asciiTheme="majorBidi" w:hAnsiTheme="majorBidi" w:cstheme="majorBidi"/>
        </w:rPr>
        <w:t xml:space="preserve"> </w:t>
      </w:r>
      <w:r w:rsidRPr="00793C89">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{"citationItems":[{"id":"ITEM-1","itemData":{"abstract":"… Bank syari’ah dapat berperan sebagai pengelola maupun sebagai … bank berperan sebagai pengelola maka biaya tersebut akan ditanggung oleh bank, begitu pula sebaliknya jika bank …","author":[{"dropping-particle":"","family":"Rahmawati","given":"Azizah","non-dropping-particle":"","parse-names":false,"suffix":""},{"dropping-particle":"","family":"Rahma","given":"Eka","non-dropping-particle":"","parse-names":false,"suffix":""},{"dropping-particle":"","family":"Syuhada","given":"Djahratun","non-dropping-particle":"","parse-names":false,"suffix":""},{"dropping-particle":"","family":"Serlina","given":"","non-dropping-particle":"","parse-names":false,"suffix":""}],"container-title":"Jurnal Ekonomi Syariah","id":"ITEM-1","issue":"1","issued":{"date-parts":[["2022"]]},"page":"25-38","title":"Sistem Oprasional Syariah (bagi Hasil/Profit Sharing)","type":"article-journal","volume":"5"},"uris":["http://www.mendeley.com/documents/?uuid=2b6a0a24-546b-4284-9577-d3148a5269ee"]}],"mendeley":{"formattedCitation":"Azizah Rahmawati et al., “Sistem Oprasional Syariah (Bagi Hasil/Profit Sharing),” &lt;i&gt;Jurnal Ekonomi Syariah&lt;/i&gt; 5, no. 1 (2022): 25–38.","plainTextFormattedCitation":"Azizah Rahmawati et al., “Sistem Oprasional Syariah (Bagi Hasil/Profit Sharing),” Jurnal Ekonomi Syariah 5, no. 1 (2022): 25–38.","previouslyFormattedCitation":"Azizah Rahmawati et al., “Sistem Oprasional Syariah (Bagi Hasil/Profit Sharing),” &lt;i&gt;Jurnal Ekonomi Syariah&lt;/i&gt; 5, no. 1 (2022): 25–38."},"properties":{"noteIndex":65},"schema":"https://github.com/citation-style-language/schema/raw/master/csl-citation.json"}</w:instrText>
      </w:r>
      <w:r w:rsidRPr="00793C89">
        <w:rPr>
          <w:rFonts w:asciiTheme="majorBidi" w:hAnsiTheme="majorBidi" w:cstheme="majorBidi"/>
          <w:lang w:val="sv-SE"/>
        </w:rPr>
        <w:fldChar w:fldCharType="separate"/>
      </w:r>
      <w:r w:rsidRPr="00793C89">
        <w:rPr>
          <w:rFonts w:asciiTheme="majorBidi" w:hAnsiTheme="majorBidi" w:cstheme="majorBidi"/>
          <w:noProof/>
        </w:rPr>
        <w:t xml:space="preserve">Azizah Rahmawati et al., “Sistem Oprasional Syariah (Bagi Hasil/Profit Sharing),” </w:t>
      </w:r>
      <w:r w:rsidRPr="00793C89">
        <w:rPr>
          <w:rFonts w:asciiTheme="majorBidi" w:hAnsiTheme="majorBidi" w:cstheme="majorBidi"/>
          <w:i/>
          <w:noProof/>
        </w:rPr>
        <w:t>Jurnal Ekonomi Syariah</w:t>
      </w:r>
      <w:r w:rsidRPr="00793C89">
        <w:rPr>
          <w:rFonts w:asciiTheme="majorBidi" w:hAnsiTheme="majorBidi" w:cstheme="majorBidi"/>
          <w:noProof/>
        </w:rPr>
        <w:t xml:space="preserve"> 5, no. 1 (2022): 25–38.</w:t>
      </w:r>
      <w:r w:rsidRPr="00793C89">
        <w:rPr>
          <w:rFonts w:asciiTheme="majorBidi" w:hAnsiTheme="majorBidi" w:cstheme="majorBidi"/>
          <w:lang w:val="sv-SE"/>
        </w:rPr>
        <w:fldChar w:fldCharType="end"/>
      </w:r>
      <w:r w:rsidRPr="00793C89">
        <w:rPr>
          <w:rFonts w:asciiTheme="majorBidi" w:hAnsiTheme="majorBidi" w:cstheme="majorBidi"/>
        </w:rPr>
        <w:t xml:space="preserve"> Hal.31</w:t>
      </w:r>
    </w:p>
  </w:footnote>
  <w:footnote w:id="66">
    <w:p w14:paraId="446D24E5" w14:textId="1070B5D3" w:rsidR="006202C9" w:rsidRPr="00C073DE" w:rsidRDefault="006202C9" w:rsidP="00C073DE">
      <w:pPr>
        <w:pStyle w:val="FootnoteText"/>
        <w:ind w:firstLine="720"/>
        <w:jc w:val="both"/>
        <w:rPr>
          <w:rFonts w:asciiTheme="majorBidi" w:hAnsiTheme="majorBidi" w:cstheme="majorBidi"/>
        </w:rPr>
      </w:pPr>
      <w:r w:rsidRPr="00C073DE">
        <w:rPr>
          <w:rStyle w:val="FootnoteReference"/>
          <w:rFonts w:asciiTheme="majorBidi" w:hAnsiTheme="majorBidi" w:cstheme="majorBidi"/>
        </w:rPr>
        <w:footnoteRef/>
      </w:r>
      <w:r w:rsidRPr="00C073DE">
        <w:rPr>
          <w:rFonts w:asciiTheme="majorBidi" w:hAnsiTheme="majorBidi" w:cstheme="majorBidi"/>
        </w:rPr>
        <w:t xml:space="preserve"> </w:t>
      </w:r>
      <w:r w:rsidR="00C073DE" w:rsidRPr="00C073DE">
        <w:rPr>
          <w:rFonts w:asciiTheme="majorBidi" w:hAnsiTheme="majorBidi" w:cstheme="majorBidi"/>
        </w:rPr>
        <w:fldChar w:fldCharType="begin" w:fldLock="1"/>
      </w:r>
      <w:r w:rsidR="00E47DAC">
        <w:rPr>
          <w:rFonts w:asciiTheme="majorBidi" w:hAnsiTheme="majorBidi" w:cstheme="majorBidi"/>
        </w:rPr>
        <w:instrText>ADDIN CSL_CITATION {"citationItems":[{"id":"ITEM-1","itemData":{"DOI":"10.25134/equi.v19i02.5883","ISSN":"0216-5287","abstract":"AbstractThis study aims to determine the Paambi profit sharing system between cattle owners and breeders using the concept of mudharabah cattle farming in Tanjung Lalak Utara Village, Kab. New city. This type of research is descriptive qualitative by providing an overview of events, background observations, actions, and discussions that are directly related to the profit-sharing system between cattle owners and farmers using mudharabah in Tanjung Lalak Utara Village. The results showed the concept of profit sharing using a trust system orally without a time limit agreement and ended with an average distribution of 50:50 and losses were resolved by deliberation. Submission of capital is in the form of cash, but also there is no capital in the form of goods (cows) which is prohibited by the fuqaha because the estimated price of the goods is uncertain and can result in uncertainty (gharar) of the amount of mudharabah capital. However, the Hanafi school of thought allows it with a note that the value of the goods used as capital has been obeyed at the time of the contract by the shahibul maal and mudharib. The period of cooperation is also not limited, causing confusion between the two parties. This kind of thing is contrary to the cooperation of mu'amalah (mudharabah) which must be clear and not contain uncertainty. However, this profit-sharing system does not cause any party to be wronged because the distribution is balanced and does not harm one party.Keywords: Paambi' Profit Sharing System, Mudharabah, Cattle FarmAbstrakPenelitian ini bertujuan untuk mengetahui sistem bagi hasil paambi’ antara pemilik sapi dengan pihak peternak menggunakan konsep mudharabah peternakan sapi di Desa Tanjung Lalak Utara Kab. Kota Baru. Jenis penelitian ini adalah kualitatif deskriptif dengan memberi gambaran terkait kejadian, latar pengamatan, tindakan, orang dan pembicaraan yang berkaitan langsung dengan sistem bagi hasil antara pemilik sapi dengan pihak peternak menggunakan konsep mudharabah pada Desa Tanjung Lalak Utara. Hasil penelitian menunjukkan konsep bagi hasil menggunakan sistem kepercayaan secara lisan tanpa perjanjian batas waktu dan diakhiri rata-rata pembagian 50:50 serta kerugian diselesaikan secara musyawarah. Penyerahan modal awal tidak hanya berupa uang tunai, melainkan juga penyerahan modal dalam bentuk barang (sapi perekor) yang mana fuqaha melarangnya karena barang tidak dapat dipastikan taksiran harganya dan dapat mengakibatkan ketidakpastian (gharar)…","author":[{"dropping-particle":"","family":"Nasri Katman","given":"Muhammad","non-dropping-particle":"","parse-names":false,"suffix":""},{"dropping-particle":"","family":"Maarif","given":"Syamsul","non-dropping-particle":"","parse-names":false,"suffix":""},{"dropping-particle":"","family":"Kara","given":"Muslimin","non-dropping-particle":"","parse-names":false,"suffix":""},{"dropping-particle":"","family":"Nur","given":"Muhammad","non-dropping-particle":"","parse-names":false,"suffix":""},{"dropping-particle":"","family":"Putra","given":"Trisno Wardy","non-dropping-particle":"","parse-names":false,"suffix":""}],"container-title":"Equilibrium: Jurnal Penelitian Pendidikan dan Ekonomi","id":"ITEM-1","issue":"02","issued":{"date-parts":[["2022"]]},"page":"161-171","title":"Analisis Sistem Bagi Hasil Paambi’ Menggunakan Konsep Mudharabah Peternakan Sapi","type":"article-journal","volume":"19"},"uris":["http://www.mendeley.com/documents/?uuid=5a4eeb70-ad70-4668-997c-8499b3b13161"]}],"mendeley":{"formattedCitation":"Muhammad Nasri Katman et al., “Analisis Sistem Bagi Hasil Paambi’ Menggunakan Konsep Mudharabah Peternakan Sapi,” &lt;i&gt;Equilibrium: Jurnal Penelitian Pendidikan Dan Ekonomi&lt;/i&gt; 19, no. 02 (2022): 161–71, https://doi.org/10.25134/equi.v19i02.5883.","plainTextFormattedCitation":"Muhammad Nasri Katman et al., “Analisis Sistem Bagi Hasil Paambi’ Menggunakan Konsep Mudharabah Peternakan Sapi,” Equilibrium: Jurnal Penelitian Pendidikan Dan Ekonomi 19, no. 02 (2022): 161–71, https://doi.org/10.25134/equi.v19i02.5883.","previouslyFormattedCitation":"Muhammad Nasri Katman et al., “Analisis Sistem Bagi Hasil Paambi’ Menggunakan Konsep Mudharabah Peternakan Sapi,” &lt;i&gt;Equilibrium: Jurnal Penelitian Pendidikan Dan Ekonomi&lt;/i&gt; 19, no. 02 (2022): 161–71, https://doi.org/10.25134/equi.v19i02.5883."},"properties":{"noteIndex":66},"schema":"https://github.com/citation-style-language/schema/raw/master/csl-citation.json"}</w:instrText>
      </w:r>
      <w:r w:rsidR="00C073DE" w:rsidRPr="00C073DE">
        <w:rPr>
          <w:rFonts w:asciiTheme="majorBidi" w:hAnsiTheme="majorBidi" w:cstheme="majorBidi"/>
        </w:rPr>
        <w:fldChar w:fldCharType="separate"/>
      </w:r>
      <w:r w:rsidR="00C073DE" w:rsidRPr="00C073DE">
        <w:rPr>
          <w:rFonts w:asciiTheme="majorBidi" w:hAnsiTheme="majorBidi" w:cstheme="majorBidi"/>
          <w:noProof/>
        </w:rPr>
        <w:t xml:space="preserve">Muhammad Nasri Katman et al., “Analisis Sistem Bagi Hasil Paambi’ Menggunakan Konsep Mudharabah Peternakan Sapi,” </w:t>
      </w:r>
      <w:r w:rsidR="00C073DE" w:rsidRPr="00C073DE">
        <w:rPr>
          <w:rFonts w:asciiTheme="majorBidi" w:hAnsiTheme="majorBidi" w:cstheme="majorBidi"/>
          <w:i/>
          <w:noProof/>
        </w:rPr>
        <w:t>Equilibrium: Jurnal Penelitian Pendidikan Dan Ekonomi</w:t>
      </w:r>
      <w:r w:rsidR="00C073DE" w:rsidRPr="00C073DE">
        <w:rPr>
          <w:rFonts w:asciiTheme="majorBidi" w:hAnsiTheme="majorBidi" w:cstheme="majorBidi"/>
          <w:noProof/>
        </w:rPr>
        <w:t xml:space="preserve"> 19, no. 02 (2022): 161–71, https://doi.org/10.25134/equi.v19i02.5883.</w:t>
      </w:r>
      <w:r w:rsidR="00C073DE" w:rsidRPr="00C073DE">
        <w:rPr>
          <w:rFonts w:asciiTheme="majorBidi" w:hAnsiTheme="majorBidi" w:cstheme="majorBidi"/>
        </w:rPr>
        <w:fldChar w:fldCharType="end"/>
      </w:r>
      <w:r w:rsidR="00C073DE" w:rsidRPr="00C073DE">
        <w:rPr>
          <w:rFonts w:asciiTheme="majorBidi" w:hAnsiTheme="majorBidi" w:cstheme="majorBidi"/>
        </w:rPr>
        <w:t xml:space="preserve"> Hal.169</w:t>
      </w:r>
    </w:p>
  </w:footnote>
  <w:footnote w:id="67">
    <w:p w14:paraId="1C0475DA" w14:textId="10AED98C" w:rsidR="00BC5A82" w:rsidRPr="00466863" w:rsidRDefault="00BC5A82" w:rsidP="00AD46AB">
      <w:pPr>
        <w:pStyle w:val="FootnoteText"/>
        <w:ind w:firstLine="720"/>
        <w:jc w:val="both"/>
        <w:rPr>
          <w:rFonts w:asciiTheme="majorBidi" w:hAnsiTheme="majorBidi" w:cstheme="majorBidi"/>
        </w:rPr>
      </w:pPr>
      <w:r w:rsidRPr="00793C89">
        <w:rPr>
          <w:rStyle w:val="FootnoteReference"/>
          <w:rFonts w:asciiTheme="majorBidi" w:hAnsiTheme="majorBidi" w:cstheme="majorBidi"/>
        </w:rPr>
        <w:footnoteRef/>
      </w:r>
      <w:r w:rsidRPr="00793C89">
        <w:rPr>
          <w:rFonts w:asciiTheme="majorBidi" w:hAnsiTheme="majorBidi" w:cstheme="majorBidi"/>
        </w:rPr>
        <w:t xml:space="preserve"> </w:t>
      </w:r>
      <w:r w:rsidRPr="00793C89">
        <w:rPr>
          <w:rFonts w:asciiTheme="majorBidi" w:hAnsiTheme="majorBidi" w:cstheme="majorBidi"/>
        </w:rPr>
        <w:fldChar w:fldCharType="begin" w:fldLock="1"/>
      </w:r>
      <w:r w:rsidR="00E47DAC">
        <w:rPr>
          <w:rFonts w:asciiTheme="majorBidi" w:hAnsiTheme="majorBidi" w:cstheme="majorBidi"/>
        </w:rPr>
        <w:instrText>ADDIN CSL_CITATION {"citationItems":[{"id":"ITEM-1","itemData":{"DOI":"10.46367/jps.v1i2.237","ISSN":"27216241","abstract":"Banking is a financial institution that provides services and facilities to its customers who wish to conduct financial transactions. Bank Syariah Mandiri is a sharia financial institution that offers mudharabah time deposits with a profit-sharing agreement. This study aims to determine the effect of the deposit sharing system on customer perceptions at Bank Syariah Mandiri Bengkalis Sub-Branch Office. This research uses quantitative methods with the number of respondents as many as 110 customers. Based on the results of the calculation of the correlation between profit-sharing with customer perceptions has a positive relationship. Then there is a significant influence between profit-sharing on customer perceptions at Bank Syariah Mandiri Bengkalis Sub Branch Office.","author":[{"dropping-particle":"","family":"Arianti","given":"Devi Wahyu","non-dropping-particle":"","parse-names":false,"suffix":""},{"dropping-particle":"","family":"Ishak","given":"Khodijah","non-dropping-particle":"","parse-names":false,"suffix":""}],"container-title":"JPS (Jurnal Perbankan Syariah)","id":"ITEM-1","issue":"2","issued":{"date-parts":[["2020"]]},"page":"170-179","title":"Pengaruh Sistem Bagi Hasil Deposito Terhadap Persepsi Nasabah","type":"article-journal","volume":"1"},"uris":["http://www.mendeley.com/documents/?uuid=a35556cd-56ce-4ba8-b818-b04c18224027"]}],"mendeley":{"formattedCitation":"Devi Wahyu Arianti and Khodijah Ishak, “Pengaruh Sistem Bagi Hasil Deposito Terhadap Persepsi Nasabah,” &lt;i&gt;JPS (Jurnal Perbankan Syariah)&lt;/i&gt; 1, no. 2 (2020): 170–79, https://doi.org/10.46367/jps.v1i2.237.","plainTextFormattedCitation":"Devi Wahyu Arianti and Khodijah Ishak, “Pengaruh Sistem Bagi Hasil Deposito Terhadap Persepsi Nasabah,” JPS (Jurnal Perbankan Syariah) 1, no. 2 (2020): 170–79, https://doi.org/10.46367/jps.v1i2.237.","previouslyFormattedCitation":"Devi Wahyu Arianti and Khodijah Ishak, “Pengaruh Sistem Bagi Hasil Deposito Terhadap Persepsi Nasabah,” &lt;i&gt;JPS (Jurnal Perbankan Syariah)&lt;/i&gt; 1, no. 2 (2020): 170–79, https://doi.org/10.46367/jps.v1i2.237."},"properties":{"noteIndex":67},"schema":"https://github.com/citation-style-language/schema/raw/master/csl-citation.json"}</w:instrText>
      </w:r>
      <w:r w:rsidRPr="00793C89">
        <w:rPr>
          <w:rFonts w:asciiTheme="majorBidi" w:hAnsiTheme="majorBidi" w:cstheme="majorBidi"/>
        </w:rPr>
        <w:fldChar w:fldCharType="separate"/>
      </w:r>
      <w:r w:rsidRPr="00793C89">
        <w:rPr>
          <w:rFonts w:asciiTheme="majorBidi" w:hAnsiTheme="majorBidi" w:cstheme="majorBidi"/>
          <w:noProof/>
        </w:rPr>
        <w:t xml:space="preserve">Devi Wahyu Arianti and Khodijah Ishak, “Pengaruh Sistem Bagi Hasil Deposito Terhadap Persepsi Nasabah,” </w:t>
      </w:r>
      <w:r w:rsidRPr="00793C89">
        <w:rPr>
          <w:rFonts w:asciiTheme="majorBidi" w:hAnsiTheme="majorBidi" w:cstheme="majorBidi"/>
          <w:i/>
          <w:noProof/>
        </w:rPr>
        <w:t>JPS (Jurnal Perbankan Syariah)</w:t>
      </w:r>
      <w:r w:rsidRPr="00793C89">
        <w:rPr>
          <w:rFonts w:asciiTheme="majorBidi" w:hAnsiTheme="majorBidi" w:cstheme="majorBidi"/>
          <w:noProof/>
        </w:rPr>
        <w:t xml:space="preserve"> 1, no. 2 (2020): 170–79, https://doi.org/10.46367/jps.v1i2.237.</w:t>
      </w:r>
      <w:r w:rsidRPr="00793C89">
        <w:rPr>
          <w:rFonts w:asciiTheme="majorBidi" w:hAnsiTheme="majorBidi" w:cstheme="majorBidi"/>
        </w:rPr>
        <w:fldChar w:fldCharType="end"/>
      </w:r>
      <w:r w:rsidRPr="00793C89">
        <w:rPr>
          <w:rFonts w:asciiTheme="majorBidi" w:hAnsiTheme="majorBidi" w:cstheme="majorBidi"/>
        </w:rPr>
        <w:t xml:space="preserve"> </w:t>
      </w:r>
      <w:r w:rsidRPr="00466863">
        <w:rPr>
          <w:rFonts w:asciiTheme="majorBidi" w:hAnsiTheme="majorBidi" w:cstheme="majorBidi"/>
        </w:rPr>
        <w:t>Hal.172</w:t>
      </w:r>
    </w:p>
  </w:footnote>
  <w:footnote w:id="68">
    <w:p w14:paraId="0D90F765" w14:textId="0034B56D" w:rsidR="00D414A5" w:rsidRPr="00793C89" w:rsidRDefault="00D414A5" w:rsidP="00D414A5">
      <w:pPr>
        <w:pStyle w:val="FootnoteText"/>
        <w:ind w:firstLine="720"/>
        <w:jc w:val="both"/>
        <w:rPr>
          <w:rFonts w:asciiTheme="majorBidi" w:hAnsiTheme="majorBidi" w:cstheme="majorBidi"/>
          <w:lang w:val="sv-SE"/>
        </w:rPr>
      </w:pPr>
      <w:r w:rsidRPr="00793C89">
        <w:rPr>
          <w:rStyle w:val="FootnoteReference"/>
          <w:rFonts w:asciiTheme="majorBidi" w:hAnsiTheme="majorBidi" w:cstheme="majorBidi"/>
        </w:rPr>
        <w:footnoteRef/>
      </w:r>
      <w:r w:rsidRPr="002E6B51">
        <w:rPr>
          <w:rFonts w:asciiTheme="majorBidi" w:hAnsiTheme="majorBidi" w:cstheme="majorBidi"/>
        </w:rPr>
        <w:t xml:space="preserve"> </w:t>
      </w:r>
      <w:r w:rsidRPr="00793C89">
        <w:rPr>
          <w:rFonts w:asciiTheme="majorBidi" w:hAnsiTheme="majorBidi" w:cstheme="majorBidi"/>
          <w:lang w:val="sv-SE"/>
        </w:rPr>
        <w:fldChar w:fldCharType="begin" w:fldLock="1"/>
      </w:r>
      <w:r w:rsidR="00E47DAC">
        <w:rPr>
          <w:rFonts w:asciiTheme="majorBidi" w:hAnsiTheme="majorBidi" w:cstheme="majorBidi"/>
        </w:rPr>
        <w:instrText>ADDIN CSL_CITATION {"citationItems":[{"id":"ITEM-1","itemData":{"DOI":"10.56672/syirkah.v1i2.24","abstract":" \r Profit  sharing  is  profit  sharing  system  in  wich  the  owner  of  the  capital coorporate with the owner of the capital to carry out business activities.if the business activity generates a profit, it is shared by both and when it experiences a loss it is borne together as well. Sharia banking introduced a system to the public with the term Revenue Sharing,  which  is  a  profit  sharing  system  that  is  calculated  from  the  total  fund management revenue without deducting the cost of managing funds. The concept of profit sharing aims as follows: (a). The owner of the funds will invest their funds through an Islamic financial institution that acts as the manager. (b). The sharia financial manager or institution will manage the funds in a pool of funds system and will then invest the funds into a viable and profitable project or business that meets the aspects of sharia. (c). Both parties sign a contract wich contains the scope of the cooperation, nominal, ratio and time period for the agreement. In this study, qualitative methods are used. The results of this research are use the result of this research are coorperation in profit sharing in banking product, especialy in mudharbah deposit product. So the profit sharing ratio in mudarabh products can be conlueded that the profits abotained are divided according to the agreed ra\r Keywords: business activity, profit  sharing, sharia bank","author":[{"dropping-particle":"","family":"Nursiah","given":"Ayu","non-dropping-particle":"","parse-names":false,"suffix":""},{"dropping-particle":"","family":"Nopita Sari","given":"Bela","non-dropping-particle":"","parse-names":false,"suffix":""},{"dropping-particle":"","family":"Firdausi","given":"Dian Raudatul","non-dropping-particle":"","parse-names":false,"suffix":""},{"dropping-particle":"","family":"Yovita Ria","given":"Dina","non-dropping-particle":"","parse-names":false,"suffix":""},{"dropping-particle":"","family":"Hazas Syarif","given":"Ahmad","non-dropping-particle":"","parse-names":false,"suffix":""}],"container-title":"As-Syirkah: Islamic Economic &amp; Financial Journal","id":"ITEM-1","issue":"2","issued":{"date-parts":[["2022"]]},"page":"133-147","title":"Analisis Nisbah Bagi Hasil Produk Deposito Mudharabah Dalam Lembaga Keuangan Syariah","type":"article-journal","volume":"1"},"uris":["http://www.mendeley.com/documents/?uuid=d4204cd2-3418-429c-94e8-1d5dfdada264"]}],"mendeley":{"formattedCitation":"Ayu Nursiah et al., “Analisis Nisbah Bagi Hasil Produk Deposito Mudharabah Dalam Lembaga Keuangan Syariah,” &lt;i&gt;As-Syirkah: Islamic Economic &amp; Financial Journal&lt;/i&gt; 1, no. 2 (2022): 133–47, https://doi.org/10.56672/syirkah.v1i2.24.","plainTextFormattedCitation":"Ayu Nursiah et al., “Analisis Nisbah Bagi Hasil Produk Deposito Mudharabah Dalam Lembaga Keuangan Syariah,” As-Syirkah: Islamic Economic &amp; Financial Journal 1, no. 2 (2022): 133–47, https://doi.org/10.56672/syirkah.v1i2.24.","previouslyFormattedCitation":"Ayu Nursiah et al., “Analisis Nisbah Bagi Hasil Produk Deposito Mudharabah Dalam Lembaga Keuangan Syariah,” &lt;i&gt;As-Syirkah: Islamic Economic &amp; Financial Journal&lt;/i&gt; 1, no. 2 (2022): 133–47, https://doi.org/10.56672/syirkah.v1i2.24."},"properties":{"noteIndex":68},"schema":"https://github.com/citation-style-language/schema/raw/master/csl-citation.json"}</w:instrText>
      </w:r>
      <w:r w:rsidRPr="00793C89">
        <w:rPr>
          <w:rFonts w:asciiTheme="majorBidi" w:hAnsiTheme="majorBidi" w:cstheme="majorBidi"/>
          <w:lang w:val="sv-SE"/>
        </w:rPr>
        <w:fldChar w:fldCharType="separate"/>
      </w:r>
      <w:r w:rsidRPr="002E6B51">
        <w:rPr>
          <w:rFonts w:asciiTheme="majorBidi" w:hAnsiTheme="majorBidi" w:cstheme="majorBidi"/>
          <w:noProof/>
        </w:rPr>
        <w:t xml:space="preserve">Ayu Nursiah et al., “Analisis Nisbah Bagi Hasil Produk Deposito Mudharabah Dalam Lembaga Keuangan Syariah,” </w:t>
      </w:r>
      <w:r w:rsidRPr="002E6B51">
        <w:rPr>
          <w:rFonts w:asciiTheme="majorBidi" w:hAnsiTheme="majorBidi" w:cstheme="majorBidi"/>
          <w:i/>
          <w:noProof/>
        </w:rPr>
        <w:t>As-Syirkah: Islamic Economic &amp; Financial Journal</w:t>
      </w:r>
      <w:r w:rsidRPr="002E6B51">
        <w:rPr>
          <w:rFonts w:asciiTheme="majorBidi" w:hAnsiTheme="majorBidi" w:cstheme="majorBidi"/>
          <w:noProof/>
        </w:rPr>
        <w:t xml:space="preserve"> 1, no. 2 (2022): 133–47, https://doi.org/10.56672/syirkah.v1i2.24.</w:t>
      </w:r>
      <w:r w:rsidRPr="00793C89">
        <w:rPr>
          <w:rFonts w:asciiTheme="majorBidi" w:hAnsiTheme="majorBidi" w:cstheme="majorBidi"/>
          <w:lang w:val="sv-SE"/>
        </w:rPr>
        <w:fldChar w:fldCharType="end"/>
      </w:r>
      <w:r w:rsidRPr="00793C89">
        <w:rPr>
          <w:rFonts w:asciiTheme="majorBidi" w:hAnsiTheme="majorBidi" w:cstheme="majorBidi"/>
          <w:lang w:val="sv-SE"/>
        </w:rPr>
        <w:t>Hal.137-138</w:t>
      </w:r>
    </w:p>
  </w:footnote>
  <w:footnote w:id="69">
    <w:p w14:paraId="0D6FA45A" w14:textId="54E0CFBD" w:rsidR="00D414A5" w:rsidRPr="00793C89" w:rsidRDefault="00D414A5" w:rsidP="00D414A5">
      <w:pPr>
        <w:pStyle w:val="FootnoteText"/>
        <w:ind w:firstLine="720"/>
        <w:jc w:val="both"/>
        <w:rPr>
          <w:rFonts w:asciiTheme="majorBidi" w:hAnsiTheme="majorBidi" w:cstheme="majorBidi"/>
          <w:lang w:val="sv-SE"/>
        </w:rPr>
      </w:pPr>
      <w:r w:rsidRPr="00793C89">
        <w:rPr>
          <w:rStyle w:val="FootnoteReference"/>
          <w:rFonts w:asciiTheme="majorBidi" w:hAnsiTheme="majorBidi" w:cstheme="majorBidi"/>
        </w:rPr>
        <w:footnoteRef/>
      </w:r>
      <w:r w:rsidRPr="00793C89">
        <w:rPr>
          <w:rFonts w:asciiTheme="majorBidi" w:hAnsiTheme="majorBidi" w:cstheme="majorBidi"/>
          <w:lang w:val="sv-SE"/>
        </w:rPr>
        <w:t xml:space="preserve"> </w:t>
      </w:r>
      <w:r w:rsidRPr="00793C89">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{"citationItems":[{"id":"ITEM-1","itemData":{"abstract":"The purpose of this research is to test the influence of interest rate and nisbah of profit sharing to the mudharabah saving deposit at Bank BRI Syariah. The independent variables are the interest rate and the nisbah of profit sharing and whereas the dependent variable is the mudharabah saving deposit. The sample is Bank BRI Syariah and the observation data are 20 observations from January 2009 to September 2015. The data has been obtained from three quarter statements of Bank BRI Syariah through Indonesia Stock Exchange and Financial Statistics of Bank Indonesia. This research uses correlational research with quantitative approach. The analysis method has been done by using multiple linear regressions.The result of the research shows that (a) the interest rate does not have any influence to the mudharabah saving deposit at Bank BRI Syariah, which means that changes in interest rates do not affect mudharabah saving deposits at Bank BRI Syariah due to the fact that there is a belief that bank interest is contradicted to the religion and (b) the nisbah of profit sharing shows positive influence to the mudharabah saving deposit at Bank BRI Syariah which means that when the nisbah of profit sharing that has been given by Bank BRI Syariah to the bank customers is increasing, it will enhance the amount of mudharabah saving deposit.","author":[{"dropping-particle":"","family":"Alinda","given":"Rika Putri Nur","non-dropping-particle":"","parse-names":false,"suffix":""},{"dropping-particle":"","family":"Riduwan","given":"Akmad","non-dropping-particle":"","parse-names":false,"suffix":""}],"id":"ITEM-1","issued":{"date-parts":[["2016"]]},"page":"1-15","title":"Pengaruh Tingkat Suku Bunga Bank Dan Nisbah Bagi Hasil Pada Deposito Mudharabah","type":"article-journal","volume":"5"},"uris":["http://www.mendeley.com/documents/?uuid=ce470f6f-2d54-4aff-bcfb-6181e2e9ffe2"]}],"mendeley":{"formattedCitation":"Alinda and Riduwan, “Pengaruh Tingkat Suku Bunga Bank Dan Nisbah Bagi Hasil Pada Deposito Mudharabah.”","plainTextFormattedCitation":"Alinda and Riduwan, “Pengaruh Tingkat Suku Bunga Bank Dan Nisbah Bagi Hasil Pada Deposito Mudharabah.”","previouslyFormattedCitation":"Alinda and Riduwan, “Pengaruh Tingkat Suku Bunga Bank Dan Nisbah Bagi Hasil Pada Deposito Mudharabah.”"},"properties":{"noteIndex":69},"schema":"https://github.com/citation-style-language/schema/raw/master/csl-citation.json"}</w:instrText>
      </w:r>
      <w:r w:rsidRPr="00793C89">
        <w:rPr>
          <w:rFonts w:asciiTheme="majorBidi" w:hAnsiTheme="majorBidi" w:cstheme="majorBidi"/>
        </w:rPr>
        <w:fldChar w:fldCharType="separate"/>
      </w:r>
      <w:r w:rsidRPr="00793C89">
        <w:rPr>
          <w:rFonts w:asciiTheme="majorBidi" w:hAnsiTheme="majorBidi" w:cstheme="majorBidi"/>
          <w:noProof/>
          <w:lang w:val="sv-SE"/>
        </w:rPr>
        <w:t>Alinda and Riduwan, “Pengaruh Tingkat Suku Bunga Bank Dan Nisbah Bagi Hasil Pada Deposito Mudharabah.”</w:t>
      </w:r>
      <w:r w:rsidRPr="00793C89">
        <w:rPr>
          <w:rFonts w:asciiTheme="majorBidi" w:hAnsiTheme="majorBidi" w:cstheme="majorBidi"/>
        </w:rPr>
        <w:fldChar w:fldCharType="end"/>
      </w:r>
    </w:p>
  </w:footnote>
  <w:footnote w:id="70">
    <w:p w14:paraId="41368920" w14:textId="76D959E4" w:rsidR="00B8380C" w:rsidRPr="002B79F1" w:rsidRDefault="00B8380C" w:rsidP="00B8380C">
      <w:pPr>
        <w:pStyle w:val="FootnoteText"/>
        <w:ind w:right="4"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{"citationItems":[{"id":"ITEM-1","itemData":{"author":[{"dropping-particle":"","family":"Caroline, Amalia Indah Fitriana","given":"Wiwi Warsiati","non-dropping-particle":"","parse-names":false,"suffix":""}],"id":"ITEM-1","issued":{"date-parts":[["2021"]]},"title":"Bank Dan Lembaga Keuangan Lainnya","type":"book"},"uris":["http://www.mendeley.com/documents/?uuid=49fce847-4340-4d81-8468-a3815b0ddfb7"]}],"mendeley":{"formattedCitation":"Wiwi Warsiati Caroline, Amalia Indah Fitriana, &lt;i&gt;Bank Dan Lembaga Keuangan Lainnya&lt;/i&gt;, 2021, https://books.google.co.id/books?id=WYZZEAAAQBAJ&amp;newbks=0&amp;lpg=PA58&amp;dq=deposito mudharabah&amp;hl=id&amp;pg=PA58#v=onepage&amp;q=deposito mudharabah&amp;f=false.","plainTextFormattedCitation":"Wiwi Warsiati Caroline, Amalia Indah Fitriana, Bank Dan Lembaga Keuangan Lainnya, 2021, https://books.google.co.id/books?id=WYZZEAAAQBAJ&amp;newbks=0&amp;lpg=PA58&amp;dq=deposito mudharabah&amp;hl=id&amp;pg=PA58#v=onepage&amp;q=deposito mudharabah&amp;f=false.","previouslyFormattedCitation":"Wiwi Warsiati Caroline, Amalia Indah Fitriana, &lt;i&gt;Bank Dan Lembaga Keuangan Lainnya&lt;/i&gt;, 2021, https://books.google.co.id/books?id=WYZZEAAAQBAJ&amp;newbks=0&amp;lpg=PA58&amp;dq=deposito mudharabah&amp;hl=id&amp;pg=PA58#v=onepage&amp;q=deposito mudharabah&amp;f=false."},"properties":{"noteIndex":70},"schema":"https://github.com/citation-style-language/schema/raw/master/csl-citation.json"}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lang w:val="sv-SE"/>
        </w:rPr>
        <w:t xml:space="preserve">Wiwi Warsiati Caroline, Amalia Indah Fitriana, </w:t>
      </w:r>
      <w:r w:rsidRPr="009E3DCE">
        <w:rPr>
          <w:rFonts w:asciiTheme="majorBidi" w:hAnsiTheme="majorBidi" w:cstheme="majorBidi"/>
          <w:i/>
          <w:noProof/>
          <w:lang w:val="sv-SE"/>
        </w:rPr>
        <w:t>Bank Dan Lembaga Keuangan Lainnya</w:t>
      </w:r>
      <w:r w:rsidRPr="009E3DCE">
        <w:rPr>
          <w:rFonts w:asciiTheme="majorBidi" w:hAnsiTheme="majorBidi" w:cstheme="majorBidi"/>
          <w:noProof/>
          <w:lang w:val="sv-SE"/>
        </w:rPr>
        <w:t>, 2021, https://books.google.co.id/books?id=WYZZEAAAQBAJ&amp;newbks=0&amp;lpg=PA58&amp;dq=deposito mudharabah&amp;hl=id&amp;pg=PA58#v=onepage&amp;q=deposito mudharabah&amp;f=false.</w:t>
      </w:r>
      <w:r w:rsidRPr="009E3DCE">
        <w:rPr>
          <w:rFonts w:asciiTheme="majorBidi" w:hAnsiTheme="majorBidi" w:cstheme="majorBidi"/>
        </w:rPr>
        <w:fldChar w:fldCharType="end"/>
      </w:r>
      <w:r w:rsidRPr="009E3DCE">
        <w:rPr>
          <w:rFonts w:asciiTheme="majorBidi" w:hAnsiTheme="majorBidi" w:cstheme="majorBidi"/>
          <w:lang w:val="sv-SE"/>
        </w:rPr>
        <w:t xml:space="preserve"> </w:t>
      </w:r>
      <w:r w:rsidRPr="002B79F1">
        <w:rPr>
          <w:rFonts w:asciiTheme="majorBidi" w:hAnsiTheme="majorBidi" w:cstheme="majorBidi"/>
          <w:lang w:val="sv-SE"/>
        </w:rPr>
        <w:t>Hal.57</w:t>
      </w:r>
    </w:p>
  </w:footnote>
  <w:footnote w:id="71">
    <w:p w14:paraId="643761D8" w14:textId="2BE19FFC" w:rsidR="00B8380C" w:rsidRPr="002B79F1" w:rsidRDefault="00B8380C" w:rsidP="00B8380C">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2B79F1">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{"citationItems":[{"id":"ITEM-1","itemData":{"DOI":"10.22219/jes.v4i1.8752","ISSN":"2502-3918","abstract":"This study aims to determine the factors affect the amount of mudharaba deposits in Sharia Commercial Banks period 2014-2017. Factors affecting mudharaba deposits are used in this study which profit sharing rate, liquidity level measured by financing to deposit ratio, and inflation rate. The method used in this research is quantitative descriptive. The data used are secondary time series for the period of January 2014-December 2017 which has been published by the website of Bank Indonesia and Otoritas Jasa Keuangan (OJK). The method of analysis used is multiple linear regression. The results of this study indicate that the profit sharing rate, financing to deposit ratio and inflation rate significantly influence the number of mudharaba deposit accumulation. Variable of profit sharing rate have a positive relation to mudharaba deposit. However, the variable of financing to deposit ratio and inflation rate have a negative relation to mudharaba deposit.","author":[{"dropping-particle":"","family":"Febriani","given":"Firda Izzati","non-dropping-particle":"","parse-names":false,"suffix":""}],"container-title":"Falah: Jurnal Ekonomi Syariah","id":"ITEM-1","issue":"1","issued":{"date-parts":[["2019"]]},"page":"108","title":"Pengaruh Tingkat Bagi Hasil, Financing to Deposit Ratio (FDR) Dan Tingkat Inflasi Terhadap Deposito Mudharabah Pada Bank Umum Syariah (BUS) Periode 2014 – 2017","type":"article-journal","volume":"4"},"uris":["http://www.mendeley.com/documents/?uuid=42c62c87-a0e6-4191-88ce-e93bd9aea831"]}],"mendeley":{"formattedCitation":"Febriani, “Pengaruh Tingkat Bagi Hasil, Financing to Deposit Ratio (FDR) Dan Tingkat Inflasi Terhadap Deposito Mudharabah Pada Bank Umum Syariah (BUS) Periode 2014 – 2017.”","plainTextFormattedCitation":"Febriani, “Pengaruh Tingkat Bagi Hasil, Financing to Deposit Ratio (FDR) Dan Tingkat Inflasi Terhadap Deposito Mudharabah Pada Bank Umum Syariah (BUS) Periode 2014 – 2017.”","previouslyFormattedCitation":"Febriani, “Pengaruh Tingkat Bagi Hasil, Financing to Deposit Ratio (FDR) Dan Tingkat Inflasi Terhadap Deposito Mudharabah Pada Bank Umum Syariah (BUS) Periode 2014 – 2017.”"},"properties":{"noteIndex":71},"schema":"https://github.com/citation-style-language/schema/raw/master/csl-citation.json"}</w:instrText>
      </w:r>
      <w:r w:rsidRPr="009E3DCE">
        <w:rPr>
          <w:rFonts w:asciiTheme="majorBidi" w:hAnsiTheme="majorBidi" w:cstheme="majorBidi"/>
          <w:lang w:val="sv-SE"/>
        </w:rPr>
        <w:fldChar w:fldCharType="separate"/>
      </w:r>
      <w:r w:rsidR="00EB7547" w:rsidRPr="002B79F1">
        <w:rPr>
          <w:rFonts w:asciiTheme="majorBidi" w:hAnsiTheme="majorBidi" w:cstheme="majorBidi"/>
          <w:noProof/>
          <w:lang w:val="sv-SE"/>
        </w:rPr>
        <w:t>Febriani, “Pengaruh Tingkat Bagi Hasil, Financing to Deposit Ratio (FDR) Dan Tingkat Inflasi Terhadap Deposito Mudharabah Pada Bank Umum Syariah (BUS) Periode 2014 – 2017.”</w:t>
      </w:r>
      <w:r w:rsidRPr="009E3DCE">
        <w:rPr>
          <w:rFonts w:asciiTheme="majorBidi" w:hAnsiTheme="majorBidi" w:cstheme="majorBidi"/>
          <w:lang w:val="sv-SE"/>
        </w:rPr>
        <w:fldChar w:fldCharType="end"/>
      </w:r>
      <w:r w:rsidRPr="002B79F1">
        <w:rPr>
          <w:rFonts w:asciiTheme="majorBidi" w:hAnsiTheme="majorBidi" w:cstheme="majorBidi"/>
          <w:lang w:val="sv-SE"/>
        </w:rPr>
        <w:t>.Hal.112</w:t>
      </w:r>
    </w:p>
  </w:footnote>
  <w:footnote w:id="72">
    <w:p w14:paraId="3BB197C6" w14:textId="04C26243" w:rsidR="00B8380C" w:rsidRPr="002B79F1" w:rsidRDefault="00B8380C" w:rsidP="00B8380C">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2B79F1">
        <w:rPr>
          <w:rFonts w:asciiTheme="majorBidi" w:hAnsiTheme="majorBidi" w:cstheme="majorBidi"/>
          <w:lang w:val="sv-SE"/>
        </w:rPr>
        <w:t xml:space="preserve"> </w:t>
      </w:r>
      <w:r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uthor":[{"dropping-particle":"","family":"Suriani","given":"Suriani","non-dropping-particle":"","parse-names":false,"suffix":""},{"dropping-particle":"","family":"Firdaus","given":"Rayyan","non-dropping-particle":"","parse-names":false,"suffix":""}],"container-title":"Jurnal Intelek dan Cendikiawan Nusantara","id":"ITEM-1","issue":"6","issued":{"date-parts":[["2025"]]},"page":"9612-9623","title":"Pengaruh Akuntansi Deposito Mudharabah Dalam Unit Syariah Bank Konvensional Pada Laporan keuangan Bank Tersebut","type":"article-journal","volume":"1"},"uris":["http://www.mendeley.com/documents/?uuid=506c9ec1-c07a-43ea-a935-d2aab416e308"]}],"mendeley":{"formattedCitation":"Suriani Suriani and Rayyan Firdaus, “Pengaruh Akuntansi Deposito Mudharabah Dalam Unit Syariah Bank Konvensional Pada Laporan Keuangan Bank Tersebut,” &lt;i&gt;Jurnal Intelek Dan Cendikiawan Nusantara&lt;/i&gt; 1, no. 6 (2025): 9612–23.","plainTextFormattedCitation":"Suriani Suriani and Rayyan Firdaus, “Pengaruh Akuntansi Deposito Mudharabah Dalam Unit Syariah Bank Konvensional Pada Laporan Keuangan Bank Tersebut,” Jurnal Intelek Dan Cendikiawan Nusantara 1, no. 6 (2025): 9612–23.","previouslyFormattedCitation":"Suriani Suriani and Rayyan Firdaus, “Pengaruh Akuntansi Deposito Mudharabah Dalam Unit Syariah Bank Konvensional Pada Laporan Keuangan Bank Tersebut,” &lt;i&gt;Jurnal Intelek Dan Cendikiawan Nusantara&lt;/i&gt; 1, no. 6 (2025): 9612–23."},"properties":{"noteIndex":72},"schema":"https://github.com/citation-style-language/schema/raw/master/csl-citation.json"}</w:instrText>
      </w:r>
      <w:r w:rsidRPr="009E3DCE">
        <w:rPr>
          <w:rFonts w:asciiTheme="majorBidi" w:hAnsiTheme="majorBidi" w:cstheme="majorBidi"/>
        </w:rPr>
        <w:fldChar w:fldCharType="separate"/>
      </w:r>
      <w:r w:rsidRPr="002B79F1">
        <w:rPr>
          <w:rFonts w:asciiTheme="majorBidi" w:hAnsiTheme="majorBidi" w:cstheme="majorBidi"/>
          <w:noProof/>
          <w:lang w:val="sv-SE"/>
        </w:rPr>
        <w:t xml:space="preserve">Suriani Suriani and Rayyan Firdaus, “Pengaruh Akuntansi Deposito Mudharabah Dalam Unit Syariah Bank Konvensional Pada Laporan Keuangan Bank Tersebut,” </w:t>
      </w:r>
      <w:r w:rsidRPr="002B79F1">
        <w:rPr>
          <w:rFonts w:asciiTheme="majorBidi" w:hAnsiTheme="majorBidi" w:cstheme="majorBidi"/>
          <w:i/>
          <w:noProof/>
          <w:lang w:val="sv-SE"/>
        </w:rPr>
        <w:t>Jurnal Intelek Dan Cendikiawan Nusantara</w:t>
      </w:r>
      <w:r w:rsidRPr="002B79F1">
        <w:rPr>
          <w:rFonts w:asciiTheme="majorBidi" w:hAnsiTheme="majorBidi" w:cstheme="majorBidi"/>
          <w:noProof/>
          <w:lang w:val="sv-SE"/>
        </w:rPr>
        <w:t xml:space="preserve"> 1, no. 6 (2025): 9612–23.</w:t>
      </w:r>
      <w:r w:rsidRPr="009E3DCE">
        <w:rPr>
          <w:rFonts w:asciiTheme="majorBidi" w:hAnsiTheme="majorBidi" w:cstheme="majorBidi"/>
        </w:rPr>
        <w:fldChar w:fldCharType="end"/>
      </w:r>
      <w:r w:rsidRPr="002B79F1">
        <w:rPr>
          <w:rFonts w:asciiTheme="majorBidi" w:hAnsiTheme="majorBidi" w:cstheme="majorBidi"/>
          <w:lang w:val="sv-SE"/>
        </w:rPr>
        <w:t xml:space="preserve"> Hal.9615</w:t>
      </w:r>
    </w:p>
  </w:footnote>
  <w:footnote w:id="73">
    <w:p w14:paraId="27186DE2" w14:textId="61AB1051" w:rsidR="00B8380C" w:rsidRPr="002B79F1" w:rsidRDefault="00B8380C" w:rsidP="00B8380C">
      <w:pPr>
        <w:pStyle w:val="FootnoteText"/>
        <w:ind w:firstLine="720"/>
        <w:jc w:val="both"/>
        <w:rPr>
          <w:rFonts w:asciiTheme="majorBidi" w:hAnsiTheme="majorBidi" w:cstheme="majorBidi"/>
          <w:lang w:val="sv-SE"/>
        </w:rPr>
      </w:pPr>
      <w:r w:rsidRPr="00793C89">
        <w:rPr>
          <w:rStyle w:val="FootnoteReference"/>
          <w:rFonts w:asciiTheme="majorBidi" w:hAnsiTheme="majorBidi" w:cstheme="majorBidi"/>
        </w:rPr>
        <w:footnoteRef/>
      </w:r>
      <w:r w:rsidRPr="002B79F1">
        <w:rPr>
          <w:rFonts w:asciiTheme="majorBidi" w:hAnsiTheme="majorBidi" w:cstheme="majorBidi"/>
          <w:lang w:val="sv-SE"/>
        </w:rPr>
        <w:t xml:space="preserve"> </w:t>
      </w:r>
      <w:r w:rsidRPr="00793C89">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uthor":[{"dropping-particle":"","family":"Ismail","given":"Ismail","non-dropping-particle":"","parse-names":false,"suffix":""}],"id":"ITEM-1","issued":{"date-parts":[["2018"]]},"number-of-pages":"196","publisher":"Kencana","title":"Manajemen Perbankan","type":"book"},"uris":["http://www.mendeley.com/documents/?uuid=f1317890-0ba0-4b03-acf5-20380838126e"]}],"mendeley":{"formattedCitation":"Ismail Ismail, &lt;i&gt;Manajemen Perbankan&lt;/i&gt; (Kencana, 2018), https://www.google.co.id/books/edition/Manajeman_Perbankan/cs91DwAAQBAJ?hl=id&amp;gbpv=1&amp;pg=PP1&amp;printsec=frontcover.","plainTextFormattedCitation":"Ismail Ismail, Manajemen Perbankan (Kencana, 2018), https://www.google.co.id/books/edition/Manajeman_Perbankan/cs91DwAAQBAJ?hl=id&amp;gbpv=1&amp;pg=PP1&amp;printsec=frontcover.","previouslyFormattedCitation":"Ismail Ismail, &lt;i&gt;Manajemen Perbankan&lt;/i&gt; (Kencana, 2018), https://www.google.co.id/books/edition/Manajeman_Perbankan/cs91DwAAQBAJ?hl=id&amp;gbpv=1&amp;pg=PP1&amp;printsec=frontcover."},"properties":{"noteIndex":73},"schema":"https://github.com/citation-style-language/schema/raw/master/csl-citation.json"}</w:instrText>
      </w:r>
      <w:r w:rsidRPr="00793C89">
        <w:rPr>
          <w:rFonts w:asciiTheme="majorBidi" w:hAnsiTheme="majorBidi" w:cstheme="majorBidi"/>
        </w:rPr>
        <w:fldChar w:fldCharType="separate"/>
      </w:r>
      <w:r w:rsidRPr="002B79F1">
        <w:rPr>
          <w:rFonts w:asciiTheme="majorBidi" w:hAnsiTheme="majorBidi" w:cstheme="majorBidi"/>
          <w:noProof/>
          <w:lang w:val="sv-SE"/>
        </w:rPr>
        <w:t xml:space="preserve">Ismail Ismail, </w:t>
      </w:r>
      <w:r w:rsidRPr="002B79F1">
        <w:rPr>
          <w:rFonts w:asciiTheme="majorBidi" w:hAnsiTheme="majorBidi" w:cstheme="majorBidi"/>
          <w:i/>
          <w:noProof/>
          <w:lang w:val="sv-SE"/>
        </w:rPr>
        <w:t>Manajemen Perbankan</w:t>
      </w:r>
      <w:r w:rsidRPr="002B79F1">
        <w:rPr>
          <w:rFonts w:asciiTheme="majorBidi" w:hAnsiTheme="majorBidi" w:cstheme="majorBidi"/>
          <w:noProof/>
          <w:lang w:val="sv-SE"/>
        </w:rPr>
        <w:t xml:space="preserve"> (Kencana, 2018), https://www.google.co.id/books/edition/</w:t>
      </w:r>
      <w:r w:rsidR="004F6C85">
        <w:rPr>
          <w:rFonts w:asciiTheme="majorBidi" w:hAnsiTheme="majorBidi" w:cstheme="majorBidi"/>
          <w:noProof/>
          <w:lang w:val="sv-SE"/>
        </w:rPr>
        <w:t xml:space="preserve"> </w:t>
      </w:r>
      <w:r w:rsidRPr="002B79F1">
        <w:rPr>
          <w:rFonts w:asciiTheme="majorBidi" w:hAnsiTheme="majorBidi" w:cstheme="majorBidi"/>
          <w:noProof/>
          <w:lang w:val="sv-SE"/>
        </w:rPr>
        <w:t>Manajeman_Perbankan/cs91DwAAQBAJ?hl=id&amp;gbpv=1&amp;pg=PP1&amp;printsec=frontcover.</w:t>
      </w:r>
      <w:r w:rsidRPr="00793C89">
        <w:rPr>
          <w:rFonts w:asciiTheme="majorBidi" w:hAnsiTheme="majorBidi" w:cstheme="majorBidi"/>
        </w:rPr>
        <w:fldChar w:fldCharType="end"/>
      </w:r>
      <w:r w:rsidRPr="002B79F1">
        <w:rPr>
          <w:rFonts w:asciiTheme="majorBidi" w:hAnsiTheme="majorBidi" w:cstheme="majorBidi"/>
          <w:lang w:val="sv-SE"/>
        </w:rPr>
        <w:t xml:space="preserve"> Hal.26</w:t>
      </w:r>
    </w:p>
  </w:footnote>
  <w:footnote w:id="74">
    <w:p w14:paraId="05F5E8BD" w14:textId="0E1C9D07" w:rsidR="00930A3C" w:rsidRPr="002B79F1" w:rsidRDefault="00930A3C"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2B79F1">
        <w:rPr>
          <w:rFonts w:asciiTheme="majorBidi" w:hAnsiTheme="majorBidi" w:cstheme="majorBidi"/>
          <w:lang w:val="sv-SE"/>
        </w:rPr>
        <w:t xml:space="preserve"> </w:t>
      </w:r>
      <w:r w:rsidR="00B37267"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{"citationItems":[{"id":"ITEM-1","itemData":{"DOI":"10.14710/jdep.1.1.65-73","ISSN":"2089-2489","abstract":"Profit sharing (Mudharabah) is a monetary instrument of Islamic finance as interest is a monetaryinstrument of conventional economics. Both have extreme one another paradigm. Results have a theoreticalbasis for the profit and loss sharing (PLS). PLS theory was built as a new offer on the outside of the systemwhich tend not to reflect the interest of justice (injustice / dzalim) due to discrimination against the sharingof risks and profits for economic actors. Profit-loss sharing means profits and or losses that may arise fromeconomic activities / business borne together. In the instrument for the results are not fixed and there is a certainreturns as interest, but do profit and loss sharing based on the real productivity of the product. Therefore thesystem to better reflect the outcome of justice. Profit sharing as a monetary instrument has been frequentlyapplied in studies of Islamic economics, both from the supply side (financing) or the supply side economicsand/or demand-side economics.","author":[{"dropping-particle":"","family":"Yahya","given":"Muchlis","non-dropping-particle":"","parse-names":false,"suffix":""},{"dropping-particle":"","family":"Agunggunanto","given":"Edy Yusuf","non-dropping-particle":"","parse-names":false,"suffix":""}],"container-title":"Jurnal Dinamika Ekonomi Pembangunan","id":"ITEM-1","issue":"1","issued":{"date-parts":[["2012"]]},"page":"65","title":"Teori Bagi Hasil (Profit and Loss Sharing) Dan Perbankan Syariah Dalam Ekonomi Syariah","type":"article-journal","volume":"1"},"uris":["http://www.mendeley.com/documents/?uuid=5d577f7c-b9c0-42a1-9fe6-4c8f133f838f"]}],"mendeley":{"formattedCitation":"Yahya and Agunggunanto, “Teori Bagi Hasil (Profit and Loss Sharing) Dan Perbankan Syariah Dalam Ekonomi Syariah.”","plainTextFormattedCitation":"Yahya and Agunggunanto, “Teori Bagi Hasil (Profit and Loss Sharing) Dan Perbankan Syariah Dalam Ekonomi Syariah.”","previouslyFormattedCitation":"Yahya and Agunggunanto, “Teori Bagi Hasil (Profit and Loss Sharing) Dan Perbankan Syariah Dalam Ekonomi Syariah.”"},"properties":{"noteIndex":74},"schema":"https://github.com/citation-style-language/schema/raw/master/csl-citation.json"}</w:instrText>
      </w:r>
      <w:r w:rsidR="00B37267" w:rsidRPr="009E3DCE">
        <w:rPr>
          <w:rFonts w:asciiTheme="majorBidi" w:hAnsiTheme="majorBidi" w:cstheme="majorBidi"/>
          <w:lang w:val="sv-SE"/>
        </w:rPr>
        <w:fldChar w:fldCharType="separate"/>
      </w:r>
      <w:r w:rsidR="00B37267" w:rsidRPr="002B79F1">
        <w:rPr>
          <w:rFonts w:asciiTheme="majorBidi" w:hAnsiTheme="majorBidi" w:cstheme="majorBidi"/>
          <w:noProof/>
          <w:lang w:val="sv-SE"/>
        </w:rPr>
        <w:t>Yahya and Agunggunanto, “Teori Bagi Hasil (Profit and Loss Sharing) Dan Perbankan Syariah Dalam Ekonomi Syariah.”</w:t>
      </w:r>
      <w:r w:rsidR="00B37267" w:rsidRPr="009E3DCE">
        <w:rPr>
          <w:rFonts w:asciiTheme="majorBidi" w:hAnsiTheme="majorBidi" w:cstheme="majorBidi"/>
          <w:lang w:val="sv-SE"/>
        </w:rPr>
        <w:fldChar w:fldCharType="end"/>
      </w:r>
      <w:r w:rsidR="00B37267" w:rsidRPr="002B79F1">
        <w:rPr>
          <w:rFonts w:asciiTheme="majorBidi" w:hAnsiTheme="majorBidi" w:cstheme="majorBidi"/>
          <w:lang w:val="sv-SE"/>
        </w:rPr>
        <w:t xml:space="preserve"> Hal.69</w:t>
      </w:r>
    </w:p>
  </w:footnote>
  <w:footnote w:id="75">
    <w:p w14:paraId="6F3C409B" w14:textId="04EDC1DB" w:rsidR="00B8380C" w:rsidRPr="002B79F1" w:rsidRDefault="00B8380C"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2B79F1">
        <w:rPr>
          <w:rFonts w:asciiTheme="majorBidi" w:hAnsiTheme="majorBidi" w:cstheme="majorBidi"/>
          <w:lang w:val="sv-SE"/>
        </w:rPr>
        <w:t xml:space="preserve"> </w:t>
      </w:r>
      <w:r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{"citationItems":[{"id":"ITEM-1","itemData":{"DOI":"10.25299/jtb.2022.vol5(2).9681","ISSN":"2621-6833","abstract":"Tujuan dari penelitian ini adalah untuk menganalisis serta menguji pengaruh nisbah bagi hasil, inflasi serta jumlah uang beredar (JUB) terhadap deposito mudharabah pada Bank Muamalat Indonesia baik secara simultan maupun parsial periode tahun 2014-2021. Jenis penelitian ini yaitu kuantitatif dengan studi penelitian pada Bank Muamalat Indonesia dengan menggunakan metode pengumpulan data berupa purposive sampling. Sampel dalam penelitian ini 32 data yang meliputi data keuangan BMI serta data inflasi maupun JUB dari website resmi Bank Indonesia serta Badan Pusat Statistik. Hasil penelitian secara parsial menghasilkan variabel nisbah bagi hasil yang terbukti berpengaruh terhadap deposito mudharabah pada BMI. Sedangkan variabel Inflasi dan JUB terbukti tidak berpengaruh terhadap deposito mudharabah pada BMI. Uji parsial menghasilkan bahwa variabel nisbah bagi hasil, inflasi maupun JUB secara simultan berpengaruh terhadap deposito mudharabah. Hal ini menunjukkan pentingnya perbankan syariah untuk memfokuskan kebijakan pada nisbah bagi hasil yang ditawarkan kepada nasabahnya dan tidak terpengaruh pada situasi keuangan eksternal dalam aspek inflasi dan JUB.","author":[{"dropping-particle":"","family":"Wahyu Fauziah","given":"Nafisah","non-dropping-particle":"","parse-names":false,"suffix":""},{"dropping-particle":"","family":"Segaf","given":"","non-dropping-particle":"","parse-names":false,"suffix":""}],"container-title":"Jurnal Tabarru': Islamic Banking and Finance","id":"ITEM-1","issue":"2","issued":{"date-parts":[["2022"]]},"page":"435-447","title":"Seberapa Pengaruh Penetapan Nisbah Bagi Hasil, Inflasi, Dan Jumlah Uang Beredar Terhadap Deposito Mudharabah Di Indonesia","type":"article-journal","volume":"5"},"uris":["http://www.mendeley.com/documents/?uuid=a4f1dce7-fe37-4204-94a0-859fb93af81e"]}],"mendeley":{"formattedCitation":"Wahyu Fauziah and Segaf, “Seberapa Pengaruh Penetapan Nisbah Bagi Hasil, Inflasi, Dan Jumlah Uang Beredar Terhadap Deposito Mudharabah Di Indonesia.”","plainTextFormattedCitation":"Wahyu Fauziah and Segaf, “Seberapa Pengaruh Penetapan Nisbah Bagi Hasil, Inflasi, Dan Jumlah Uang Beredar Terhadap Deposito Mudharabah Di Indonesia.”","previouslyFormattedCitation":"Wahyu Fauziah and Segaf, “Seberapa Pengaruh Penetapan Nisbah Bagi Hasil, Inflasi, Dan Jumlah Uang Beredar Terhadap Deposito Mudharabah Di Indonesia.”"},"properties":{"noteIndex":75},"schema":"https://github.com/citation-style-language/schema/raw/master/csl-citation.json"}</w:instrText>
      </w:r>
      <w:r w:rsidRPr="009E3DCE">
        <w:rPr>
          <w:rFonts w:asciiTheme="majorBidi" w:hAnsiTheme="majorBidi" w:cstheme="majorBidi"/>
        </w:rPr>
        <w:fldChar w:fldCharType="separate"/>
      </w:r>
      <w:r w:rsidRPr="002B79F1">
        <w:rPr>
          <w:rFonts w:asciiTheme="majorBidi" w:hAnsiTheme="majorBidi" w:cstheme="majorBidi"/>
          <w:noProof/>
          <w:lang w:val="sv-SE"/>
        </w:rPr>
        <w:t>Wahyu Fauziah and Segaf, “Seberapa Pengaruh Penetapan Nisbah Bagi Hasil, Inflasi, Dan Jumlah Uang Beredar Terhadap Deposito Mudharabah Di Indonesia.”</w:t>
      </w:r>
      <w:r w:rsidRPr="009E3DCE">
        <w:rPr>
          <w:rFonts w:asciiTheme="majorBidi" w:hAnsiTheme="majorBidi" w:cstheme="majorBidi"/>
        </w:rPr>
        <w:fldChar w:fldCharType="end"/>
      </w:r>
      <w:r w:rsidRPr="002B79F1">
        <w:rPr>
          <w:rFonts w:asciiTheme="majorBidi" w:hAnsiTheme="majorBidi" w:cstheme="majorBidi"/>
          <w:lang w:val="sv-SE"/>
        </w:rPr>
        <w:t xml:space="preserve"> Hal.440</w:t>
      </w:r>
    </w:p>
  </w:footnote>
  <w:footnote w:id="76">
    <w:p w14:paraId="75875B6A" w14:textId="18A35E6D" w:rsidR="00B8380C" w:rsidRPr="002B79F1" w:rsidRDefault="00B8380C"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2B79F1">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{"citationItems":[{"id":"ITEM-1","itemData":{"abstract":"Judul penelitian ini ialah pengaruh bagi hasil terhadap jumlah dana deposito mudharabah pada PT Bank BNI Syariah periode 2017-2019. Tujuan penelitian ini yaitu untuk mengetahui pengaruh bagi hasil terhadap jumlah dana deposito mudharabah pada PT Bank BNI Syariah periode 2017-2019. Data penelitian ini adalah data sekunder yang dikumpulkan dengan teknik dokumentasi. Teknik pengolahan data yang digunakan adalah regresi linier sederhana, koefisien korelasi, koefisien determinasi dan uji t. Hasil penelitian menunjukkan bahwa bagi hasil memiliki pengaruh yang sangat rendah dan tidak signifikan terhadap jumlah dana deposito mudharabah pada PT Bank BNI Syariah periode 2017-2019.","author":[{"dropping-particle":"","family":"Lubis","given":"Anggi Adelia Firdaus","non-dropping-particle":"","parse-names":false,"suffix":""},{"dropping-particle":"","family":"Zuhirsyan","given":"Muhammad","non-dropping-particle":"","parse-names":false,"suffix":""},{"dropping-particle":"","family":"Asmalidar","given":"","non-dropping-particle":"","parse-names":false,"suffix":""}],"container-title":"Jurnal Bilal (Bisnis Ekonomi Halal)","id":"ITEM-1","issue":"1","issued":{"date-parts":[["2020"]]},"page":"1-13","title":"Pengaruh Bagi Hasil Terhadap Jumlah Dana Deposito Mudharabah Pada Bank Syariah Periode 2017-2019","type":"article-journal","volume":"1"},"uris":["http://www.mendeley.com/documents/?uuid=58af2fb5-d9e2-4f81-8f13-d3fc1b2453dc"]}],"mendeley":{"formattedCitation":"Anggi Adelia Firdaus Lubis, Muhammad Zuhirsyan, and Asmalidar, “Pengaruh Bagi Hasil Terhadap Jumlah Dana Deposito Mudharabah Pada Bank Syariah Periode 2017-2019,” &lt;i&gt;Jurnal Bilal (Bisnis Ekonomi Halal)&lt;/i&gt; 1, no. 1 (2020): 1–13.","plainTextFormattedCitation":"Anggi Adelia Firdaus Lubis, Muhammad Zuhirsyan, and Asmalidar, “Pengaruh Bagi Hasil Terhadap Jumlah Dana Deposito Mudharabah Pada Bank Syariah Periode 2017-2019,” Jurnal Bilal (Bisnis Ekonomi Halal) 1, no. 1 (2020): 1–13.","previouslyFormattedCitation":"Anggi Adelia Firdaus Lubis, Muhammad Zuhirsyan, and Asmalidar, “Pengaruh Bagi Hasil Terhadap Jumlah Dana Deposito Mudharabah Pada Bank Syariah Periode 2017-2019,” &lt;i&gt;Jurnal Bilal (Bisnis Ekonomi Halal)&lt;/i&gt; 1, no. 1 (2020): 1–13."},"properties":{"noteIndex":76},"schema":"https://github.com/citation-style-language/schema/raw/master/csl-citation.json"}</w:instrText>
      </w:r>
      <w:r w:rsidRPr="009E3DCE">
        <w:rPr>
          <w:rFonts w:asciiTheme="majorBidi" w:hAnsiTheme="majorBidi" w:cstheme="majorBidi"/>
          <w:lang w:val="sv-SE"/>
        </w:rPr>
        <w:fldChar w:fldCharType="separate"/>
      </w:r>
      <w:r w:rsidRPr="002B79F1">
        <w:rPr>
          <w:rFonts w:asciiTheme="majorBidi" w:hAnsiTheme="majorBidi" w:cstheme="majorBidi"/>
          <w:noProof/>
          <w:lang w:val="sv-SE"/>
        </w:rPr>
        <w:t xml:space="preserve">Anggi Adelia Firdaus Lubis, Muhammad Zuhirsyan, and Asmalidar, “Pengaruh Bagi Hasil Terhadap Jumlah Dana Deposito Mudharabah Pada Bank Syariah Periode 2017-2019,” </w:t>
      </w:r>
      <w:r w:rsidRPr="002B79F1">
        <w:rPr>
          <w:rFonts w:asciiTheme="majorBidi" w:hAnsiTheme="majorBidi" w:cstheme="majorBidi"/>
          <w:i/>
          <w:noProof/>
          <w:lang w:val="sv-SE"/>
        </w:rPr>
        <w:t>Jurnal Bilal (Bisnis Ekonomi Halal)</w:t>
      </w:r>
      <w:r w:rsidRPr="002B79F1">
        <w:rPr>
          <w:rFonts w:asciiTheme="majorBidi" w:hAnsiTheme="majorBidi" w:cstheme="majorBidi"/>
          <w:noProof/>
          <w:lang w:val="sv-SE"/>
        </w:rPr>
        <w:t xml:space="preserve"> 1, no. 1 (2020): 1–13.</w:t>
      </w:r>
      <w:r w:rsidRPr="009E3DCE">
        <w:rPr>
          <w:rFonts w:asciiTheme="majorBidi" w:hAnsiTheme="majorBidi" w:cstheme="majorBidi"/>
          <w:lang w:val="sv-SE"/>
        </w:rPr>
        <w:fldChar w:fldCharType="end"/>
      </w:r>
      <w:r w:rsidRPr="002B79F1">
        <w:rPr>
          <w:rFonts w:asciiTheme="majorBidi" w:hAnsiTheme="majorBidi" w:cstheme="majorBidi"/>
          <w:lang w:val="sv-SE"/>
        </w:rPr>
        <w:t xml:space="preserve"> Hal.4</w:t>
      </w:r>
    </w:p>
  </w:footnote>
  <w:footnote w:id="77">
    <w:p w14:paraId="64CADAEE" w14:textId="7C2696B5" w:rsidR="00B8380C" w:rsidRPr="002B79F1" w:rsidRDefault="00B8380C" w:rsidP="00B8380C">
      <w:pPr>
        <w:pStyle w:val="FootnoteText"/>
        <w:ind w:firstLine="720"/>
        <w:jc w:val="both"/>
        <w:rPr>
          <w:rFonts w:asciiTheme="majorBidi" w:hAnsiTheme="majorBidi" w:cstheme="majorBidi"/>
          <w:lang w:val="sv-SE"/>
        </w:rPr>
      </w:pPr>
      <w:r w:rsidRPr="00793C89">
        <w:rPr>
          <w:rStyle w:val="FootnoteReference"/>
          <w:rFonts w:asciiTheme="majorBidi" w:hAnsiTheme="majorBidi" w:cstheme="majorBidi"/>
        </w:rPr>
        <w:footnoteRef/>
      </w:r>
      <w:r w:rsidRPr="002B79F1">
        <w:rPr>
          <w:rFonts w:asciiTheme="majorBidi" w:hAnsiTheme="majorBidi" w:cstheme="majorBidi"/>
          <w:lang w:val="sv-SE"/>
        </w:rPr>
        <w:t xml:space="preserve"> </w:t>
      </w:r>
      <w:r w:rsidRPr="00793C89">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{"citationItems":[{"id":"ITEM-1","itemData":{"DOI":"10.25299/jtb.2022.vol5(2).9681","ISSN":"2621-6833","abstract":"Tujuan dari penelitian ini adalah untuk menganalisis serta menguji pengaruh nisbah bagi hasil, inflasi serta jumlah uang beredar (JUB) terhadap deposito mudharabah pada Bank Muamalat Indonesia baik secara simultan maupun parsial periode tahun 2014-2021. Jenis penelitian ini yaitu kuantitatif dengan studi penelitian pada Bank Muamalat Indonesia dengan menggunakan metode pengumpulan data berupa purposive sampling. Sampel dalam penelitian ini 32 data yang meliputi data keuangan BMI serta data inflasi maupun JUB dari website resmi Bank Indonesia serta Badan Pusat Statistik. Hasil penelitian secara parsial menghasilkan variabel nisbah bagi hasil yang terbukti berpengaruh terhadap deposito mudharabah pada BMI. Sedangkan variabel Inflasi dan JUB terbukti tidak berpengaruh terhadap deposito mudharabah pada BMI. Uji parsial menghasilkan bahwa variabel nisbah bagi hasil, inflasi maupun JUB secara simultan berpengaruh terhadap deposito mudharabah. Hal ini menunjukkan pentingnya perbankan syariah untuk memfokuskan kebijakan pada nisbah bagi hasil yang ditawarkan kepada nasabahnya dan tidak terpengaruh pada situasi keuangan eksternal dalam aspek inflasi dan JUB.","author":[{"dropping-particle":"","family":"Wahyu Fauziah","given":"Nafisah","non-dropping-particle":"","parse-names":false,"suffix":""},{"dropping-particle":"","family":"Segaf","given":"","non-dropping-particle":"","parse-names":false,"suffix":""}],"container-title":"Jurnal Tabarru': Islamic Banking and Finance","id":"ITEM-1","issue":"2","issued":{"date-parts":[["2022"]]},"page":"435-447","title":"Seberapa Pengaruh Penetapan Nisbah Bagi Hasil, Inflasi, Dan Jumlah Uang Beredar Terhadap Deposito Mudharabah Di Indonesia","type":"article-journal","volume":"5"},"uris":["http://www.mendeley.com/documents/?uuid=a4f1dce7-fe37-4204-94a0-859fb93af81e"]}],"mendeley":{"formattedCitation":"Wahyu Fauziah and Segaf, “Seberapa Pengaruh Penetapan Nisbah Bagi Hasil, Inflasi, Dan Jumlah Uang Beredar Terhadap Deposito Mudharabah Di Indonesia.”","plainTextFormattedCitation":"Wahyu Fauziah and Segaf, “Seberapa Pengaruh Penetapan Nisbah Bagi Hasil, Inflasi, Dan Jumlah Uang Beredar Terhadap Deposito Mudharabah Di Indonesia.”","previouslyFormattedCitation":"Wahyu Fauziah and Segaf, “Seberapa Pengaruh Penetapan Nisbah Bagi Hasil, Inflasi, Dan Jumlah Uang Beredar Terhadap Deposito Mudharabah Di Indonesia.”"},"properties":{"noteIndex":77},"schema":"https://github.com/citation-style-language/schema/raw/master/csl-citation.json"}</w:instrText>
      </w:r>
      <w:r w:rsidRPr="00793C89">
        <w:rPr>
          <w:rFonts w:asciiTheme="majorBidi" w:hAnsiTheme="majorBidi" w:cstheme="majorBidi"/>
        </w:rPr>
        <w:fldChar w:fldCharType="separate"/>
      </w:r>
      <w:r w:rsidRPr="002B79F1">
        <w:rPr>
          <w:rFonts w:asciiTheme="majorBidi" w:hAnsiTheme="majorBidi" w:cstheme="majorBidi"/>
          <w:noProof/>
          <w:lang w:val="sv-SE"/>
        </w:rPr>
        <w:t>Wahyu Fauziah and Segaf, “Seberapa Pengaruh Penetapan Nisbah Bagi Hasil, Inflasi, Dan Jumlah Uang Beredar Terhadap Deposito Mudharabah Di Indonesia.”</w:t>
      </w:r>
      <w:r w:rsidRPr="00793C89">
        <w:rPr>
          <w:rFonts w:asciiTheme="majorBidi" w:hAnsiTheme="majorBidi" w:cstheme="majorBidi"/>
        </w:rPr>
        <w:fldChar w:fldCharType="end"/>
      </w:r>
      <w:r w:rsidRPr="002B79F1">
        <w:rPr>
          <w:rFonts w:asciiTheme="majorBidi" w:hAnsiTheme="majorBidi" w:cstheme="majorBidi"/>
          <w:lang w:val="sv-SE"/>
        </w:rPr>
        <w:t xml:space="preserve"> Hal.440</w:t>
      </w:r>
    </w:p>
  </w:footnote>
  <w:footnote w:id="78">
    <w:p w14:paraId="553DCC2E" w14:textId="6DD07C6E" w:rsidR="00B8380C" w:rsidRPr="002B79F1" w:rsidRDefault="00B8380C" w:rsidP="00B8380C">
      <w:pPr>
        <w:pStyle w:val="FootnoteText"/>
        <w:ind w:firstLine="720"/>
        <w:jc w:val="both"/>
        <w:rPr>
          <w:rFonts w:asciiTheme="majorBidi" w:hAnsiTheme="majorBidi" w:cstheme="majorBidi"/>
          <w:lang w:val="sv-SE"/>
        </w:rPr>
      </w:pPr>
      <w:r w:rsidRPr="00793C89">
        <w:rPr>
          <w:rStyle w:val="FootnoteReference"/>
          <w:rFonts w:asciiTheme="majorBidi" w:hAnsiTheme="majorBidi" w:cstheme="majorBidi"/>
        </w:rPr>
        <w:footnoteRef/>
      </w:r>
      <w:r w:rsidRPr="002B79F1">
        <w:rPr>
          <w:rFonts w:asciiTheme="majorBidi" w:hAnsiTheme="majorBidi" w:cstheme="majorBidi"/>
          <w:lang w:val="sv-SE"/>
        </w:rPr>
        <w:t xml:space="preserve"> </w:t>
      </w:r>
      <w:r w:rsidRPr="00793C89">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{"citationItems":[{"id":"ITEM-1","itemData":{"DOI":"10.30821/se.v7i1.9806","ISSN":"2303-2618","abstract":"&lt;em&gt;Mudharabah&lt;/em&gt; &lt;em&gt;Muqayyadah&lt;/em&gt; is a form of cooperation between shahibul mal and &lt;em&gt;mudharib&lt;/em&gt;, where &lt;em&gt;mudharib&lt;/em&gt; is limited by limitations on the type of business, time or place of business. Fatwa of the National Sharia Council (DSN) on the method of income smoothing of third party funds DSN Fatwa No. 87 / DSN-MUI / XII / 2012 states that in the case of a &lt;em&gt;Mudharabah&lt;/em&gt; &lt;em&gt;Muqayyadah&lt;/em&gt; contract, a reserve fund (PER) may also be formed through an allowance for the benefit of a customer's right that exceeds the rate of return projected after being shared with the DPK customer's permission. In this contract shahibul mal and mudarib are asked to trust each other, where shahibul mal does not receive guarantees from &lt;em&gt;mudharib&lt;/em&gt; and mudarib to run a business in accordance with the terms and conditions of shahibul mal. The risk that the bank avoids is the risk of problematic financing, there is a sense of concern that mudarib will take the money away. Especially because mudarib does not need to provide guarantees in this case, the losses borne by the bank are getting bigger. In the &lt;em&gt;Mudharabah&lt;/em&gt; &lt;em&gt;Muqayyadah&lt;/em&gt; contract, the bank finds it difficult to implement it based on the shahibul mall not only one person and each customer has different desires, terms and opinions.","author":[{"dropping-particle":"","family":"Syarvina","given":"Wahyu","non-dropping-particle":"","parse-names":false,"suffix":""}],"container-title":"Studia Economica : Jurnal Ekonomi Islam","id":"ITEM-1","issue":"1","issued":{"date-parts":[["2021"]]},"page":"21","title":"Penerapan Akad Mudharabah Muqayyadah Pada Bank Syariah Di Indonesia","type":"article-journal","volume":"7"},"uris":["http://www.mendeley.com/documents/?uuid=6afa0666-8c8e-48fb-845f-b2c352b1c243"]}],"mendeley":{"formattedCitation":"Wahyu Syarvina, “Penerapan Akad Mudharabah Muqayyadah Pada Bank Syariah Di Indonesia,” &lt;i&gt;Studia Economica : Jurnal Ekonomi Islam&lt;/i&gt; 7, no. 1 (2021): 21, https://doi.org/10.30821/se.v7i1.9806.","plainTextFormattedCitation":"Wahyu Syarvina, “Penerapan Akad Mudharabah Muqayyadah Pada Bank Syariah Di Indonesia,” Studia Economica : Jurnal Ekonomi Islam 7, no. 1 (2021): 21, https://doi.org/10.30821/se.v7i1.9806.","previouslyFormattedCitation":"Wahyu Syarvina, “Penerapan Akad Mudharabah Muqayyadah Pada Bank Syariah Di Indonesia,” &lt;i&gt;Studia Economica : Jurnal Ekonomi Islam&lt;/i&gt; 7, no. 1 (2021): 21, https://doi.org/10.30821/se.v7i1.9806."},"properties":{"noteIndex":78},"schema":"https://github.com/citation-style-language/schema/raw/master/csl-citation.json"}</w:instrText>
      </w:r>
      <w:r w:rsidRPr="00793C89">
        <w:rPr>
          <w:rFonts w:asciiTheme="majorBidi" w:hAnsiTheme="majorBidi" w:cstheme="majorBidi"/>
          <w:lang w:val="sv-SE"/>
        </w:rPr>
        <w:fldChar w:fldCharType="separate"/>
      </w:r>
      <w:r w:rsidRPr="002B79F1">
        <w:rPr>
          <w:rFonts w:asciiTheme="majorBidi" w:hAnsiTheme="majorBidi" w:cstheme="majorBidi"/>
          <w:noProof/>
          <w:lang w:val="sv-SE"/>
        </w:rPr>
        <w:t xml:space="preserve">Wahyu Syarvina, “Penerapan Akad Mudharabah Muqayyadah Pada Bank Syariah Di Indonesia,” </w:t>
      </w:r>
      <w:r w:rsidRPr="002B79F1">
        <w:rPr>
          <w:rFonts w:asciiTheme="majorBidi" w:hAnsiTheme="majorBidi" w:cstheme="majorBidi"/>
          <w:i/>
          <w:noProof/>
          <w:lang w:val="sv-SE"/>
        </w:rPr>
        <w:t>Studia Economica : Jurnal Ekonomi Islam</w:t>
      </w:r>
      <w:r w:rsidRPr="002B79F1">
        <w:rPr>
          <w:rFonts w:asciiTheme="majorBidi" w:hAnsiTheme="majorBidi" w:cstheme="majorBidi"/>
          <w:noProof/>
          <w:lang w:val="sv-SE"/>
        </w:rPr>
        <w:t xml:space="preserve"> 7, no. 1 (2021): 21, https://doi.org/10.30821/se.v7i1.9806.</w:t>
      </w:r>
      <w:r w:rsidRPr="00793C89">
        <w:rPr>
          <w:rFonts w:asciiTheme="majorBidi" w:hAnsiTheme="majorBidi" w:cstheme="majorBidi"/>
          <w:lang w:val="sv-SE"/>
        </w:rPr>
        <w:fldChar w:fldCharType="end"/>
      </w:r>
      <w:r w:rsidRPr="002B79F1">
        <w:rPr>
          <w:rFonts w:asciiTheme="majorBidi" w:hAnsiTheme="majorBidi" w:cstheme="majorBidi"/>
          <w:lang w:val="sv-SE"/>
        </w:rPr>
        <w:t xml:space="preserve"> Hal.34</w:t>
      </w:r>
    </w:p>
  </w:footnote>
  <w:footnote w:id="79">
    <w:p w14:paraId="637D93A4" w14:textId="5E42E843" w:rsidR="008276DD" w:rsidRPr="002B79F1" w:rsidRDefault="008276DD" w:rsidP="008276DD">
      <w:pPr>
        <w:pStyle w:val="FootnoteText"/>
        <w:ind w:firstLine="720"/>
        <w:rPr>
          <w:rFonts w:asciiTheme="majorBidi" w:hAnsiTheme="majorBidi" w:cstheme="majorBidi"/>
          <w:lang w:val="sv-SE"/>
        </w:rPr>
      </w:pPr>
      <w:r w:rsidRPr="009E3DCE">
        <w:rPr>
          <w:rStyle w:val="FootnoteReference"/>
          <w:rFonts w:asciiTheme="majorBidi" w:hAnsiTheme="majorBidi" w:cstheme="majorBidi"/>
        </w:rPr>
        <w:footnoteRef/>
      </w:r>
      <w:r w:rsidRPr="002B79F1">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{"citationItems":[{"id":"ITEM-1","itemData":{"DOI":"10.22373/jihbiz.v4i1.12431","abstract":"Penelitian ini bertujuan untuk mengetahui pengaruh Inflasi, Tingkat Bagi Hasil, Non Performing Financing (NPF), serta Produk Domestik Bruto (PDB) terhadap simpanan mudharabah pada bank umum syariah di Indonesia. Subyek penelitian ini ialah seluruh bank syariah yang terdaftar di Otoritas Jasa Keuangan (OJK) selama periode 2013-2019. Sampel penelitian ini menggunakan teknik purposive sampling. Metode analisis data yang digunakan dalam penelitian ini yaitu regresi linier berganda. Hasil penelitian ini secara parsial (uji t) Inflasi dan Tingkat Bagi Hasil berpengaruh signifikan terhadap deposito mudharabah. Sedangkan rasio Non Performing Financing (NPF) serta Produk Domestik Bruto (PDB) tidak memiliki pengaruh terhadap deposito mudharabah. Secara simultan (Uji F) menunjukkan bahwa Inflasi, Tingkat Bagi Hasil, Non Performing Financing (NPF), serta Produk Domestik Bruto (PDB) secara simultan memiliki pengaruh terhadap deposito mudhrabah. ","author":[{"dropping-particle":"","family":"Kumalasari","given":"Novia Anindita","non-dropping-particle":"","parse-names":false,"suffix":""},{"dropping-particle":"","family":"Zulpahmi","given":"Zulpahmi","non-dropping-particle":"","parse-names":false,"suffix":""},{"dropping-particle":"","family":"Nurhayadi","given":"Yadi","non-dropping-particle":"","parse-names":false,"suffix":""}],"container-title":"Jihbiz: Global Journal of Islamic Banking and Finance","id":"ITEM-1","issue":"1","issued":{"date-parts":[["2022"]]},"page":"56","title":"Pengaruh Inflasi, Tingkat Bagi Hasil, Non Performing Financing, Dan Produk Domestik Bruto Terhadap Deposito Mudharabah Pada Bank Umum Syariah Di Indonesia","type":"article-journal","volume":"4"},"uris":["http://www.mendeley.com/documents/?uuid=33a73a06-e497-43ec-a3ce-9fe56fdb2a4d"]}],"mendeley":{"formattedCitation":"Kumalasari, Zulpahmi, and Nurhayadi, “Pengaruh Inflasi, Tingkat Bagi Hasil, Non Performing Financing, Dan Produk Domestik Bruto Terhadap Deposito Mudharabah Pada Bank Umum Syariah Di Indonesia.”","plainTextFormattedCitation":"Kumalasari, Zulpahmi, and Nurhayadi, “Pengaruh Inflasi, Tingkat Bagi Hasil, Non Performing Financing, Dan Produk Domestik Bruto Terhadap Deposito Mudharabah Pada Bank Umum Syariah Di Indonesia.”","previouslyFormattedCitation":"Kumalasari, Zulpahmi, and Nurhayadi, “Pengaruh Inflasi, Tingkat Bagi Hasil, Non Performing Financing, Dan Produk Domestik Bruto Terhadap Deposito Mudharabah Pada Bank Umum Syariah Di Indonesia.”"},"properties":{"noteIndex":79},"schema":"https://github.com/citation-style-language/schema/raw/master/csl-citation.json"}</w:instrText>
      </w:r>
      <w:r w:rsidRPr="009E3DCE">
        <w:rPr>
          <w:rFonts w:asciiTheme="majorBidi" w:hAnsiTheme="majorBidi" w:cstheme="majorBidi"/>
          <w:lang w:val="sv-SE"/>
        </w:rPr>
        <w:fldChar w:fldCharType="separate"/>
      </w:r>
      <w:r w:rsidRPr="002B79F1">
        <w:rPr>
          <w:rFonts w:asciiTheme="majorBidi" w:hAnsiTheme="majorBidi" w:cstheme="majorBidi"/>
          <w:noProof/>
          <w:lang w:val="sv-SE"/>
        </w:rPr>
        <w:t>Kumalasari, Zulpahmi, and Nurhayadi, “Pengaruh Inflasi, Tingkat Bagi Hasil, Non Performing Financing, Dan Produk Domestik Bruto Terhadap Deposito Mudharabah Pada Bank Umum Syariah Di Indonesia.”</w:t>
      </w:r>
      <w:r w:rsidRPr="009E3DCE">
        <w:rPr>
          <w:rFonts w:asciiTheme="majorBidi" w:hAnsiTheme="majorBidi" w:cstheme="majorBidi"/>
          <w:lang w:val="sv-SE"/>
        </w:rPr>
        <w:fldChar w:fldCharType="end"/>
      </w:r>
    </w:p>
  </w:footnote>
  <w:footnote w:id="80">
    <w:p w14:paraId="748C2C36" w14:textId="1A64B08C" w:rsidR="00AC5783" w:rsidRPr="002B79F1" w:rsidRDefault="00AC5783" w:rsidP="008276DD">
      <w:pPr>
        <w:pStyle w:val="FootnoteText"/>
        <w:ind w:firstLine="720"/>
        <w:rPr>
          <w:rFonts w:asciiTheme="majorBidi" w:hAnsiTheme="majorBidi" w:cstheme="majorBidi"/>
          <w:lang w:val="sv-SE"/>
        </w:rPr>
      </w:pPr>
      <w:r w:rsidRPr="009E3DCE">
        <w:rPr>
          <w:rStyle w:val="FootnoteReference"/>
          <w:rFonts w:asciiTheme="majorBidi" w:hAnsiTheme="majorBidi" w:cstheme="majorBidi"/>
        </w:rPr>
        <w:footnoteRef/>
      </w:r>
      <w:r w:rsidRPr="002B79F1">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{"citationItems":[{"id":"ITEM-1","itemData":{"DOI":"10.37481/sjr.v4i3.334","ISSN":"2615-3009","abstract":"This study aims to determine the effect of capital adequacy, problematic financing, profit sharing and inflation rates on Mudharabah deposits in Islamic commercial banks. There are 5 samples in this study that meet the criteria, namely Bank Jabar Banten Syariah, Panin Dubai Syariah Bank, Bukopin Syariah Bank, BCA Syariah and Maybank Syariah Indonesia. The analytical tool used is panel data regression analysis. The chosen model is Random Effect which is tested by F test and t test, with a significance level of 5%. From the results of the analysis, it is known that simultaneous Capital Adequacy, Problem Financing, Profit Sharing and Inflation Rate have a significant effect on Mudharabah Deposits. Partially Capital Adequacy, Problem Financing and Inflation Rate have no significant effect on Mudharabah Deposits while Profit Sharing has a positive and significant effect on Mudharabah Deposits.","author":[{"dropping-particle":"","family":"Nurhidayah","given":"Wilda","non-dropping-particle":"","parse-names":false,"suffix":""},{"dropping-particle":"","family":"Amaliyah","given":"Amaliyah","non-dropping-particle":"","parse-names":false,"suffix":""}],"container-title":"SCIENTIFIC JOURNAL OF REFLECTION : Economic, Accounting, Management and Business","id":"ITEM-1","issue":"3","issued":{"date-parts":[["2021"]]},"page":"550-558","title":"Pengaruh Kecukupan Modal, Pembiayaan Bermasalah, Bagi Hasil Dan Tingkat Inflasi Terhadap Deposito Mudharabah Pada Bank Umum Syariah","type":"article-journal","volume":"4"},"uris":["http://www.mendeley.com/documents/?uuid=ddae0bef-4911-402b-9d39-ac10be743883"]}],"mendeley":{"formattedCitation":"Nurhidayah and Amaliyah, “Pengaruh Kecukupan Modal, Pembiayaan Bermasalah, Bagi Hasil Dan Tingkat Inflasi Terhadap Deposito Mudharabah Pada Bank Umum Syariah.”","plainTextFormattedCitation":"Nurhidayah and Amaliyah, “Pengaruh Kecukupan Modal, Pembiayaan Bermasalah, Bagi Hasil Dan Tingkat Inflasi Terhadap Deposito Mudharabah Pada Bank Umum Syariah.”","previouslyFormattedCitation":"Nurhidayah and Amaliyah, “Pengaruh Kecukupan Modal, Pembiayaan Bermasalah, Bagi Hasil Dan Tingkat Inflasi Terhadap Deposito Mudharabah Pada Bank Umum Syariah.”"},"properties":{"noteIndex":80},"schema":"https://github.com/citation-style-language/schema/raw/master/csl-citation.json"}</w:instrText>
      </w:r>
      <w:r w:rsidRPr="009E3DCE">
        <w:rPr>
          <w:rFonts w:asciiTheme="majorBidi" w:hAnsiTheme="majorBidi" w:cstheme="majorBidi"/>
          <w:lang w:val="sv-SE"/>
        </w:rPr>
        <w:fldChar w:fldCharType="separate"/>
      </w:r>
      <w:r w:rsidRPr="002B79F1">
        <w:rPr>
          <w:rFonts w:asciiTheme="majorBidi" w:hAnsiTheme="majorBidi" w:cstheme="majorBidi"/>
          <w:noProof/>
          <w:lang w:val="sv-SE"/>
        </w:rPr>
        <w:t>Nurhidayah and Amaliyah, “Pengaruh Kecukupan Modal, Pembiayaan Bermasalah, Bagi Hasil Dan Tingkat Inflasi Terhadap Deposito Mudharabah Pada Bank Umum Syariah.”</w:t>
      </w:r>
      <w:r w:rsidRPr="009E3DCE">
        <w:rPr>
          <w:rFonts w:asciiTheme="majorBidi" w:hAnsiTheme="majorBidi" w:cstheme="majorBidi"/>
          <w:lang w:val="sv-SE"/>
        </w:rPr>
        <w:fldChar w:fldCharType="end"/>
      </w:r>
    </w:p>
  </w:footnote>
  <w:footnote w:id="81">
    <w:p w14:paraId="20481017" w14:textId="29160CFA" w:rsidR="004D746D" w:rsidRPr="004D746D" w:rsidRDefault="004D746D" w:rsidP="004F6C85">
      <w:pPr>
        <w:pStyle w:val="FootnoteText"/>
        <w:ind w:firstLine="720"/>
        <w:jc w:val="both"/>
        <w:rPr>
          <w:rFonts w:asciiTheme="majorBidi" w:hAnsiTheme="majorBidi" w:cstheme="majorBidi"/>
          <w:lang w:val="en-US"/>
        </w:rPr>
      </w:pPr>
      <w:r w:rsidRPr="004D746D">
        <w:rPr>
          <w:rStyle w:val="FootnoteReference"/>
          <w:rFonts w:asciiTheme="majorBidi" w:hAnsiTheme="majorBidi" w:cstheme="majorBidi"/>
        </w:rPr>
        <w:footnoteRef/>
      </w:r>
      <w:r w:rsidRPr="004D746D">
        <w:rPr>
          <w:rFonts w:asciiTheme="majorBidi" w:hAnsiTheme="majorBidi" w:cstheme="majorBidi"/>
        </w:rPr>
        <w:t xml:space="preserve"> </w:t>
      </w:r>
      <w:r w:rsidRPr="004D746D">
        <w:rPr>
          <w:rFonts w:asciiTheme="majorBidi" w:hAnsiTheme="majorBidi" w:cstheme="majorBidi"/>
        </w:rPr>
        <w:fldChar w:fldCharType="begin" w:fldLock="1"/>
      </w:r>
      <w:r w:rsidR="00E47DAC">
        <w:rPr>
          <w:rFonts w:asciiTheme="majorBidi" w:hAnsiTheme="majorBidi" w:cstheme="majorBidi"/>
        </w:rPr>
        <w:instrText>ADDIN CSL_CITATION {"citationItems":[{"id":"ITEM-1","itemData":{"ISSN":"2304-1269","abstract":"In the recent years, Islamic banking in Indonesia is growing rapidly. The data of Bank Indonesia shows that the number of Islamic banking instruments such as mudharabah deposits has increased both in the number and the total value. The objective of this research is to analyze the influence of Financing to Deposit Ratio (FDR) and Non Performing Financing (NPF) on Mudharabah Deposits of Indonesian Islamic Banking in the period from 2010 to 2013. The sample of this study was 11 Islamic Commercial Banks and 23 Islamic Business Units of Conventional Bank in Indonesia. Secondary data was collected from the Islamic Banking Statistics of Bank Indonesia official website. The data analysis technique used in this study was multiple regression analysis. Based on statistical analysis, it is concluded that Non Performing Financing (NPF) effect on Mudharabah Deposits. Meanwhile, Financing to Deposit Ratio (FDR) has no effect on the Mudharabah Deposits. The results indicate that the customers' motivation to save their money in the bank is to invest in Islamic financial instruments in accordance with Islamic principles, so that customers do not pay much attention to factors such as the level of Financing to Deposit Ratio (FDR).","author":[{"dropping-particle":"","family":"Mayasari","given":"Triya","non-dropping-particle":"","parse-names":false,"suffix":""},{"dropping-particle":"","family":"Yusuf","given":"","non-dropping-particle":"","parse-names":false,"suffix":""},{"dropping-particle":"","family":"Yulianto","given":"Agung","non-dropping-particle":"","parse-names":false,"suffix":""}],"container-title":"Rev. Integr. Bus. Econ. Res.","id":"ITEM-1","issue":"1","issued":{"date-parts":[["2018"]]},"page":"210","title":"The Internal Factors of Indonesian Sharia Banking to Predict The Mudharabah Deposits","type":"article-journal","volume":"5"},"uris":["http://www.mendeley.com/documents/?uuid=e5fa6830-f4a5-421b-8a5a-198724164682"]}],"mendeley":{"formattedCitation":"Mayasari, Yusuf, and Yulianto, “The Internal Factors of Indonesian Sharia Banking to Predict The Mudharabah Deposits.”","plainTextFormattedCitation":"Mayasari, Yusuf, and Yulianto, “The Internal Factors of Indonesian Sharia Banking to Predict The Mudharabah Deposits.”","previouslyFormattedCitation":"Mayasari, Yusuf, and Yulianto, “The Internal Factors of Indonesian Sharia Banking to Predict The Mudharabah Deposits.”"},"properties":{"noteIndex":81},"schema":"https://github.com/citation-style-language/schema/raw/master/csl-citation.json"}</w:instrText>
      </w:r>
      <w:r w:rsidRPr="004D746D">
        <w:rPr>
          <w:rFonts w:asciiTheme="majorBidi" w:hAnsiTheme="majorBidi" w:cstheme="majorBidi"/>
        </w:rPr>
        <w:fldChar w:fldCharType="separate"/>
      </w:r>
      <w:r w:rsidRPr="004D746D">
        <w:rPr>
          <w:rFonts w:asciiTheme="majorBidi" w:hAnsiTheme="majorBidi" w:cstheme="majorBidi"/>
          <w:noProof/>
        </w:rPr>
        <w:t>Mayasari, Yusuf, and Yulianto, “The Internal Factors of Indonesian Sharia Banking to Predict The Mudharabah Deposits.”</w:t>
      </w:r>
      <w:r w:rsidRPr="004D746D">
        <w:rPr>
          <w:rFonts w:asciiTheme="majorBidi" w:hAnsiTheme="majorBidi" w:cstheme="majorBidi"/>
        </w:rPr>
        <w:fldChar w:fldCharType="end"/>
      </w:r>
    </w:p>
  </w:footnote>
  <w:footnote w:id="82">
    <w:p w14:paraId="6544DD59" w14:textId="0669DE07" w:rsidR="00213FC6" w:rsidRPr="004D746D" w:rsidRDefault="00213FC6" w:rsidP="004F6C85">
      <w:pPr>
        <w:pStyle w:val="FootnoteText"/>
        <w:ind w:firstLine="720"/>
        <w:jc w:val="both"/>
        <w:rPr>
          <w:rFonts w:asciiTheme="majorBidi" w:hAnsiTheme="majorBidi" w:cstheme="majorBidi"/>
          <w:lang w:val="en-US"/>
        </w:rPr>
      </w:pPr>
      <w:r w:rsidRPr="009E3DCE">
        <w:rPr>
          <w:rStyle w:val="FootnoteReference"/>
          <w:rFonts w:asciiTheme="majorBidi" w:hAnsiTheme="majorBidi" w:cstheme="majorBidi"/>
        </w:rPr>
        <w:footnoteRef/>
      </w:r>
      <w:r w:rsidRPr="004D746D">
        <w:rPr>
          <w:rFonts w:asciiTheme="majorBidi" w:hAnsiTheme="majorBidi" w:cstheme="majorBidi"/>
          <w:lang w:val="en-US"/>
        </w:rPr>
        <w:t xml:space="preserve"> </w:t>
      </w:r>
      <w:r w:rsidRPr="009E3DCE">
        <w:rPr>
          <w:rFonts w:asciiTheme="majorBidi" w:hAnsiTheme="majorBidi" w:cstheme="majorBidi"/>
        </w:rPr>
        <w:fldChar w:fldCharType="begin" w:fldLock="1"/>
      </w:r>
      <w:r w:rsidR="00E47DAC">
        <w:rPr>
          <w:rFonts w:asciiTheme="majorBidi" w:hAnsiTheme="majorBidi" w:cstheme="majorBidi"/>
          <w:lang w:val="en-US"/>
        </w:rPr>
        <w:instrText>ADDIN CSL_CITATION {"citationItems":[{"id":"ITEM-1","itemData":{"abstract":"The purpose of this study was determine the effect of macro economics are inflation, interest rate, unemployment and growth of economics in Indonesia. This data used are time series data from 2000-2018 per semester. The amount of adjusted R square is 0,51026 = 51,026% which means that independent variables can explain changes in economics growth variables of 51,026% while the rest of 48,974% explained by other factors in this study. This research shows only interest rate and unemployment variables influence significantly to economics of growth and inflation is no influence significantly to economics of growth in Indonesia with multiple linier regression equation Y =-1,80733-0,18059X1 + 0,14194X2 + 1,26385 X3 + e.","author":[{"dropping-particle":"","family":"Nini, Murniati","given":"Rahmaita","non-dropping-particle":"","parse-names":false,"suffix":""}],"container-title":"Jurnal Ekonomi dan Bisnis Dharma Andalas","id":"ITEM-1","issue":"1","issued":{"date-parts":[["2020"]]},"page":"h. 98","title":"Pengaruh Jumlah Bagi Hasil Deposito, Likuiditas, dan Inflasi Terhadap Jumlah Deposito Mudharabah Pada Bank Syariah Mandiri","type":"article-journal","volume":"Vol. 22"},"uris":["http://www.mendeley.com/documents/?uuid=74c46d18-58d5-4f68-b8c0-74b7a78641ec"]}],"mendeley":{"formattedCitation":"Nini, Murniati, “Pengaruh Jumlah Bagi Hasil Deposito, Likuiditas, Dan Inflasi Terhadap Jumlah Deposito Mudharabah Pada Bank Syariah Mandiri.”","plainTextFormattedCitation":"Nini, Murniati, “Pengaruh Jumlah Bagi Hasil Deposito, Likuiditas, Dan Inflasi Terhadap Jumlah Deposito Mudharabah Pada Bank Syariah Mandiri.”","previouslyFormattedCitation":"Nini, Murniati, “Pengaruh Jumlah Bagi Hasil Deposito, Likuiditas, Dan Inflasi Terhadap Jumlah Deposito Mudharabah Pada Bank Syariah Mandiri.”"},"properties":{"noteIndex":82},"schema":"https://github.com/citation-style-language/schema/raw/master/csl-citation.json"}</w:instrText>
      </w:r>
      <w:r w:rsidRPr="009E3DCE">
        <w:rPr>
          <w:rFonts w:asciiTheme="majorBidi" w:hAnsiTheme="majorBidi" w:cstheme="majorBidi"/>
        </w:rPr>
        <w:fldChar w:fldCharType="separate"/>
      </w:r>
      <w:r w:rsidRPr="004D746D">
        <w:rPr>
          <w:rFonts w:asciiTheme="majorBidi" w:hAnsiTheme="majorBidi" w:cstheme="majorBidi"/>
          <w:noProof/>
          <w:lang w:val="en-US"/>
        </w:rPr>
        <w:t>Nini, Murniati, “Pengaruh Jumlah Bagi Hasil Deposito, Likuiditas, Dan Inflasi Terhadap Jumlah Deposito Mudharabah Pada Bank Syariah Mandiri.”</w:t>
      </w:r>
      <w:r w:rsidRPr="009E3DCE">
        <w:rPr>
          <w:rFonts w:asciiTheme="majorBidi" w:hAnsiTheme="majorBidi" w:cstheme="majorBidi"/>
        </w:rPr>
        <w:fldChar w:fldCharType="end"/>
      </w:r>
    </w:p>
  </w:footnote>
  <w:footnote w:id="83">
    <w:p w14:paraId="40E042D7" w14:textId="57947257" w:rsidR="00213FC6" w:rsidRPr="004D746D" w:rsidRDefault="00213FC6" w:rsidP="004F6C85">
      <w:pPr>
        <w:pStyle w:val="FootnoteText"/>
        <w:ind w:firstLine="720"/>
        <w:jc w:val="both"/>
        <w:rPr>
          <w:rFonts w:asciiTheme="majorBidi" w:hAnsiTheme="majorBidi" w:cstheme="majorBidi"/>
          <w:lang w:val="en-US"/>
        </w:rPr>
      </w:pPr>
      <w:r w:rsidRPr="009E3DCE">
        <w:rPr>
          <w:rStyle w:val="FootnoteReference"/>
          <w:rFonts w:asciiTheme="majorBidi" w:hAnsiTheme="majorBidi" w:cstheme="majorBidi"/>
        </w:rPr>
        <w:footnoteRef/>
      </w:r>
      <w:r w:rsidRPr="004D746D">
        <w:rPr>
          <w:rFonts w:asciiTheme="majorBidi" w:hAnsiTheme="majorBidi" w:cstheme="majorBidi"/>
          <w:lang w:val="en-US"/>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en-US"/>
        </w:rPr>
        <w:instrText>ADDIN CSL_CITATION {"citationItems":[{"id":"ITEM-1","itemData":{"DOI":"10.55606/akuntansi.v3i3.2050","ISSN":"2961-7871","abstract":"This research aims to examine the influence of interest rates, liquidity, profit sharing on mudharabah deposits with independent variables, namely interest rates, liquidity and profit sharing. This research uses a quantitative approach and the sample used is 8 Islamic banks registered with the Financial Services Authority (OJK) the 2019-2021 period which was obtained through the purposive sampling method. The analysis technique used is multiple linear regression with the help of SPPS 25.0 for Windows. The research results show that the interest rate variable does not have a significant effect on mudharabah deposits, this is because increases or decreases that occur in a bank will not affect deposits, people who save their funds tend to see interest at the beginning which will provide big profits and feel more secure. The liquidity variable has a significant influence on mudharabah deposits because with increasing FDR, customers' expectations that the bank will earn greater profits makes them invest more in mudharabah deposits. The profit sharing variable shows that there is a significant influence on mudharabah deposits, this means that an increase in profit sharing will increase the number of mudharabah deposits in sharia banks. The greater the amount of profit sharing offered, the better.","author":[{"dropping-particle":"","family":"Laily Nur Fitriana","given":"","non-dropping-particle":"","parse-names":false,"suffix":""},{"dropping-particle":"","family":"Syaiful Syaiful","given":"","non-dropping-particle":"","parse-names":false,"suffix":""}],"container-title":"Akuntansi","id":"ITEM-1","issue":"3","issued":{"date-parts":[["2024"]]},"page":"69-86","title":"Pengaruh Suku Bunga, Likuiditas, dan Bagi Hasil terhadap Deposito Mudharabah pada Bank Umum Syariah yang ada di Indonesia","type":"article-journal","volume":"3"},"uris":["http://www.mendeley.com/documents/?uuid=b6d5d9a1-5f9f-4fa3-9a3b-63a4748398a0"]}],"mendeley":{"formattedCitation":"Laily Nur Fitriana and Syaiful Syaiful, “Pengaruh Suku Bunga, Likuiditas, Dan Bagi Hasil Terhadap Deposito Mudharabah Pada Bank Umum Syariah Yang Ada Di Indonesia.”","plainTextFormattedCitation":"Laily Nur Fitriana and Syaiful Syaiful, “Pengaruh Suku Bunga, Likuiditas, Dan Bagi Hasil Terhadap Deposito Mudharabah Pada Bank Umum Syariah Yang Ada Di Indonesia.”","previouslyFormattedCitation":"Laily Nur Fitriana and Syaiful Syaiful, “Pengaruh Suku Bunga, Likuiditas, Dan Bagi Hasil Terhadap Deposito Mudharabah Pada Bank Umum Syariah Yang Ada Di Indonesia.”"},"properties":{"noteIndex":83},"schema":"https://github.com/citation-style-language/schema/raw/master/csl-citation.json"}</w:instrText>
      </w:r>
      <w:r w:rsidRPr="009E3DCE">
        <w:rPr>
          <w:rFonts w:asciiTheme="majorBidi" w:hAnsiTheme="majorBidi" w:cstheme="majorBidi"/>
          <w:lang w:val="sv-SE"/>
        </w:rPr>
        <w:fldChar w:fldCharType="separate"/>
      </w:r>
      <w:r w:rsidRPr="004D746D">
        <w:rPr>
          <w:rFonts w:asciiTheme="majorBidi" w:hAnsiTheme="majorBidi" w:cstheme="majorBidi"/>
          <w:noProof/>
          <w:lang w:val="en-US"/>
        </w:rPr>
        <w:t>Laily Nur Fitriana and Syaiful Syaiful, “Pengaruh Suku Bunga, Likuiditas, Dan Bagi Hasil Terhadap Deposito Mudharabah Pada Bank Umum Syariah Yang Ada Di Indonesia.”</w:t>
      </w:r>
      <w:r w:rsidRPr="009E3DCE">
        <w:rPr>
          <w:rFonts w:asciiTheme="majorBidi" w:hAnsiTheme="majorBidi" w:cstheme="majorBidi"/>
          <w:lang w:val="sv-SE"/>
        </w:rPr>
        <w:fldChar w:fldCharType="end"/>
      </w:r>
    </w:p>
  </w:footnote>
  <w:footnote w:id="84">
    <w:p w14:paraId="23DCB513" w14:textId="2075D658" w:rsidR="00075226" w:rsidRPr="004D746D" w:rsidRDefault="00075226" w:rsidP="004F6C85">
      <w:pPr>
        <w:pStyle w:val="FootnoteText"/>
        <w:ind w:firstLine="720"/>
        <w:jc w:val="both"/>
        <w:rPr>
          <w:rFonts w:asciiTheme="majorBidi" w:hAnsiTheme="majorBidi" w:cstheme="majorBidi"/>
          <w:lang w:val="en-US"/>
        </w:rPr>
      </w:pPr>
      <w:r w:rsidRPr="009E3DCE">
        <w:rPr>
          <w:rStyle w:val="FootnoteReference"/>
          <w:rFonts w:asciiTheme="majorBidi" w:hAnsiTheme="majorBidi" w:cstheme="majorBidi"/>
        </w:rPr>
        <w:footnoteRef/>
      </w:r>
      <w:r w:rsidRPr="004D746D">
        <w:rPr>
          <w:rFonts w:asciiTheme="majorBidi" w:hAnsiTheme="majorBidi" w:cstheme="majorBidi"/>
          <w:lang w:val="en-US"/>
        </w:rPr>
        <w:t xml:space="preserve"> </w:t>
      </w:r>
      <w:r w:rsidRPr="009E3DCE">
        <w:rPr>
          <w:rFonts w:asciiTheme="majorBidi" w:hAnsiTheme="majorBidi" w:cstheme="majorBidi"/>
        </w:rPr>
        <w:fldChar w:fldCharType="begin" w:fldLock="1"/>
      </w:r>
      <w:r w:rsidR="00E47DAC">
        <w:rPr>
          <w:rFonts w:asciiTheme="majorBidi" w:hAnsiTheme="majorBidi" w:cstheme="majorBidi"/>
          <w:lang w:val="en-US"/>
        </w:rPr>
        <w:instrText>ADDIN CSL_CITATION {"citationItems":[{"id":"ITEM-1","itemData":{"abstract":"… dalam menjalankan fungsi intermediasinya. Perumusan Hipotesis Pengaruh Tingkat Inflasi pada Deposito Mudharabah Tingkat inflasi berpengaruh positif terhadap dana pihak ketiga. Akan tetapi, inflasi yang …","author":[{"dropping-particle":"","family":"Saputra","given":"Maulana Islam","non-dropping-particle":"","parse-names":false,"suffix":""},{"dropping-particle":"","family":"Wahidahwati","given":"","non-dropping-particle":"","parse-names":false,"suffix":""}],"container-title":"Ilmu dan Riset Akuntansi","id":"ITEM-1","issue":"7","issued":{"date-parts":[["2018"]]},"page":"21","title":"Pengaruh Inflasi, Suku Bunga, Likuiditas dan Bagi Hasil Terhadap Deposito Mudharabah","type":"article-journal","volume":"7"},"uris":["http://www.mendeley.com/documents/?uuid=373cad71-d260-4542-a41f-f651fb8ac5c6"]}],"mendeley":{"formattedCitation":"Saputra and Wahidahwati, “Pengaruh Inflasi, Suku Bunga, Likuiditas Dan Bagi Hasil Terhadap Deposito Mudharabah.”","plainTextFormattedCitation":"Saputra and Wahidahwati, “Pengaruh Inflasi, Suku Bunga, Likuiditas Dan Bagi Hasil Terhadap Deposito Mudharabah.”","previouslyFormattedCitation":"Saputra and Wahidahwati, “Pengaruh Inflasi, Suku Bunga, Likuiditas Dan Bagi Hasil Terhadap Deposito Mudharabah.”"},"properties":{"noteIndex":84},"schema":"https://github.com/citation-style-language/schema/raw/master/csl-citation.json"}</w:instrText>
      </w:r>
      <w:r w:rsidRPr="009E3DCE">
        <w:rPr>
          <w:rFonts w:asciiTheme="majorBidi" w:hAnsiTheme="majorBidi" w:cstheme="majorBidi"/>
        </w:rPr>
        <w:fldChar w:fldCharType="separate"/>
      </w:r>
      <w:r w:rsidRPr="004D746D">
        <w:rPr>
          <w:rFonts w:asciiTheme="majorBidi" w:hAnsiTheme="majorBidi" w:cstheme="majorBidi"/>
          <w:noProof/>
          <w:lang w:val="en-US"/>
        </w:rPr>
        <w:t>Saputra and Wahidahwati, “Pengaruh Inflasi, Suku Bunga, Likuiditas Dan Bagi Hasil Terhadap Deposito Mudharabah.”</w:t>
      </w:r>
      <w:r w:rsidRPr="009E3DCE">
        <w:rPr>
          <w:rFonts w:asciiTheme="majorBidi" w:hAnsiTheme="majorBidi" w:cstheme="majorBidi"/>
        </w:rPr>
        <w:fldChar w:fldCharType="end"/>
      </w:r>
    </w:p>
  </w:footnote>
  <w:footnote w:id="85">
    <w:p w14:paraId="275C7D4D" w14:textId="0F64D73A" w:rsidR="008276DD" w:rsidRPr="004D746D" w:rsidRDefault="008276DD" w:rsidP="004F6C85">
      <w:pPr>
        <w:pStyle w:val="FootnoteText"/>
        <w:ind w:firstLine="720"/>
        <w:jc w:val="both"/>
        <w:rPr>
          <w:rFonts w:asciiTheme="majorBidi" w:hAnsiTheme="majorBidi" w:cstheme="majorBidi"/>
          <w:lang w:val="en-US"/>
        </w:rPr>
      </w:pPr>
      <w:r w:rsidRPr="009E3DCE">
        <w:rPr>
          <w:rStyle w:val="FootnoteReference"/>
          <w:rFonts w:asciiTheme="majorBidi" w:hAnsiTheme="majorBidi" w:cstheme="majorBidi"/>
        </w:rPr>
        <w:footnoteRef/>
      </w:r>
      <w:r w:rsidRPr="004D746D">
        <w:rPr>
          <w:rFonts w:asciiTheme="majorBidi" w:hAnsiTheme="majorBidi" w:cstheme="majorBidi"/>
          <w:lang w:val="en-US"/>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en-US"/>
        </w:rPr>
        <w:instrText>ADDIN CSL_CITATION {"citationItems":[{"id":"ITEM-1","itemData":{"abstract":"This research is meant to test the influence of inflation rates, interest rates, liquidity rates which are proxy by the finance to deposit ratio and profit sharing rates to the amount of mudharabah deposit at Bank Rakyat Indonesia Syariah in 2010-2014. This research applies quantitative method. The data has been done by using secondary data and time series which have been retrieved from the financial statement of Bank Rakyat Indonesia Syariah and the Financial Statistic of Bank Indonesia. The sample uses quarterly financial statement from 2010 to 2014. The regressions analysis has been done by using significance test of the influence of inflation rates, interest rates, liquidity rates which are proxy by the finance to deposit ratio and profit sharing rates partially to the mudharabah deposit. The result of this research gives prove that: (a) inflation rates does not have any influence to the amount of deposit mudharabah; (b) the interest rates has positive significant to the amount of deposit mudharabah of Bank Rakyat Indonesia Syariah because when the interest of conventional bank increase, the amount of deposit mudharabah do not experience dramatic changes because the customers still invest their fund at Bank Rakyat Indonesia Syariah; (c) finance to deposit ratio does not have any influence to the amount of mudharabah deposit; and (d) the rates of share profit does not have any influence to the amount of mudharabah deposit.","author":[{"dropping-particle":"Al","family":"Farizi","given":"Fauzan","non-dropping-particle":"","parse-names":false,"suffix":""},{"dropping-particle":"","family":"Riduwan","given":"Akhmad","non-dropping-particle":"","parse-names":false,"suffix":""}],"container-title":"Jurnal Ilmu dan Riset Akuntansi","id":"ITEM-1","issue":"4","issued":{"date-parts":[["2016"]]},"page":"1-16","title":"Pengaruh Inflasi, Suku Bunga, Likuiditas, Dan Bagi Hasil Terhadap Deposito Mudharabah","type":"article-journal","volume":"5"},"uris":["http://www.mendeley.com/documents/?uuid=6adda9a1-8edb-4631-9128-309d60777628"]}],"mendeley":{"formattedCitation":"Farizi and Riduwan, “Pengaruh Inflasi, Suku Bunga, Likuiditas, Dan Bagi Hasil Terhadap Deposito Mudharabah.”","plainTextFormattedCitation":"Farizi and Riduwan, “Pengaruh Inflasi, Suku Bunga, Likuiditas, Dan Bagi Hasil Terhadap Deposito Mudharabah.”","previouslyFormattedCitation":"Farizi and Riduwan, “Pengaruh Inflasi, Suku Bunga, Likuiditas, Dan Bagi Hasil Terhadap Deposito Mudharabah.”"},"properties":{"noteIndex":85},"schema":"https://github.com/citation-style-language/schema/raw/master/csl-citation.json"}</w:instrText>
      </w:r>
      <w:r w:rsidRPr="009E3DCE">
        <w:rPr>
          <w:rFonts w:asciiTheme="majorBidi" w:hAnsiTheme="majorBidi" w:cstheme="majorBidi"/>
          <w:lang w:val="sv-SE"/>
        </w:rPr>
        <w:fldChar w:fldCharType="separate"/>
      </w:r>
      <w:r w:rsidRPr="004D746D">
        <w:rPr>
          <w:rFonts w:asciiTheme="majorBidi" w:hAnsiTheme="majorBidi" w:cstheme="majorBidi"/>
          <w:noProof/>
          <w:lang w:val="en-US"/>
        </w:rPr>
        <w:t>Farizi and Riduwan, “Pengaruh Inflasi, Suku Bunga, Likuiditas, Dan Bagi Hasil Terhadap Deposito Mudharabah.”</w:t>
      </w:r>
      <w:r w:rsidRPr="009E3DCE">
        <w:rPr>
          <w:rFonts w:asciiTheme="majorBidi" w:hAnsiTheme="majorBidi" w:cstheme="majorBidi"/>
          <w:lang w:val="sv-SE"/>
        </w:rPr>
        <w:fldChar w:fldCharType="end"/>
      </w:r>
    </w:p>
  </w:footnote>
  <w:footnote w:id="86">
    <w:p w14:paraId="161254C8" w14:textId="5DA8EBBE" w:rsidR="008276DD" w:rsidRPr="009E3DCE" w:rsidRDefault="008276DD"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{"citationItems":[{"id":"ITEM-1","itemData":{"DOI":"10.24090/ej.v6i1.2045","ISSN":"2354-905X","abstract":"The purpose of this study is to examine the influence of interest rates, the level of profit sharing, liquidity, inflation, the size of the company, and the growth of gross domestic product simultaneously and partially on mudaraba deposits at Islamic Commercial Banking in Indonesia. This study conduct quantitative research with hypothesis testing on secondary data in term of time series on the quartely financial statements starting from the first quarter of 2011 to fourth quarter of 2014. The reserach sample is six Islamic Commercial Banking in Indonesia. The data analysis technique in this study are descriptive analysis, classical assumption test, multiple regression analysis, hypothesis test uses F test, and t test. The result showed that variable of interest rates, the level of profit sharing, liquidity, inflation, the size of the company, and the growth of gross domestic product simultaneously significant influence on mudaraba deposits at Islamic Commercial Banking in Indonesia. while partially variable of the level of profit sharing, and the size of the company positivelly significant influence on mudaraba deposits at Islamic Commercial Banking in Indonesia, but interest rates, liquidity, inflation, and the growth of gross domestic product does not  significant influence on mudaraba deposits at Islamic Commercial Banking in Indonesia.","author":[{"dropping-particle":"","family":"Sholikha","given":"Akhris Fuadatis","non-dropping-particle":"","parse-names":false,"suffix":""}],"container-title":"el-Jizya : Jurnal Ekonomi Islam","id":"ITEM-1","issue":"1","issued":{"date-parts":[["2018"]]},"page":"1-22","title":"Pengaruh Tingkat Suku Bunga, Tingkat Bagi Hasil, Likuiditas, Inflasi, Ukuran Bank, dan Pertumbuhan Produk Domestik Bruto terhadap Deposito Mudharabah Bank Umum Syariah di Indonesia","type":"article-journal","volume":"6"},"uris":["http://www.mendeley.com/documents/?uuid=0dcdaded-cd3a-4b49-977b-0cc477dc8e1c"]}],"mendeley":{"formattedCitation":"Sholikha, “Pengaruh Tingkat Suku Bunga, Tingkat Bagi Hasil, Likuiditas, Inflasi, Ukuran Bank, Dan Pertumbuhan Produk Domestik Bruto Terhadap Deposito Mudharabah Bank Umum Syariah Di Indonesia.”","plainTextFormattedCitation":"Sholikha, “Pengaruh Tingkat Suku Bunga, Tingkat Bagi Hasil, Likuiditas, Inflasi, Ukuran Bank, Dan Pertumbuhan Produk Domestik Bruto Terhadap Deposito Mudharabah Bank Umum Syariah Di Indonesia.”","previouslyFormattedCitation":"Sholikha, “Pengaruh Tingkat Suku Bunga, Tingkat Bagi Hasil, Likuiditas, Inflasi, Ukuran Bank, Dan Pertumbuhan Produk Domestik Bruto Terhadap Deposito Mudharabah Bank Umum Syariah Di Indonesia.”"},"properties":{"noteIndex":86},"schema":"https://github.com/citation-style-language/schema/raw/master/csl-citation.json"}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lang w:val="sv-SE"/>
        </w:rPr>
        <w:t>Sholikha, “Pengaruh Tingkat Suku Bunga, Tingkat Bagi Hasil, Likuiditas, Inflasi, Ukuran Bank, Dan Pertumbuhan Produk Domestik Bruto Terhadap Deposito Mudharabah Bank Umum Syariah Di Indonesia.”</w:t>
      </w:r>
      <w:r w:rsidRPr="009E3DCE">
        <w:rPr>
          <w:rFonts w:asciiTheme="majorBidi" w:hAnsiTheme="majorBidi" w:cstheme="majorBidi"/>
          <w:lang w:val="sv-SE"/>
        </w:rPr>
        <w:fldChar w:fldCharType="end"/>
      </w:r>
    </w:p>
  </w:footnote>
  <w:footnote w:id="87">
    <w:p w14:paraId="6943515B" w14:textId="04A4CD39" w:rsidR="00075226" w:rsidRPr="009E3DCE" w:rsidRDefault="00075226"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{"citationItems":[{"id":"ITEM-1","itemData":{"DOI":"10.47903/ji.v10i2.128","abstract":"This research aims to analyze the variable profit-sharing rate of mudharabah deposits, FDR, inflation rates, and GDP in influencing the number of mudharabah deposits at the Sharia People Financing Bank (BPRS) in Banten Province. The data used in this study are time-series data and cross-section (panel data) for the first quarter of 2015 to the fourth quarters of 2018. Meanwhile, the independent variable used is the profit-sharing rate of mudharabah deposits, FDR, interest rates, inflation, and products Gross Domestic and the dependent variable is the number of mudharabah deposits. The method used is a quantitative method of panel data with a fixed-effect model approach. The results showed that the rate of sharing of mudharabah deposits, FDR, interest rates, inflation, and GDP had a significant effect on the number of mudharabah deposits simultaneously. But partially, the profit-sharing rate of mudharabah deposits has a positive and significant effect on the number of mudharabah deposits. FDR, interest rates, and inflation have a negative and significant effect on the number of mudharabah deposits. while GDP has a negative and not significant effect on the number of mudharabah deposits.","author":[{"dropping-particle":"","family":"Mahaaba","given":"Shoona Kabila","non-dropping-particle":"","parse-names":false,"suffix":""}],"container-title":"Islaminomics: Journal of Islamic Economics, Business and Finance","id":"ITEM-1","issue":"2","issued":{"date-parts":[["2020"]]},"page":"104-129","title":"Analisis Pengaruh Tingkat Bagi Hasil Deposito Mudharabah, FDR, Suku Bunga, Inflasi, dan PDB terhadap Jumlah Deposito Mudharabah pada Bank Pembiayaan Rakyat Syari’ah (BPRS) di Provinsi Banten","type":"article-journal","volume":"10"},"uris":["http://www.mendeley.com/documents/?uuid=4748d2a0-f1f5-4884-9069-5deb0406bdb5"]}],"mendeley":{"formattedCitation":"Mahaaba, “Analisis Pengaruh Tingkat Bagi Hasil Deposito Mudharabah, FDR, Suku Bunga, Inflasi, Dan PDB Terhadap Jumlah Deposito Mudharabah Pada Bank Pembiayaan Rakyat Syari’ah (BPRS) Di Provinsi Banten.”","plainTextFormattedCitation":"Mahaaba, “Analisis Pengaruh Tingkat Bagi Hasil Deposito Mudharabah, FDR, Suku Bunga, Inflasi, Dan PDB Terhadap Jumlah Deposito Mudharabah Pada Bank Pembiayaan Rakyat Syari’ah (BPRS) Di Provinsi Banten.”","previouslyFormattedCitation":"Mahaaba, “Analisis Pengaruh Tingkat Bagi Hasil Deposito Mudharabah, FDR, Suku Bunga, Inflasi, Dan PDB Terhadap Jumlah Deposito Mudharabah Pada Bank Pembiayaan Rakyat Syari’ah (BPRS) Di Provinsi Banten.”"},"properties":{"noteIndex":87},"schema":"https://github.com/citation-style-language/schema/raw/master/csl-citation.json"}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lang w:val="sv-SE"/>
        </w:rPr>
        <w:t>Mahaaba, “Analisis Pengaruh Tingkat Bagi Hasil Deposito Mudharabah, FDR, Suku Bunga, Inflasi, Dan PDB Terhadap Jumlah Deposito Mudharabah Pada Bank Pembiayaan Rakyat Syari’ah (BPRS) Di Provinsi Banten.”</w:t>
      </w:r>
      <w:r w:rsidRPr="009E3DCE">
        <w:rPr>
          <w:rFonts w:asciiTheme="majorBidi" w:hAnsiTheme="majorBidi" w:cstheme="majorBidi"/>
          <w:lang w:val="sv-SE"/>
        </w:rPr>
        <w:fldChar w:fldCharType="end"/>
      </w:r>
    </w:p>
  </w:footnote>
  <w:footnote w:id="88">
    <w:p w14:paraId="3BE0002C" w14:textId="62D244A6" w:rsidR="008276DD" w:rsidRPr="009E3DCE" w:rsidRDefault="008276DD"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author":[{"dropping-particle":"","family":"Piuspitaningrum","given":"Rani","non-dropping-particle":"","parse-names":false,"suffix":""},{"dropping-particle":"","family":"Falahuddin","given":"","non-dropping-particle":"","parse-names":false,"suffix":""},{"dropping-particle":"","family":"Husna","given":"Nurul","non-dropping-particle":"","parse-names":false,"suffix":""}],"id":"ITEM-1","issue":"1","issued":{"date-parts":[["2021"]]},"page":"58-71","title":"Analisis Pengaruh Tingkat Bagi Hasil, Inflasi, Dan Likuiditas Terhadap Deposito Mudharabah Pada Bank Umum Syariah Indonesia (Periode 2015-2019)","type":"article-journal","volume":"4"},"uris":["http://www.mendeley.com/documents/?uuid=3f00f5df-640d-4de6-93af-0386000afed1"]}],"mendeley":{"formattedCitation":"Piuspitaningrum, Falahuddin, and Husna, “Analisis Pengaruh Tingkat Bagi Hasil, Inflasi, Dan Likuiditas Terhadap Deposito Mudharabah Pada Bank Umum Syariah Indonesia (Periode 2015-2019).”","plainTextFormattedCitation":"Piuspitaningrum, Falahuddin, and Husna, “Analisis Pengaruh Tingkat Bagi Hasil, Inflasi, Dan Likuiditas Terhadap Deposito Mudharabah Pada Bank Umum Syariah Indonesia (Periode 2015-2019).”","previouslyFormattedCitation":"Piuspitaningrum, Falahuddin, and Husna, “Analisis Pengaruh Tingkat Bagi Hasil, Inflasi, Dan Likuiditas Terhadap Deposito Mudharabah Pada Bank Umum Syariah Indonesia (Periode 2015-2019).”"},"properties":{"noteIndex":88},"schema":"https://github.com/citation-style-language/schema/raw/master/csl-citation.json"}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lang w:val="sv-SE"/>
        </w:rPr>
        <w:t>Piuspitaningrum, Falahuddin, and Husna, “Analisis Pengaruh Tingkat Bagi Hasil, Inflasi, Dan Likuiditas Terhadap Deposito Mudharabah Pada Bank Umum Syariah Indonesia (Periode 2015-2019).”</w:t>
      </w:r>
      <w:r w:rsidRPr="009E3DCE">
        <w:rPr>
          <w:rFonts w:asciiTheme="majorBidi" w:hAnsiTheme="majorBidi" w:cstheme="majorBidi"/>
          <w:lang w:val="sv-SE"/>
        </w:rPr>
        <w:fldChar w:fldCharType="end"/>
      </w:r>
    </w:p>
  </w:footnote>
  <w:footnote w:id="89">
    <w:p w14:paraId="72DBA4BE" w14:textId="565249BD" w:rsidR="006F6C68" w:rsidRPr="009E3DCE" w:rsidRDefault="006F6C68"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{"citationItems":[{"id":"ITEM-1","itemData":{"DOI":"10.22219/jes.v4i1.8752","ISSN":"2502-3918","abstract":"This study aims to determine the factors affect the amount of mudharaba deposits in Sharia Commercial Banks period 2014-2017. Factors affecting mudharaba deposits are used in this study which profit sharing rate, liquidity level measured by financing to deposit ratio, and inflation rate. The method used in this research is quantitative descriptive. The data used are secondary time series for the period of January 2014-December 2017 which has been published by the website of Bank Indonesia and Otoritas Jasa Keuangan (OJK). The method of analysis used is multiple linear regression. The results of this study indicate that the profit sharing rate, financing to deposit ratio and inflation rate significantly influence the number of mudharaba deposit accumulation. Variable of profit sharing rate have a positive relation to mudharaba deposit. However, the variable of financing to deposit ratio and inflation rate have a negative relation to mudharaba deposit.","author":[{"dropping-particle":"","family":"Febriani","given":"Firda Izzati","non-dropping-particle":"","parse-names":false,"suffix":""}],"container-title":"Falah: Jurnal Ekonomi Syariah","id":"ITEM-1","issue":"1","issued":{"date-parts":[["2019"]]},"page":"108","title":"Pengaruh Tingkat Bagi Hasil, Financing to Deposit Ratio (FDR) Dan Tingkat Inflasi Terhadap Deposito Mudharabah Pada Bank Umum Syariah (BUS) Periode 2014 – 2017","type":"article-journal","volume":"4"},"uris":["http://www.mendeley.com/documents/?uuid=42c62c87-a0e6-4191-88ce-e93bd9aea831"]}],"mendeley":{"formattedCitation":"Febriani, “Pengaruh Tingkat Bagi Hasil, Financing to Deposit Ratio (FDR) Dan Tingkat Inflasi Terhadap Deposito Mudharabah Pada Bank Umum Syariah (BUS) Periode 2014 – 2017.”","plainTextFormattedCitation":"Febriani, “Pengaruh Tingkat Bagi Hasil, Financing to Deposit Ratio (FDR) Dan Tingkat Inflasi Terhadap Deposito Mudharabah Pada Bank Umum Syariah (BUS) Periode 2014 – 2017.”","previouslyFormattedCitation":"Febriani, “Pengaruh Tingkat Bagi Hasil, Financing to Deposit Ratio (FDR) Dan Tingkat Inflasi Terhadap Deposito Mudharabah Pada Bank Umum Syariah (BUS) Periode 2014 – 2017.”"},"properties":{"noteIndex":89},"schema":"https://github.com/citation-style-language/schema/raw/master/csl-citation.json"}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lang w:val="sv-SE"/>
        </w:rPr>
        <w:t>Febriani, “Pengaruh Tingkat Bagi Hasil, Financing to Deposit Ratio (FDR) Dan Tingkat Inflasi Terhadap Deposito Mudharabah Pada Bank Umum Syariah (BUS) Periode 2014 – 2017.”</w:t>
      </w:r>
      <w:r w:rsidRPr="009E3DCE">
        <w:rPr>
          <w:rFonts w:asciiTheme="majorBidi" w:hAnsiTheme="majorBidi" w:cstheme="majorBidi"/>
          <w:lang w:val="sv-SE"/>
        </w:rPr>
        <w:fldChar w:fldCharType="end"/>
      </w:r>
    </w:p>
  </w:footnote>
  <w:footnote w:id="90">
    <w:p w14:paraId="4CBEB37E" w14:textId="592DAF3C" w:rsidR="008276DD" w:rsidRPr="009E3DCE" w:rsidRDefault="008276DD"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{"citationItems":[{"id":"ITEM-1","itemData":{"DOI":"10.46367/jas.v6i1.505","ISSN":"25493086","abstract":"This study aims to show the effect of profit-sharing, promotion costs, operational efficiency, and company size on the number of mudharabah deposits. This study includes quantitative using secondary data from Islamic commercial banks (ICB). The population of this study is ICB registered with the financial services authority (FSA) in 2015-2020. The sample selection used the purposive sampling technique. The sample was obtained from as many as 8 ICB for six years, so the total data was 48. The data analysis method used multiple linear regression with the help of e-views software. The results showed that profit sharing and company size positively and significantly affected the number of mudharabah deposits. Promotion costs and operational efficiency do not affect the number of mudharabah deposits. Simultaneously profit-sharing, promotion costs, operational efficiency, and company size affect the number of mudharabah deposits. This study can be a reference for ICB management in improving its performance, especially in enlarging ICB. Then increase the profit-sharing customers receive, so customers are more interested in depositing their funds in the ICB.","author":[{"dropping-particle":"","family":"Sifki","given":"Nurhidayatus","non-dropping-particle":"","parse-names":false,"suffix":""},{"dropping-particle":"","family":"Dalimunthe","given":"Ibram Pinondang","non-dropping-particle":"","parse-names":false,"suffix":""}],"container-title":"JAS (Jurnal Akuntansi Syariah)","id":"ITEM-1","issue":"1","issued":{"date-parts":[["2022"]]},"page":"28-44","title":"Pengaruh Bagi Hasil, Biaya Promosi, Efisiensi Operasional Dan Ukuran Perusahaan Terhadap Jumlah Deposito Mudharabah","type":"article-journal","volume":"6"},"uris":["http://www.mendeley.com/documents/?uuid=5cc90624-910f-4d2a-9818-47738b9ec39a"]}],"mendeley":{"formattedCitation":"Sifki and Dalimunthe, “Pengaruh Bagi Hasil, Biaya Promosi, Efisiensi Operasional Dan Ukuran Perusahaan Terhadap Jumlah Deposito Mudharabah.”","plainTextFormattedCitation":"Sifki and Dalimunthe, “Pengaruh Bagi Hasil, Biaya Promosi, Efisiensi Operasional Dan Ukuran Perusahaan Terhadap Jumlah Deposito Mudharabah.”","previouslyFormattedCitation":"Sifki and Dalimunthe, “Pengaruh Bagi Hasil, Biaya Promosi, Efisiensi Operasional Dan Ukuran Perusahaan Terhadap Jumlah Deposito Mudharabah.”"},"properties":{"noteIndex":90},"schema":"https://github.com/citation-style-language/schema/raw/master/csl-citation.json"}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lang w:val="sv-SE"/>
        </w:rPr>
        <w:t>Sifki and Dalimunthe, “Pengaruh Bagi Hasil, Biaya Promosi, Efisiensi Operasional Dan Ukuran Perusahaan Terhadap Jumlah Deposito Mudharabah.”</w:t>
      </w:r>
      <w:r w:rsidRPr="009E3DCE">
        <w:rPr>
          <w:rFonts w:asciiTheme="majorBidi" w:hAnsiTheme="majorBidi" w:cstheme="majorBidi"/>
        </w:rPr>
        <w:fldChar w:fldCharType="end"/>
      </w:r>
    </w:p>
  </w:footnote>
  <w:footnote w:id="91">
    <w:p w14:paraId="3F256FA5" w14:textId="12766C11" w:rsidR="008276DD" w:rsidRPr="009E3DCE" w:rsidRDefault="008276DD"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{"citationItems":[{"id":"ITEM-1","itemData":{"abstract":"The purpose of this research is to test the influence of interest rate and nisbah of profit sharing to the mudharabah saving deposit at Bank BRI Syariah. The independent variables are the interest rate and the nisbah of profit sharing and whereas the dependent variable is the mudharabah saving deposit. The sample is Bank BRI Syariah and the observation data are 20 observations from January 2009 to September 2015. The data has been obtained from three quarter statements of Bank BRI Syariah through Indonesia Stock Exchange and Financial Statistics of Bank Indonesia. This research uses correlational research with quantitative approach. The analysis method has been done by using multiple linear regressions.The result of the research shows that (a) the interest rate does not have any influence to the mudharabah saving deposit at Bank BRI Syariah, which means that changes in interest rates do not affect mudharabah saving deposits at Bank BRI Syariah due to the fact that there is a belief that bank interest is contradicted to the religion and (b) the nisbah of profit sharing shows positive influence to the mudharabah saving deposit at Bank BRI Syariah which means that when the nisbah of profit sharing that has been given by Bank BRI Syariah to the bank customers is increasing, it will enhance the amount of mudharabah saving deposit.","author":[{"dropping-particle":"","family":"Alinda","given":"Rika Putri Nur","non-dropping-particle":"","parse-names":false,"suffix":""},{"dropping-particle":"","family":"Riduwan","given":"Akmad","non-dropping-particle":"","parse-names":false,"suffix":""}],"id":"ITEM-1","issued":{"date-parts":[["2016"]]},"page":"1-15","title":"Pengaruh Tingkat Suku Bunga Bank Dan Nisbah Bagi Hasil Pada Deposito Mudharabah","type":"article-journal","volume":"5"},"uris":["http://www.mendeley.com/documents/?uuid=ce470f6f-2d54-4aff-bcfb-6181e2e9ffe2"]}],"mendeley":{"formattedCitation":"Alinda and Riduwan, “Pengaruh Tingkat Suku Bunga Bank Dan Nisbah Bagi Hasil Pada Deposito Mudharabah.”","plainTextFormattedCitation":"Alinda and Riduwan, “Pengaruh Tingkat Suku Bunga Bank Dan Nisbah Bagi Hasil Pada Deposito Mudharabah.”","previouslyFormattedCitation":"Alinda and Riduwan, “Pengaruh Tingkat Suku Bunga Bank Dan Nisbah Bagi Hasil Pada Deposito Mudharabah.”"},"properties":{"noteIndex":91},"schema":"https://github.com/citation-style-language/schema/raw/master/csl-citation.json"}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lang w:val="sv-SE"/>
        </w:rPr>
        <w:t>Alinda and Riduwan, “Pengaruh Tingkat Suku Bunga Bank Dan Nisbah Bagi Hasil Pada Deposito Mudharabah.”</w:t>
      </w:r>
      <w:r w:rsidRPr="009E3DCE">
        <w:rPr>
          <w:rFonts w:asciiTheme="majorBidi" w:hAnsiTheme="majorBidi" w:cstheme="majorBidi"/>
          <w:lang w:val="sv-SE"/>
        </w:rPr>
        <w:fldChar w:fldCharType="end"/>
      </w:r>
    </w:p>
  </w:footnote>
  <w:footnote w:id="92">
    <w:p w14:paraId="7BF4919B" w14:textId="305FDA62" w:rsidR="008276DD" w:rsidRPr="009E3DCE" w:rsidRDefault="008276DD"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{"citationItems":[{"id":"ITEM-1","itemData":{"ISSN":"2621-7465","abstract":"… UMKM yang sejalan dengan penguatan industri halal, … potensi pengembangan industri halal di Indonesia melalui … penyusunan strategi pengembangan industri halal melalui …","author":[{"dropping-particle":"","family":"Wulandari","given":"Puput","non-dropping-particle":"","parse-names":false,"suffix":""}],"container-title":"Jurnal Tabarru’ : Islamic Banking and Finance","id":"ITEM-1","issue":"November","issued":{"date-parts":[["2023"]]},"page":"388","title":"Ekosistem Perbankan Syariah dalam Mendukung Indonesia Menjadi Trend Setter Industri Halal","type":"article-journal","volume":"6"},"uris":["http://www.mendeley.com/documents/?uuid=1c8e11e6-e61a-4ce8-8be8-9dda373349fe"]}],"mendeley":{"formattedCitation":"Puput Wulandari, “Ekosistem Perbankan Syariah Dalam Mendukung Indonesia Menjadi Trend Setter Industri Halal,” &lt;i&gt;Jurnal Tabarru’ : Islamic Banking and Finance&lt;/i&gt; 6, no. November (2023): 388.","plainTextFormattedCitation":"Puput Wulandari, “Ekosistem Perbankan Syariah Dalam Mendukung Indonesia Menjadi Trend Setter Industri Halal,” Jurnal Tabarru’ : Islamic Banking and Finance 6, no. November (2023): 388.","previouslyFormattedCitation":"Puput Wulandari, “Ekosistem Perbankan Syariah Dalam Mendukung Indonesia Menjadi Trend Setter Industri Halal,” &lt;i&gt;Jurnal Tabarru’ : Islamic Banking and Finance&lt;/i&gt; 6, no. November (2023): 388."},"properties":{"noteIndex":92},"schema":"https://github.com/citation-style-language/schema/raw/master/csl-citation.json"}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lang w:val="sv-SE"/>
        </w:rPr>
        <w:t xml:space="preserve">Puput Wulandari, “Ekosistem Perbankan Syariah Dalam Mendukung Indonesia Menjadi Trend Setter Industri Halal,” </w:t>
      </w:r>
      <w:r w:rsidRPr="009E3DCE">
        <w:rPr>
          <w:rFonts w:asciiTheme="majorBidi" w:hAnsiTheme="majorBidi" w:cstheme="majorBidi"/>
          <w:i/>
          <w:noProof/>
          <w:lang w:val="sv-SE"/>
        </w:rPr>
        <w:t>Jurnal Tabarru’ : Islamic Banking and Finance</w:t>
      </w:r>
      <w:r w:rsidRPr="009E3DCE">
        <w:rPr>
          <w:rFonts w:asciiTheme="majorBidi" w:hAnsiTheme="majorBidi" w:cstheme="majorBidi"/>
          <w:noProof/>
          <w:lang w:val="sv-SE"/>
        </w:rPr>
        <w:t xml:space="preserve"> 6, no. November (2023): 388.</w:t>
      </w:r>
      <w:r w:rsidRPr="009E3DCE">
        <w:rPr>
          <w:rFonts w:asciiTheme="majorBidi" w:hAnsiTheme="majorBidi" w:cstheme="majorBidi"/>
          <w:lang w:val="sv-SE"/>
        </w:rPr>
        <w:fldChar w:fldCharType="end"/>
      </w:r>
    </w:p>
  </w:footnote>
  <w:footnote w:id="93">
    <w:p w14:paraId="7E9A50F8" w14:textId="0B8F79C5" w:rsidR="00942114" w:rsidRPr="009E3DCE" w:rsidRDefault="00942114"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{"citationItems":[{"id":"ITEM-1","itemData":{"abstract":"This research is meant to test the influence of inflation rates, interest rates, liquidity rates which are proxy by the finance to deposit ratio and profit sharing rates to the amount of mudharabah deposit at Bank Rakyat Indonesia Syariah in 2010-2014. This research applies quantitative method. The data has been done by using secondary data and time series which have been retrieved from the financial statement of Bank Rakyat Indonesia Syariah and the Financial Statistic of Bank Indonesia. The sample uses quarterly financial statement from 2010 to 2014. The regressions analysis has been done by using significance test of the influence of inflation rates, interest rates, liquidity rates which are proxy by the finance to deposit ratio and profit sharing rates partially to the mudharabah deposit. The result of this research gives prove that: (a) inflation rates does not have any influence to the amount of deposit mudharabah; (b) the interest rates has positive significant to the amount of deposit mudharabah of Bank Rakyat Indonesia Syariah because when the interest of conventional bank increase, the amount of deposit mudharabah do not experience dramatic changes because the customers still invest their fund at Bank Rakyat Indonesia Syariah; (c) finance to deposit ratio does not have any influence to the amount of mudharabah deposit; and (d) the rates of share profit does not have any influence to the amount of mudharabah deposit.","author":[{"dropping-particle":"Al","family":"Farizi","given":"Fauzan","non-dropping-particle":"","parse-names":false,"suffix":""},{"dropping-particle":"","family":"Riduwan","given":"Akhmad","non-dropping-particle":"","parse-names":false,"suffix":""}],"container-title":"Jurnal Ilmu dan Riset Akuntansi","id":"ITEM-1","issue":"4","issued":{"date-parts":[["2016"]]},"page":"1-16","title":"Pengaruh Inflasi, Suku Bunga, Likuiditas, Dan Bagi Hasil Terhadap Deposito Mudharabah","type":"article-journal","volume":"5"},"uris":["http://www.mendeley.com/documents/?uuid=6adda9a1-8edb-4631-9128-309d60777628"]}],"mendeley":{"formattedCitation":"Farizi and Riduwan, “Pengaruh Inflasi, Suku Bunga, Likuiditas, Dan Bagi Hasil Terhadap Deposito Mudharabah.”","plainTextFormattedCitation":"Farizi and Riduwan, “Pengaruh Inflasi, Suku Bunga, Likuiditas, Dan Bagi Hasil Terhadap Deposito Mudharabah.”","previouslyFormattedCitation":"Farizi and Riduwan, “Pengaruh Inflasi, Suku Bunga, Likuiditas, Dan Bagi Hasil Terhadap Deposito Mudharabah.”"},"properties":{"noteIndex":93},"schema":"https://github.com/citation-style-language/schema/raw/master/csl-citation.json"}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lang w:val="sv-SE"/>
        </w:rPr>
        <w:t>Farizi and Riduwan, “Pengaruh Inflasi, Suku Bunga, Likuiditas, Dan Bagi Hasil Terhadap Deposito Mudharabah.”</w:t>
      </w:r>
      <w:r w:rsidRPr="009E3DCE">
        <w:rPr>
          <w:rFonts w:asciiTheme="majorBidi" w:hAnsiTheme="majorBidi" w:cstheme="majorBidi"/>
        </w:rPr>
        <w:fldChar w:fldCharType="end"/>
      </w:r>
    </w:p>
  </w:footnote>
  <w:footnote w:id="94">
    <w:p w14:paraId="6A192E8B" w14:textId="64FFA521" w:rsidR="00942114" w:rsidRPr="009E3DCE" w:rsidRDefault="00942114"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{"citationItems":[{"id":"ITEM-1","itemData":{"abstract":"Judul penelitian ini ialah pengaruh bagi hasil terhadap jumlah dana deposito mudharabah pada PT Bank BNI Syariah periode 2017-2019. Tujuan penelitian ini yaitu untuk mengetahui pengaruh bagi hasil terhadap jumlah dana deposito mudharabah pada PT Bank BNI Syariah periode 2017-2019. Data penelitian ini adalah data sekunder yang dikumpulkan dengan teknik dokumentasi. Teknik pengolahan data yang digunakan adalah regresi linier sederhana, koefisien korelasi, koefisien determinasi dan uji t. Hasil penelitian menunjukkan bahwa bagi hasil memiliki pengaruh yang sangat rendah dan tidak signifikan terhadap jumlah dana deposito mudharabah pada PT Bank BNI Syariah periode 2017-2019.","author":[{"dropping-particle":"","family":"Lubis","given":"Anggi Adelia Firdaus","non-dropping-particle":"","parse-names":false,"suffix":""},{"dropping-particle":"","family":"Zuhirsyan","given":"Muhammad","non-dropping-particle":"","parse-names":false,"suffix":""},{"dropping-particle":"","family":"Asmalidar","given":"","non-dropping-particle":"","parse-names":false,"suffix":""}],"container-title":"Jurnal Bilal (Bisnis Ekonomi Halal)","id":"ITEM-1","issue":"1","issued":{"date-parts":[["2020"]]},"page":"1-13","title":"Pengaruh Bagi Hasil Terhadap Jumlah Dana Deposito Mudharabah Pada Bank Syariah Periode 2017-2019","type":"article-journal","volume":"1"},"uris":["http://www.mendeley.com/documents/?uuid=58af2fb5-d9e2-4f81-8f13-d3fc1b2453dc"]}],"mendeley":{"formattedCitation":"Lubis, Zuhirsyan, and Asmalidar, “Pengaruh Bagi Hasil Terhadap Jumlah Dana Deposito Mudharabah Pada Bank Syariah Periode 2017-2019.”","plainTextFormattedCitation":"Lubis, Zuhirsyan, and Asmalidar, “Pengaruh Bagi Hasil Terhadap Jumlah Dana Deposito Mudharabah Pada Bank Syariah Periode 2017-2019.”","previouslyFormattedCitation":"Lubis, Zuhirsyan, and Asmalidar, “Pengaruh Bagi Hasil Terhadap Jumlah Dana Deposito Mudharabah Pada Bank Syariah Periode 2017-2019.”"},"properties":{"noteIndex":94},"schema":"https://github.com/citation-style-language/schema/raw/master/csl-citation.json"}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lang w:val="sv-SE"/>
        </w:rPr>
        <w:t>Lubis, Zuhirsyan, and Asmalidar, “Pengaruh Bagi Hasil Terhadap Jumlah Dana Deposito Mudharabah Pada Bank Syariah Periode 2017-2019.”</w:t>
      </w:r>
      <w:r w:rsidRPr="009E3DCE">
        <w:rPr>
          <w:rFonts w:asciiTheme="majorBidi" w:hAnsiTheme="majorBidi" w:cstheme="majorBidi"/>
        </w:rPr>
        <w:fldChar w:fldCharType="end"/>
      </w:r>
    </w:p>
  </w:footnote>
  <w:footnote w:id="95">
    <w:p w14:paraId="064E3A0D" w14:textId="5C9C30F8" w:rsidR="00933244" w:rsidRPr="009E3DCE" w:rsidRDefault="00933244"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008D28D9" w:rsidRPr="009E3DCE">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{"citationItems":[{"id":"ITEM-1","itemData":{"author":[{"dropping-particle":"","family":"Jaya","given":"I Made Laut Mertha","non-dropping-particle":"","parse-names":false,"suffix":""}],"id":"ITEM-1","issued":{"date-parts":[["2020"]]},"publisher":"Anak Hebat Indonesia","publisher-place":"Yogyakarta","title":"Metode Penelitian Kuantitatif dan Kualitatif","type":"book"},"uris":["http://www.mendeley.com/documents/?uuid=e358f0af-97a1-4cae-a4d8-edafc7d54cf2"]}],"mendeley":{"formattedCitation":"I Made Laut Mertha Jaya, &lt;i&gt;Metode Penelitian Kuantitatif Dan Kualitatif&lt;/i&gt; (Yogyakarta: Anak Hebat Indonesia, 2020), https://www.google.co.id/books/edition/Metode_Penelitian_Kuantitatif_dan_Kualit/yz8KEAAAQBAJ?hl=id&amp;gbpv=1&amp;dq=penelitian kuantitatif&amp;pg=PR2&amp;printsec=frontcover.","plainTextFormattedCitation":"I Made Laut Mertha Jaya, Metode Penelitian Kuantitatif Dan Kualitatif (Yogyakarta: Anak Hebat Indonesia, 2020), https://www.google.co.id/books/edition/Metode_Penelitian_Kuantitatif_dan_Kualit/yz8KEAAAQBAJ?hl=id&amp;gbpv=1&amp;dq=penelitian kuantitatif&amp;pg=PR2&amp;printsec=frontcover.","previouslyFormattedCitation":"I Made Laut Mertha Jaya, &lt;i&gt;Metode Penelitian Kuantitatif Dan Kualitatif&lt;/i&gt; (Yogyakarta: Anak Hebat Indonesia, 2020), https://www.google.co.id/books/edition/Metode_Penelitian_Kuantitatif_dan_Kualit/yz8KEAAAQBAJ?hl=id&amp;gbpv=1&amp;dq=penelitian kuantitatif&amp;pg=PR2&amp;printsec=frontcover."},"properties":{"noteIndex":95},"schema":"https://github.com/citation-style-language/schema/raw/master/csl-citation.json"}</w:instrText>
      </w:r>
      <w:r w:rsidR="008D28D9" w:rsidRPr="009E3DCE">
        <w:rPr>
          <w:rFonts w:asciiTheme="majorBidi" w:hAnsiTheme="majorBidi" w:cstheme="majorBidi"/>
        </w:rPr>
        <w:fldChar w:fldCharType="separate"/>
      </w:r>
      <w:r w:rsidR="008D28D9" w:rsidRPr="009E3DCE">
        <w:rPr>
          <w:rFonts w:asciiTheme="majorBidi" w:hAnsiTheme="majorBidi" w:cstheme="majorBidi"/>
          <w:noProof/>
          <w:lang w:val="sv-SE"/>
        </w:rPr>
        <w:t xml:space="preserve">I Made Laut Mertha Jaya, </w:t>
      </w:r>
      <w:r w:rsidR="008D28D9" w:rsidRPr="009E3DCE">
        <w:rPr>
          <w:rFonts w:asciiTheme="majorBidi" w:hAnsiTheme="majorBidi" w:cstheme="majorBidi"/>
          <w:i/>
          <w:noProof/>
          <w:lang w:val="sv-SE"/>
        </w:rPr>
        <w:t>Metode Penelitian Kuantitatif Dan Kualitatif</w:t>
      </w:r>
      <w:r w:rsidR="008D28D9" w:rsidRPr="009E3DCE">
        <w:rPr>
          <w:rFonts w:asciiTheme="majorBidi" w:hAnsiTheme="majorBidi" w:cstheme="majorBidi"/>
          <w:noProof/>
          <w:lang w:val="sv-SE"/>
        </w:rPr>
        <w:t xml:space="preserve"> (Yogyakarta: Anak Hebat Indonesia, 2020), https://www.google.co.id/books/edition/Metode_Penelitian_Kuantitatif_dan_Kualit/yz8KEAAA</w:t>
      </w:r>
      <w:r w:rsidR="007F1C3F">
        <w:rPr>
          <w:rFonts w:asciiTheme="majorBidi" w:hAnsiTheme="majorBidi" w:cstheme="majorBidi"/>
          <w:noProof/>
          <w:lang w:val="sv-SE"/>
        </w:rPr>
        <w:t xml:space="preserve"> </w:t>
      </w:r>
      <w:r w:rsidR="008D28D9" w:rsidRPr="009E3DCE">
        <w:rPr>
          <w:rFonts w:asciiTheme="majorBidi" w:hAnsiTheme="majorBidi" w:cstheme="majorBidi"/>
          <w:noProof/>
          <w:lang w:val="sv-SE"/>
        </w:rPr>
        <w:t>QBAJ?hl=id&amp;gbpv=1&amp;dq=penelitian kuantitatif&amp;pg=PR2&amp;printsec=frontcover.</w:t>
      </w:r>
      <w:r w:rsidR="008D28D9" w:rsidRPr="009E3DCE">
        <w:rPr>
          <w:rFonts w:asciiTheme="majorBidi" w:hAnsiTheme="majorBidi" w:cstheme="majorBidi"/>
        </w:rPr>
        <w:fldChar w:fldCharType="end"/>
      </w:r>
      <w:r w:rsidR="008D28D9" w:rsidRPr="009E3DCE">
        <w:rPr>
          <w:rFonts w:asciiTheme="majorBidi" w:hAnsiTheme="majorBidi" w:cstheme="majorBidi"/>
          <w:lang w:val="sv-SE"/>
        </w:rPr>
        <w:t xml:space="preserve"> Hal.12</w:t>
      </w:r>
    </w:p>
  </w:footnote>
  <w:footnote w:id="96">
    <w:p w14:paraId="307C90A7" w14:textId="23E6A330" w:rsidR="00BF77EF" w:rsidRPr="009E3DCE" w:rsidRDefault="00BF77EF"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lang w:val="sv-SE"/>
        </w:rPr>
        <w:t xml:space="preserve"> </w:t>
      </w:r>
      <w:r w:rsidR="00CA5095" w:rsidRPr="009E3DCE">
        <w:rPr>
          <w:rFonts w:asciiTheme="majorBidi" w:hAnsiTheme="majorBidi" w:cstheme="majorBidi"/>
          <w:lang w:val="sv-SE"/>
        </w:rPr>
        <w:fldChar w:fldCharType="begin" w:fldLock="1"/>
      </w:r>
      <w:r w:rsidR="00E47DAC">
        <w:rPr>
          <w:rFonts w:asciiTheme="majorBidi" w:hAnsiTheme="majorBidi" w:cstheme="majorBidi"/>
          <w:lang w:val="sv-SE"/>
        </w:rPr>
        <w:instrText>ADDIN CSL_CITATION {"citationItems":[{"id":"ITEM-1","itemData":{"ISBN":"9786233626347","abstract":"Persepsi adalah suatu proses pengenalan atau identifikasi sesuatu dengan menggunakan panca indera (Drever, 2010). persepsi merupakan inti komunikasi. Persepsi memiliki peran yang sangat penting dalam keberhasilan komunikasi. Artinya, kecermatan dalam mempersepsikan stimuli inderawi mengantarkan kepada keberhasilan komunikasi. Sebaliknya, kegagalan dalam mempersepsi stimulus, menyebabkan mis-komunikasi (Suranto, 2011)","author":[{"dropping-particle":"","family":"Asiva Noor Rachmayani","given":"","non-dropping-particle":"","parse-names":false,"suffix":""}],"id":"ITEM-1","issued":{"date-parts":[["2015"]]},"number-of-pages":"6","title":"Metodologi Penelitian Kuantitatif Dan Kualitatif","type":"book"},"uris":["http://www.mendeley.com/documents/?uuid=c7e511c1-3ca1-4100-9962-4261b7fa3ce2"]}],"mendeley":{"formattedCitation":"Asiva Noor Rachmayani, &lt;i&gt;Metodologi Penelitian Kuantitatif Dan Kualitatif&lt;/i&gt;, 2015.","plainTextFormattedCitation":"Asiva Noor Rachmayani, Metodologi Penelitian Kuantitatif Dan Kualitatif, 2015.","previouslyFormattedCitation":"Asiva Noor Rachmayani, &lt;i&gt;Metodologi Penelitian Kuantitatif Dan Kualitatif&lt;/i&gt;, 2015."},"properties":{"noteIndex":96},"schema":"https://github.com/citation-style-language/schema/raw/master/csl-citation.json"}</w:instrText>
      </w:r>
      <w:r w:rsidR="00CA5095" w:rsidRPr="009E3DCE">
        <w:rPr>
          <w:rFonts w:asciiTheme="majorBidi" w:hAnsiTheme="majorBidi" w:cstheme="majorBidi"/>
          <w:lang w:val="sv-SE"/>
        </w:rPr>
        <w:fldChar w:fldCharType="separate"/>
      </w:r>
      <w:r w:rsidR="00CA5095" w:rsidRPr="009E3DCE">
        <w:rPr>
          <w:rFonts w:asciiTheme="majorBidi" w:hAnsiTheme="majorBidi" w:cstheme="majorBidi"/>
          <w:noProof/>
          <w:lang w:val="sv-SE"/>
        </w:rPr>
        <w:t xml:space="preserve">Asiva Noor Rachmayani, </w:t>
      </w:r>
      <w:r w:rsidR="00CA5095" w:rsidRPr="009E3DCE">
        <w:rPr>
          <w:rFonts w:asciiTheme="majorBidi" w:hAnsiTheme="majorBidi" w:cstheme="majorBidi"/>
          <w:i/>
          <w:noProof/>
          <w:lang w:val="sv-SE"/>
        </w:rPr>
        <w:t>Metodologi Penelitian Kuantitatif Dan Kualitatif</w:t>
      </w:r>
      <w:r w:rsidR="00CA5095" w:rsidRPr="009E3DCE">
        <w:rPr>
          <w:rFonts w:asciiTheme="majorBidi" w:hAnsiTheme="majorBidi" w:cstheme="majorBidi"/>
          <w:noProof/>
          <w:lang w:val="sv-SE"/>
        </w:rPr>
        <w:t>, 2015.</w:t>
      </w:r>
      <w:r w:rsidR="00CA5095" w:rsidRPr="009E3DCE">
        <w:rPr>
          <w:rFonts w:asciiTheme="majorBidi" w:hAnsiTheme="majorBidi" w:cstheme="majorBidi"/>
          <w:lang w:val="sv-SE"/>
        </w:rPr>
        <w:fldChar w:fldCharType="end"/>
      </w:r>
      <w:r w:rsidRPr="009E3DCE">
        <w:rPr>
          <w:rFonts w:asciiTheme="majorBidi" w:hAnsiTheme="majorBidi" w:cstheme="majorBidi"/>
          <w:lang w:val="sv-SE"/>
        </w:rPr>
        <w:t xml:space="preserve"> Hal.5</w:t>
      </w:r>
    </w:p>
  </w:footnote>
  <w:footnote w:id="97">
    <w:p w14:paraId="738567E9" w14:textId="2CD17C51" w:rsidR="000909DA" w:rsidRPr="00685810" w:rsidRDefault="000909DA" w:rsidP="00054979">
      <w:pPr>
        <w:pStyle w:val="FootnoteText"/>
        <w:ind w:firstLine="720"/>
        <w:jc w:val="both"/>
        <w:rPr>
          <w:rFonts w:asciiTheme="majorBidi" w:hAnsiTheme="majorBidi" w:cstheme="majorBidi"/>
          <w:lang w:val="en-US"/>
        </w:rPr>
      </w:pPr>
      <w:r w:rsidRPr="00685810">
        <w:rPr>
          <w:rStyle w:val="FootnoteReference"/>
          <w:rFonts w:asciiTheme="majorBidi" w:hAnsiTheme="majorBidi" w:cstheme="majorBidi"/>
        </w:rPr>
        <w:footnoteRef/>
      </w:r>
      <w:r w:rsidRPr="00685810">
        <w:rPr>
          <w:rFonts w:asciiTheme="majorBidi" w:hAnsiTheme="majorBidi" w:cstheme="majorBidi"/>
          <w:lang w:val="sv-SE"/>
        </w:rPr>
        <w:t xml:space="preserve"> </w:t>
      </w:r>
      <w:r w:rsidRPr="00685810">
        <w:rPr>
          <w:rFonts w:asciiTheme="majorBidi" w:hAnsiTheme="majorBidi" w:cstheme="majorBidi"/>
        </w:rPr>
        <w:fldChar w:fldCharType="begin" w:fldLock="1"/>
      </w:r>
      <w:r w:rsidR="00E47DAC">
        <w:rPr>
          <w:rFonts w:asciiTheme="majorBidi" w:hAnsiTheme="majorBidi" w:cstheme="majorBidi"/>
          <w:lang w:val="sv-SE"/>
        </w:rPr>
        <w:instrText>ADDIN CSL_CITATION {"citationItems":[{"id":"ITEM-1","itemData":{"author":[{"dropping-particle":"","family":"Tahun","given":"Syariah","non-dropping-particle":"","parse-names":false,"suffix":""},{"dropping-particle":"","family":"Mahdatika","given":"Inna Cikita","non-dropping-particle":"","parse-names":false,"suffix":""}],"id":"ITEM-1","issued":{"date-parts":[["2022"]]},"page":"315-332","title":"Pengaruh Manajemen Gap, Modal, Likuiditas, Risiko pemboayaan, Tingkat Efisiensi Dan Ukuran Bank (Size) Terhadap Net Interest Margin Pada Bank Syariah Mandiri Bank BRI Syariah Dan Bank BNI","type":"article-journal","volume":"7"},"uris":["http://www.mendeley.com/documents/?uuid=d56a5d7f-865b-460e-858c-17b6b31a9871"]}],"mendeley":{"formattedCitation":"Syariah Tahun and Inna Cikita Mahdatika, “Pengaruh Manajemen Gap, Modal, Likuiditas, Risiko Pemboayaan, Tingkat Efisiensi Dan Ukuran Bank (Size) Terhadap Net Interest Margin Pada Bank Syariah Mandiri Bank BRI Syariah Dan Bank BNI” 7 (2022): 315–32.","plainTextFormattedCitation":"Syariah Tahun and Inna Cikita Mahdatika, “Pengaruh Manajemen Gap, Modal, Likuiditas, Risiko Pemboayaan, Tingkat Efisiensi Dan Ukuran Bank (Size) Terhadap Net Interest Margin Pada Bank Syariah Mandiri Bank BRI Syariah Dan Bank BNI” 7 (2022): 315–32.","previouslyFormattedCitation":"Syariah Tahun and Inna Cikita Mahdatika, “Pengaruh Manajemen Gap, Modal, Likuiditas, Risiko Pemboayaan, Tingkat Efisiensi Dan Ukuran Bank (Size) Terhadap Net Interest Margin Pada Bank Syariah Mandiri Bank BRI Syariah Dan Bank BNI” 7 (2022): 315–32."},"properties":{"noteIndex":97},"schema":"https://github.com/citation-style-language/schema/raw/master/csl-citation.json"}</w:instrText>
      </w:r>
      <w:r w:rsidRPr="00685810">
        <w:rPr>
          <w:rFonts w:asciiTheme="majorBidi" w:hAnsiTheme="majorBidi" w:cstheme="majorBidi"/>
        </w:rPr>
        <w:fldChar w:fldCharType="separate"/>
      </w:r>
      <w:r w:rsidRPr="00685810">
        <w:rPr>
          <w:rFonts w:asciiTheme="majorBidi" w:hAnsiTheme="majorBidi" w:cstheme="majorBidi"/>
          <w:noProof/>
          <w:lang w:val="sv-SE"/>
        </w:rPr>
        <w:t>Syariah Tahun and Inna Cikita Mahdatika, “Pengaruh Manajemen Gap, Modal, Likuiditas, Risiko Pemboayaan, Tingkat Efisiensi Dan Ukuran Bank (Size) Terhadap Net Interest Margin Pada Bank Syariah Mandiri Bank BRI Syariah Dan Bank BNI” 7 (2022): 315–32.</w:t>
      </w:r>
      <w:r w:rsidRPr="00685810">
        <w:rPr>
          <w:rFonts w:asciiTheme="majorBidi" w:hAnsiTheme="majorBidi" w:cstheme="majorBidi"/>
        </w:rPr>
        <w:fldChar w:fldCharType="end"/>
      </w:r>
      <w:r w:rsidRPr="00685810">
        <w:rPr>
          <w:rFonts w:asciiTheme="majorBidi" w:hAnsiTheme="majorBidi" w:cstheme="majorBidi"/>
        </w:rPr>
        <w:t>Hal.320</w:t>
      </w:r>
    </w:p>
  </w:footnote>
  <w:footnote w:id="98">
    <w:p w14:paraId="5F6829AE" w14:textId="143922F3" w:rsidR="00E47DAC" w:rsidRPr="00E23066" w:rsidRDefault="00E47DAC" w:rsidP="00E23066">
      <w:pPr>
        <w:pStyle w:val="FootnoteText"/>
        <w:ind w:firstLine="720"/>
        <w:jc w:val="both"/>
        <w:rPr>
          <w:rFonts w:asciiTheme="majorBidi" w:hAnsiTheme="majorBidi" w:cstheme="majorBidi"/>
          <w:lang w:val="en-US"/>
        </w:rPr>
      </w:pPr>
      <w:r>
        <w:rPr>
          <w:rStyle w:val="FootnoteReference"/>
        </w:rPr>
        <w:footnoteRef/>
      </w:r>
      <w:r>
        <w:t xml:space="preserve"> </w:t>
      </w:r>
      <w:r w:rsidR="00E23066" w:rsidRPr="00E23066">
        <w:rPr>
          <w:rFonts w:asciiTheme="majorBidi" w:hAnsiTheme="majorBidi" w:cstheme="majorBidi"/>
        </w:rPr>
        <w:fldChar w:fldCharType="begin" w:fldLock="1"/>
      </w:r>
      <w:r w:rsidR="00E23066">
        <w:rPr>
          <w:rFonts w:asciiTheme="majorBidi" w:hAnsiTheme="majorBidi" w:cstheme="majorBidi"/>
        </w:rPr>
        <w:instrText>ADDIN CSL_CITATION {"citationItems":[{"id":"ITEM-1","itemData":{"ISSN":"08608857","PMID":"14371128","author":[{"dropping-particle":"","family":"Wibowo","given":"Edhi Satriyo","non-dropping-particle":"","parse-names":false,"suffix":""},{"dropping-particle":"","family":"Syaichu","given":"Muhammad","non-dropping-particle":"","parse-names":false,"suffix":""}],"container-title":"Diponegoro Journal Of management","id":"ITEM-1","issue":"6","issued":{"date-parts":[["1955"]]},"page":"191","title":"Analisis Pengaruh Suku Bunga, INFLASI, CAR, BOPO, NPF TERHADAP PROFITABILITAS BANK SYARIAH","type":"article-journal","volume":"10"},"uris":["http://www.mendeley.com/documents/?uuid=1c40f81e-bc2a-42d1-ad69-5a1efd4316cb"]}],"mendeley":{"formattedCitation":"Wibowo and Syaichu, “Analisis Pengaruh Suku Bunga, INFLASI, CAR, BOPO, NPF TERHADAP PROFITABILITAS BANK SYARIAH.”"},"properties":{"noteIndex":98},"schema":"https://github.com/citation-style-language/schema/raw/master/csl-citation.json"}</w:instrText>
      </w:r>
      <w:r w:rsidR="00E23066" w:rsidRPr="00E23066">
        <w:rPr>
          <w:rFonts w:asciiTheme="majorBidi" w:hAnsiTheme="majorBidi" w:cstheme="majorBidi"/>
        </w:rPr>
        <w:fldChar w:fldCharType="separate"/>
      </w:r>
      <w:r w:rsidR="00E23066" w:rsidRPr="00E23066">
        <w:rPr>
          <w:rFonts w:asciiTheme="majorBidi" w:hAnsiTheme="majorBidi" w:cstheme="majorBidi"/>
          <w:noProof/>
        </w:rPr>
        <w:t>Wibowo and Syaichu, “Analisis Pengaruh Suku Bunga, INFLASI, CAR, BOPO, NPF TERHADAP PROFITABILITAS BANK SYARIAH.”</w:t>
      </w:r>
      <w:r w:rsidR="00E23066" w:rsidRPr="00E23066">
        <w:rPr>
          <w:rFonts w:asciiTheme="majorBidi" w:hAnsiTheme="majorBidi" w:cstheme="majorBidi"/>
        </w:rPr>
        <w:fldChar w:fldCharType="end"/>
      </w:r>
    </w:p>
  </w:footnote>
  <w:footnote w:id="99">
    <w:p w14:paraId="668E15B9" w14:textId="4389E536" w:rsidR="00CB67EB" w:rsidRPr="007F1C3F" w:rsidRDefault="00CB67EB" w:rsidP="00054979">
      <w:pPr>
        <w:pStyle w:val="FootnoteText"/>
        <w:ind w:firstLine="720"/>
        <w:jc w:val="both"/>
        <w:rPr>
          <w:rFonts w:asciiTheme="majorBidi" w:hAnsiTheme="majorBidi" w:cstheme="majorBidi"/>
          <w:lang w:val="en-US"/>
        </w:rPr>
      </w:pPr>
      <w:r w:rsidRPr="00685810">
        <w:rPr>
          <w:rStyle w:val="FootnoteReference"/>
          <w:rFonts w:asciiTheme="majorBidi" w:hAnsiTheme="majorBidi" w:cstheme="majorBidi"/>
        </w:rPr>
        <w:footnoteRef/>
      </w:r>
      <w:r w:rsidRPr="007F1C3F">
        <w:rPr>
          <w:rFonts w:asciiTheme="majorBidi" w:hAnsiTheme="majorBidi" w:cstheme="majorBidi"/>
          <w:lang w:val="en-US"/>
        </w:rPr>
        <w:t xml:space="preserve"> </w:t>
      </w:r>
      <w:r w:rsidRPr="00685810">
        <w:rPr>
          <w:rFonts w:asciiTheme="majorBidi" w:hAnsiTheme="majorBidi" w:cstheme="majorBidi"/>
          <w:lang w:val="sv-SE"/>
        </w:rPr>
        <w:fldChar w:fldCharType="begin" w:fldLock="1"/>
      </w:r>
      <w:r w:rsidR="00E23066" w:rsidRPr="007F1C3F">
        <w:rPr>
          <w:rFonts w:asciiTheme="majorBidi" w:hAnsiTheme="majorBidi" w:cstheme="majorBidi"/>
          <w:lang w:val="en-US"/>
        </w:rPr>
        <w:instrText>ADDIN CSL_CITATION {"citationItems":[{"id":"ITEM-1","itemData":{"abstract":"Kepercayaan masyarakat untuk menyimpan dana di bank dipengaruhi oleh informasi yang diperoleh mengenai tingkat kesehatan bank, serta risiko-risiko yang mempengaruhi bank dalam mengelola perusahaan. Tujuan penelitian ini yaitu untuk mengetahui pengaruh baik secara simultan maupun parsial antara risiko kredit (NPL), risiko likuiditas (LDR) dan risiko operasional (BOPO) terhadap profitabilitas (ROA) bank yang terdaftar di LQ45, BUKU III dan BUKU IV periode 2017-2019. Sampel pada penelitian ini yaitu 15 perusahaan perbankan. Variabel dependen dalam penelitian ini adalah profitabilitasyang diukur menggunakanrasioROA (Return On Assets). Variabel independen dalam penelitian ini yaitu risiko kredit/Non performing Loan(NPL), risiko likuiditas/Loan to Deposit Ratio (LDR), dan risiko operasional/Operasional Per Pendapatan Operasional (BOPO). Metode analisis yang digunakan yaitu analisis regresi linear berganda dengan menggunakan program SPSS 26. Hasil penelitian menunjukan bahwa secara parsial risiko kredit (NPL) dan risiko likuiditas (LDR) tidak berpengaruh signifikan terhadap profitabilitas (ROA), secara parsial risiko operasional (BOPO)berpengaruh signifikan terhadap profitabilitas (ROA). Secara simultan risiko kredit (NPL), risiko likuiditas (LDR) dan risiko operasional (BOPO)berpengaruh signifikan terhadap profitabilitas (ROA).","author":[{"dropping-particle":"","family":"Sante","given":"Zevanya Vaneca","non-dropping-particle":"","parse-names":false,"suffix":""},{"dropping-particle":"","family":"Murni","given":"Sri","non-dropping-particle":"","parse-names":false,"suffix":""},{"dropping-particle":"","family":"Tulung","given":"Joy Elly","non-dropping-particle":"","parse-names":false,"suffix":""}],"container-title":"Emba","id":"ITEM-1","issue":"3","issued":{"date-parts":[["2021"]]},"page":"1451-1462","title":"Pengaruh Risiko Kredit, Risiko Likuiditas dan Risiko Operasional Terhadap Profitabilitas Perusahaan Perbankan yang terdaftar di LQ45, buku III dan buku IV periode 2017-2019","type":"article-journal","volume":"9"},"uris":["http://www.mendeley.com/documents/?uuid=32b1935b-9fcf-4eea-b597-3f5089d6a512"]}],"mendeley":{"formattedCitation":"Zevanya Vaneca Sante, Sri Murni, and Joy Elly Tulung, “Pengaruh Risiko Kredit, Risiko Likuiditas Dan Risiko Operasional Terhadap Profitabilitas Perusahaan Perbankan Yang Terdaftar Di LQ45, Buku III Dan Buku IV Periode 2017-2019,” &lt;i&gt;Emba&lt;/i&gt; 9, no. 3 (2021): 1451–62.","plainTextFormattedCitation":"Zevanya Vaneca Sante, Sri Murni, and Joy Elly Tulung, “Pengaruh Risiko Kredit, Risiko Likuiditas Dan Risiko Operasional Terhadap Profitabilitas Perusahaan Perbankan Yang Terdaftar Di LQ45, Buku III Dan Buku IV Periode 2017-2019,” Emba 9, no. 3 (2021): 1451–62.","previouslyFormattedCitation":"Zevanya Vaneca Sante, Sri Murni, and Joy Elly Tulung, “Pengaruh Risiko Kredit, Risiko Likuiditas Dan Risiko Operasional Terhadap Profitabilitas Perusahaan Perbankan Yang Terdaftar Di LQ45, Buku III Dan Buku IV Periode 2017-2019,” &lt;i&gt;Emba&lt;/i&gt; 9, no. 3 (2021): 1451–62."},"properties":{"noteIndex":99},"schema":"https://github.com/citation-style-language/schema/raw/master/csl-citation.json"}</w:instrText>
      </w:r>
      <w:r w:rsidRPr="00685810">
        <w:rPr>
          <w:rFonts w:asciiTheme="majorBidi" w:hAnsiTheme="majorBidi" w:cstheme="majorBidi"/>
          <w:lang w:val="sv-SE"/>
        </w:rPr>
        <w:fldChar w:fldCharType="separate"/>
      </w:r>
      <w:r w:rsidRPr="007F1C3F">
        <w:rPr>
          <w:rFonts w:asciiTheme="majorBidi" w:hAnsiTheme="majorBidi" w:cstheme="majorBidi"/>
          <w:noProof/>
          <w:lang w:val="en-US"/>
        </w:rPr>
        <w:t xml:space="preserve">Zevanya Vaneca Sante, Sri Murni, and Joy Elly Tulung, “Pengaruh Risiko Kredit, Risiko Likuiditas Dan Risiko Operasional Terhadap Profitabilitas Perusahaan Perbankan Yang Terdaftar Di LQ45, Buku III Dan Buku IV Periode 2017-2019,” </w:t>
      </w:r>
      <w:r w:rsidRPr="007F1C3F">
        <w:rPr>
          <w:rFonts w:asciiTheme="majorBidi" w:hAnsiTheme="majorBidi" w:cstheme="majorBidi"/>
          <w:i/>
          <w:noProof/>
          <w:lang w:val="en-US"/>
        </w:rPr>
        <w:t>Emba</w:t>
      </w:r>
      <w:r w:rsidRPr="007F1C3F">
        <w:rPr>
          <w:rFonts w:asciiTheme="majorBidi" w:hAnsiTheme="majorBidi" w:cstheme="majorBidi"/>
          <w:noProof/>
          <w:lang w:val="en-US"/>
        </w:rPr>
        <w:t xml:space="preserve"> 9, no. 3 (2021): 1451–62.</w:t>
      </w:r>
      <w:r w:rsidRPr="00685810">
        <w:rPr>
          <w:rFonts w:asciiTheme="majorBidi" w:hAnsiTheme="majorBidi" w:cstheme="majorBidi"/>
          <w:lang w:val="sv-SE"/>
        </w:rPr>
        <w:fldChar w:fldCharType="end"/>
      </w:r>
    </w:p>
  </w:footnote>
  <w:footnote w:id="100">
    <w:p w14:paraId="5CE2C968" w14:textId="5709B4B0" w:rsidR="00E23066" w:rsidRPr="00E23066" w:rsidRDefault="00E23066" w:rsidP="00E23066">
      <w:pPr>
        <w:pStyle w:val="FootnoteText"/>
        <w:ind w:firstLine="720"/>
        <w:jc w:val="both"/>
        <w:rPr>
          <w:rFonts w:asciiTheme="majorBidi" w:hAnsiTheme="majorBidi" w:cstheme="majorBidi"/>
          <w:lang w:val="sv-SE"/>
        </w:rPr>
      </w:pPr>
      <w:r w:rsidRPr="00E23066">
        <w:rPr>
          <w:rStyle w:val="FootnoteReference"/>
          <w:rFonts w:asciiTheme="majorBidi" w:hAnsiTheme="majorBidi" w:cstheme="majorBidi"/>
        </w:rPr>
        <w:footnoteRef/>
      </w:r>
      <w:r w:rsidRPr="00E23066">
        <w:rPr>
          <w:rFonts w:asciiTheme="majorBidi" w:hAnsiTheme="majorBidi" w:cstheme="majorBidi"/>
          <w:lang w:val="sv-SE"/>
        </w:rPr>
        <w:t xml:space="preserve"> </w:t>
      </w:r>
      <w:r w:rsidRPr="00E23066">
        <w:rPr>
          <w:rFonts w:asciiTheme="majorBidi" w:hAnsiTheme="majorBidi" w:cstheme="majorBidi"/>
        </w:rPr>
        <w:fldChar w:fldCharType="begin" w:fldLock="1"/>
      </w:r>
      <w:r w:rsidRPr="00E23066">
        <w:rPr>
          <w:rFonts w:asciiTheme="majorBidi" w:hAnsiTheme="majorBidi" w:cstheme="majorBidi"/>
          <w:lang w:val="sv-SE"/>
        </w:rPr>
        <w:instrText>ADDIN CSL_CITATION {"citationItems":[{"id":"ITEM-1","itemData":{"author":[{"dropping-particle":"","family":"Antonio","given":"Muhammad Syafi'i","non-dropping-particle":"","parse-names":false,"suffix":""}],"edition":"ke-11","id":"ITEM-1","issued":{"date-parts":[["2007"]]},"publisher":"Gema Insani","title":"Bank syariah : dari teori ke praktik","type":"book"},"uris":["http://www.mendeley.com/documents/?uuid=be8e0f82-79ac-4761-87ee-5e85a5cae126"]}],"mendeley":{"formattedCitation":"Antonio, &lt;i&gt;Bank Syariah : Dari Teori Ke Praktik&lt;/i&gt;.","plainTextFormattedCitation":"Antonio, Bank Syariah : Dari Teori Ke Praktik."},"properties":{"noteIndex":100},"schema":"https://github.com/citation-style-language/schema/raw/master/csl-citation.json"}</w:instrText>
      </w:r>
      <w:r w:rsidRPr="00E23066">
        <w:rPr>
          <w:rFonts w:asciiTheme="majorBidi" w:hAnsiTheme="majorBidi" w:cstheme="majorBidi"/>
        </w:rPr>
        <w:fldChar w:fldCharType="separate"/>
      </w:r>
      <w:r w:rsidRPr="00E23066">
        <w:rPr>
          <w:rFonts w:asciiTheme="majorBidi" w:hAnsiTheme="majorBidi" w:cstheme="majorBidi"/>
          <w:noProof/>
          <w:lang w:val="sv-SE"/>
        </w:rPr>
        <w:t xml:space="preserve">Antonio, </w:t>
      </w:r>
      <w:r w:rsidRPr="00E23066">
        <w:rPr>
          <w:rFonts w:asciiTheme="majorBidi" w:hAnsiTheme="majorBidi" w:cstheme="majorBidi"/>
          <w:i/>
          <w:noProof/>
          <w:lang w:val="sv-SE"/>
        </w:rPr>
        <w:t>Bank Syariah : Dari Teori Ke Praktik</w:t>
      </w:r>
      <w:r w:rsidRPr="00E23066">
        <w:rPr>
          <w:rFonts w:asciiTheme="majorBidi" w:hAnsiTheme="majorBidi" w:cstheme="majorBidi"/>
          <w:noProof/>
          <w:lang w:val="sv-SE"/>
        </w:rPr>
        <w:t>.</w:t>
      </w:r>
      <w:r w:rsidRPr="00E23066">
        <w:rPr>
          <w:rFonts w:asciiTheme="majorBidi" w:hAnsiTheme="majorBidi" w:cstheme="majorBidi"/>
        </w:rPr>
        <w:fldChar w:fldCharType="end"/>
      </w:r>
    </w:p>
  </w:footnote>
  <w:footnote w:id="101">
    <w:p w14:paraId="73E4589C" w14:textId="47A9CB39" w:rsidR="00CB67EB" w:rsidRPr="001F420D" w:rsidRDefault="00CB67EB" w:rsidP="00054979">
      <w:pPr>
        <w:pStyle w:val="FootnoteText"/>
        <w:ind w:firstLine="720"/>
        <w:jc w:val="both"/>
        <w:rPr>
          <w:rFonts w:asciiTheme="majorBidi" w:hAnsiTheme="majorBidi" w:cstheme="majorBidi"/>
          <w:lang w:val="sv-SE"/>
        </w:rPr>
      </w:pPr>
      <w:r w:rsidRPr="00685810">
        <w:rPr>
          <w:rStyle w:val="FootnoteReference"/>
          <w:rFonts w:asciiTheme="majorBidi" w:hAnsiTheme="majorBidi" w:cstheme="majorBidi"/>
        </w:rPr>
        <w:footnoteRef/>
      </w:r>
      <w:r w:rsidRPr="001F420D">
        <w:rPr>
          <w:rFonts w:asciiTheme="majorBidi" w:hAnsiTheme="majorBidi" w:cstheme="majorBidi"/>
          <w:lang w:val="sv-SE"/>
        </w:rPr>
        <w:t xml:space="preserve"> </w:t>
      </w:r>
      <w:r w:rsidRPr="00685810">
        <w:rPr>
          <w:rFonts w:asciiTheme="majorBidi" w:hAnsiTheme="majorBidi" w:cstheme="majorBidi"/>
        </w:rPr>
        <w:fldChar w:fldCharType="begin" w:fldLock="1"/>
      </w:r>
      <w:r w:rsidR="00E23066" w:rsidRPr="001F420D">
        <w:rPr>
          <w:rFonts w:asciiTheme="majorBidi" w:hAnsiTheme="majorBidi" w:cstheme="majorBidi"/>
          <w:lang w:val="sv-SE"/>
        </w:rPr>
        <w:instrText>ADDIN CSL_CITATION {"citationItems":[{"id":"ITEM-1","itemData":{"DOI":"10.30863/al-tsarwah.v2i2.294","ISSN":"2620-7818","abstract":"The purpose of this research is to understand the meaning of revenue sharing, the method of calculating revenue sharing and the profit sharing advantage on mudharabah financing in independent Islamic banks. The results of the study show that Revenue Sharing is a profit sharing system that is calculated from the total revenue of fund management without being reduced by the cost of managing funds. So if the bank and the customer use the mudharabah scheme in carrying out working capital financing, if the business is profitable, then it must be divided based on the profit sharing portion. The advantages of mudharabah financing sharing ratio in Bank Syariah Mandiri Sengkang KCP is to be able to increase investment in third party funds on Islamic banks because if the bank uses a profit sharing calculation system based on revenue sharing where profit sharing will be distributed from total revenues before deducting with costs, the likelihood that there will be a profit sharing rate that will be received by the owner of the fund will be greater than the prevailing market interest rate.","author":[{"dropping-particle":"","family":"Hikmah","given":"Ainul","non-dropping-particle":"","parse-names":false,"suffix":""},{"dropping-particle":"","family":"Nahariah","given":"Nahariah","non-dropping-particle":"","parse-names":false,"suffix":""}],"container-title":"Jurnal Ilmiah Al-Tsarwah","id":"ITEM-1","issue":"2","issued":{"date-parts":[["2019"]]},"page":"140-154","title":"Analisis Nisbah Bagi Hasil Pembiayaan Mudharabah pada Bank Syariah Mandiri KCP Sengkang","type":"article-journal","volume":"2"},"uris":["http://www.mendeley.com/documents/?uuid=ac70e8c5-8d92-4566-b260-274c87af0cbc"]}],"mendeley":{"formattedCitation":"Ainul Hikmah and Nahariah Nahariah, “Analisis Nisbah Bagi Hasil Pembiayaan Mudharabah Pada Bank Syariah Mandiri KCP Sengkang,” &lt;i&gt;Jurnal Ilmiah Al-Tsarwah&lt;/i&gt; 2, no. 2 (2019): 140–54, https://doi.org/10.30863/al-tsarwah.v2i2.294.","plainTextFormattedCitation":"Ainul Hikmah and Nahariah Nahariah, “Analisis Nisbah Bagi Hasil Pembiayaan Mudharabah Pada Bank Syariah Mandiri KCP Sengkang,” Jurnal Ilmiah Al-Tsarwah 2, no. 2 (2019): 140–54, https://doi.org/10.30863/al-tsarwah.v2i2.294.","previouslyFormattedCitation":"Ainul Hikmah and Nahariah Nahariah, “Analisis Nisbah Bagi Hasil Pembiayaan Mudharabah Pada Bank Syariah Mandiri KCP Sengkang,” &lt;i&gt;Jurnal Ilmiah Al-Tsarwah&lt;/i&gt; 2, no. 2 (2019): 140–54, https://doi.org/10.30863/al-tsarwah.v2i2.294."},"properties":{"noteIndex":101},"schema":"https://github.com/citation-style-language/schema/raw/master/csl-citation.json"}</w:instrText>
      </w:r>
      <w:r w:rsidRPr="00685810">
        <w:rPr>
          <w:rFonts w:asciiTheme="majorBidi" w:hAnsiTheme="majorBidi" w:cstheme="majorBidi"/>
        </w:rPr>
        <w:fldChar w:fldCharType="separate"/>
      </w:r>
      <w:r w:rsidRPr="001F420D">
        <w:rPr>
          <w:rFonts w:asciiTheme="majorBidi" w:hAnsiTheme="majorBidi" w:cstheme="majorBidi"/>
          <w:noProof/>
          <w:lang w:val="sv-SE"/>
        </w:rPr>
        <w:t xml:space="preserve">Ainul Hikmah and Nahariah Nahariah, “Analisis Nisbah Bagi Hasil Pembiayaan Mudharabah Pada Bank Syariah Mandiri KCP Sengkang,” </w:t>
      </w:r>
      <w:r w:rsidRPr="001F420D">
        <w:rPr>
          <w:rFonts w:asciiTheme="majorBidi" w:hAnsiTheme="majorBidi" w:cstheme="majorBidi"/>
          <w:i/>
          <w:noProof/>
          <w:lang w:val="sv-SE"/>
        </w:rPr>
        <w:t>Jurnal Ilmiah Al-Tsarwah</w:t>
      </w:r>
      <w:r w:rsidRPr="001F420D">
        <w:rPr>
          <w:rFonts w:asciiTheme="majorBidi" w:hAnsiTheme="majorBidi" w:cstheme="majorBidi"/>
          <w:noProof/>
          <w:lang w:val="sv-SE"/>
        </w:rPr>
        <w:t xml:space="preserve"> 2, no. 2 (2019): 140–54, https://doi.org/10.30863/al-tsarwah.v2i2.294.</w:t>
      </w:r>
      <w:r w:rsidRPr="00685810">
        <w:rPr>
          <w:rFonts w:asciiTheme="majorBidi" w:hAnsiTheme="majorBidi" w:cstheme="majorBidi"/>
        </w:rPr>
        <w:fldChar w:fldCharType="end"/>
      </w:r>
    </w:p>
  </w:footnote>
  <w:footnote w:id="102">
    <w:p w14:paraId="4224565F" w14:textId="44C540A1" w:rsidR="00E47DAC" w:rsidRPr="001F420D" w:rsidRDefault="00E47DAC" w:rsidP="00E47DAC">
      <w:pPr>
        <w:pStyle w:val="FootnoteText"/>
        <w:ind w:firstLine="720"/>
        <w:jc w:val="both"/>
        <w:rPr>
          <w:rFonts w:asciiTheme="majorBidi" w:hAnsiTheme="majorBidi" w:cstheme="majorBidi"/>
          <w:lang w:val="sv-SE"/>
        </w:rPr>
      </w:pPr>
      <w:r>
        <w:rPr>
          <w:rStyle w:val="FootnoteReference"/>
        </w:rPr>
        <w:footnoteRef/>
      </w:r>
      <w:r w:rsidRPr="001F420D">
        <w:rPr>
          <w:lang w:val="sv-SE"/>
        </w:rPr>
        <w:t xml:space="preserve"> </w:t>
      </w:r>
      <w:r w:rsidRPr="00E47DAC">
        <w:rPr>
          <w:rFonts w:asciiTheme="majorBidi" w:hAnsiTheme="majorBidi" w:cstheme="majorBidi"/>
        </w:rPr>
        <w:fldChar w:fldCharType="begin" w:fldLock="1"/>
      </w:r>
      <w:r w:rsidR="00E23066" w:rsidRPr="001F420D">
        <w:rPr>
          <w:rFonts w:asciiTheme="majorBidi" w:hAnsiTheme="majorBidi" w:cstheme="majorBidi"/>
          <w:lang w:val="sv-SE"/>
        </w:rPr>
        <w:instrText>ADDIN CSL_CITATION {"citationItems":[{"id":"ITEM-1","itemData":{"DOI":"10.31937/akuntansi.v10i2.978","ISSN":"2085-4595","abstract":"Penelitian ini bertujuan untuk menganalisis pengaruh Beban Operasional Pendapatan Operasional, Capital Adequacy Ratio, Financing to Deposits Ratio, Return on Assets terhadap tingkat bagi hasil deposito mudharabah pada Bank Umum Syariah di Indonesia baik secara parsial maupun simultan. Objek penelitian dalam penelitian ini adalah BOPO, CAR, FDRdanROA terhadap Tingkat Bagi Hasil Deposito Mudharabah pada bank umum syariah yang terdaftar di Bank Indonesia periode 2012-2016. Data yang digunakan. dalam penelitian ini adalah data sekunder yaitu berupa laporan tahunan Bank Umum Syariah (BUS) pada tahun 2012-2016. Teknik pengambilan sampel yang digunakan adalah Purposive sampling,. terdapat 8 Bank Umum Syariah yang memenuhi kriteria yang telah ditetapkan. Analisis data yang digunakan dalam penelitian ini adalah Analisis Deskriptif, Uji Asumsi Klasik (Uji Normalitas, Uji Multikolinearitas, Uji Heterokedastisitas, Uji Autokrelasi), Pengujian Model terdiri dari Uji Chow, Uji Hausman, Uji Lagrange Multiplier. Uji Hipotesis terdiri dari Analisis Regresi Data Panel, Uji t (Parsial) dan Uji F (Simultan). Hasil penelitian menyimpulkan, (1) BOPO secara parsial tidak berpengaruh terhadap tingkat bagi hasil deposito mudharabah pada Bank Umum Syariah di Indonesia tahun Periode 2012-2016, (2) CAR secara parsial tidak berpengaruh terhadap tingkat bagi hasil deposito mudharabah pada Bank Umum Syariah di Indonesia tahun Periode 2012-2016, (3) FDR secara parsial tidak berpengaruh terhadap tingkat bagi hasil deposito mudharabah pada Bank Umum Syariah di Indonesia tahun Periode 2012-2016, (4) ROA secara parsial berpengaruh terhadap tingkat bagi hasil deposito mudharabah pada Bank Umum Syariah di Indonesia tahun Periode 2012- 2016, (5) BOPO, CAR, FDR, ROA secara simultan berpengaruh signifikan terhadap tingkat bagi hasil deposito mudharabah pada Bank Umum Syariah di Indonesia tahun Periode 2012-2016.Kata Kunci: BOPO, CAR, FDR, ROA, Tingkat Bagi Hasil Deposito Mudharabah","author":[{"dropping-particle":"","family":"Sabtatianto","given":"Reandy","non-dropping-particle":"","parse-names":false,"suffix":""},{"dropping-particle":"","family":"Yusuf","given":"Muhamad","non-dropping-particle":"","parse-names":false,"suffix":""}],"container-title":"ULTIMA Accounting","id":"ITEM-1","issue":"2","issued":{"date-parts":[["2019"]]},"page":"169-186","title":"Pengaruh BOPO, CAR, FDR dan ROA terhadap Tingkat Bagi Hasil Deposito Mudharabah pada Bank Umum Syariah di Indonesia","type":"article-journal","volume":"10"},"uris":["http://www.mendeley.com/documents/?uuid=dc7c7c71-9ee8-47de-a3cd-fd7d85a4a48e"]}],"mendeley":{"formattedCitation":"Sabtatianto and Yusuf, “Pengaruh BOPO, CAR, FDR Dan ROA Terhadap Tingkat Bagi Hasil Deposito Mudharabah Pada Bank Umum Syariah Di Indonesia.”","plainTextFormattedCitation":"Sabtatianto and Yusuf, “Pengaruh BOPO, CAR, FDR Dan ROA Terhadap Tingkat Bagi Hasil Deposito Mudharabah Pada Bank Umum Syariah Di Indonesia.”","previouslyFormattedCitation":"Sabtatianto and Yusuf, “Pengaruh BOPO, CAR, FDR Dan ROA Terhadap Tingkat Bagi Hasil Deposito Mudharabah Pada Bank Umum Syariah Di Indonesia.”"},"properties":{"noteIndex":102},"schema":"https://github.com/citation-style-language/schema/raw/master/csl-citation.json"}</w:instrText>
      </w:r>
      <w:r w:rsidRPr="00E47DAC">
        <w:rPr>
          <w:rFonts w:asciiTheme="majorBidi" w:hAnsiTheme="majorBidi" w:cstheme="majorBidi"/>
        </w:rPr>
        <w:fldChar w:fldCharType="separate"/>
      </w:r>
      <w:r w:rsidRPr="001F420D">
        <w:rPr>
          <w:rFonts w:asciiTheme="majorBidi" w:hAnsiTheme="majorBidi" w:cstheme="majorBidi"/>
          <w:noProof/>
          <w:lang w:val="sv-SE"/>
        </w:rPr>
        <w:t>Sabtatianto and Yusuf, “Pengaruh BOPO, CAR, FDR Dan ROA Terhadap Tingkat Bagi Hasil Deposito Mudharabah Pada Bank Umum Syariah Di Indonesia.”</w:t>
      </w:r>
      <w:r w:rsidRPr="00E47DAC">
        <w:rPr>
          <w:rFonts w:asciiTheme="majorBidi" w:hAnsiTheme="majorBidi" w:cstheme="majorBidi"/>
        </w:rPr>
        <w:fldChar w:fldCharType="end"/>
      </w:r>
    </w:p>
  </w:footnote>
  <w:footnote w:id="103">
    <w:p w14:paraId="1A2842EC" w14:textId="4EE31060" w:rsidR="00CB67EB" w:rsidRPr="001F420D" w:rsidRDefault="00CB67EB"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1F420D">
        <w:rPr>
          <w:rFonts w:asciiTheme="majorBidi" w:hAnsiTheme="majorBidi" w:cstheme="majorBidi"/>
          <w:lang w:val="sv-SE"/>
        </w:rPr>
        <w:t xml:space="preserve"> </w:t>
      </w:r>
      <w:r w:rsidRPr="009E3DCE">
        <w:rPr>
          <w:rFonts w:asciiTheme="majorBidi" w:hAnsiTheme="majorBidi" w:cstheme="majorBidi"/>
        </w:rPr>
        <w:fldChar w:fldCharType="begin" w:fldLock="1"/>
      </w:r>
      <w:r w:rsidR="00E23066" w:rsidRPr="001F420D">
        <w:rPr>
          <w:rFonts w:asciiTheme="majorBidi" w:hAnsiTheme="majorBidi" w:cstheme="majorBidi"/>
          <w:lang w:val="sv-SE"/>
        </w:rPr>
        <w:instrText>ADDIN CSL_CITATION {"citationItems":[{"id":"ITEM-1","itemData":{"abstract":"Kepercayaan masyarakat untuk menyimpan dana di bank dipengaruhi oleh informasi yang diperoleh mengenai tingkat kesehatan bank, serta risiko-risiko yang mempengaruhi bank dalam mengelola perusahaan. Tujuan penelitian ini yaitu untuk mengetahui pengaruh baik secara simultan maupun parsial antara risiko kredit (NPL), risiko likuiditas (LDR) dan risiko operasional (BOPO) terhadap profitabilitas (ROA) bank yang terdaftar di LQ45, BUKU III dan BUKU IV periode 2017-2019. Sampel pada penelitian ini yaitu 15 perusahaan perbankan. Variabel dependen dalam penelitian ini adalah profitabilitasyang diukur menggunakanrasioROA (Return On Assets). Variabel independen dalam penelitian ini yaitu risiko kredit/Non performing Loan(NPL), risiko likuiditas/Loan to Deposit Ratio (LDR), dan risiko operasional/Operasional Per Pendapatan Operasional (BOPO). Metode analisis yang digunakan yaitu analisis regresi linear berganda dengan menggunakan program SPSS 26. Hasil penelitian menunjukan bahwa secara parsial risiko kredit (NPL) dan risiko likuiditas (LDR) tidak berpengaruh signifikan terhadap profitabilitas (ROA), secara parsial risiko operasional (BOPO)berpengaruh signifikan terhadap profitabilitas (ROA). Secara simultan risiko kredit (NPL), risiko likuiditas (LDR) dan risiko operasional (BOPO)berpengaruh signifikan terhadap profitabilitas (ROA).","author":[{"dropping-particle":"","family":"Sante","given":"Zevanya Vaneca","non-dropping-particle":"","parse-names":false,"suffix":""},{"dropping-particle":"","family":"Murni","given":"Sri","non-dropping-particle":"","parse-names":false,"suffix":""},{"dropping-particle":"","family":"Tulung","given":"Joy Elly","non-dropping-particle":"","parse-names":false,"suffix":""}],"container-title":"Emba","id":"ITEM-1","issue":"3","issued":{"date-parts":[["2021"]]},"page":"1451-1462","title":"Pengaruh Risiko Kredit, Risiko Likuiditas dan Risiko Operasional Terhadap Profitabilitas Perusahaan Perbankan yang terdaftar di LQ45, buku III dan buku IV periode 2017-2019","type":"article-journal","volume":"9"},"uris":["http://www.mendeley.com/documents/?uuid=32b1935b-9fcf-4eea-b597-3f5089d6a512"]}],"mendeley":{"formattedCitation":"Sante, Murni, and Tulung, “Pengaruh Risiko Kredit, Risiko Likuiditas Dan Risiko Operasional Terhadap Profitabilitas Perusahaan Perbankan Yang Terdaftar Di LQ45, Buku III Dan Buku IV Periode 2017-2019.”","plainTextFormattedCitation":"Sante, Murni, and Tulung, “Pengaruh Risiko Kredit, Risiko Likuiditas Dan Risiko Operasional Terhadap Profitabilitas Perusahaan Perbankan Yang Terdaftar Di LQ45, Buku III Dan Buku IV Periode 2017-2019.”","previouslyFormattedCitation":"Sante, Murni, and Tulung, “Pengaruh Risiko Kredit, Risiko Likuiditas Dan Risiko Operasional Terhadap Profitabilitas Perusahaan Perbankan Yang Terdaftar Di LQ45, Buku III Dan Buku IV Periode 2017-2019.”"},"properties":{"noteIndex":103},"schema":"https://github.com/citation-style-language/schema/raw/master/csl-citation.json"}</w:instrText>
      </w:r>
      <w:r w:rsidRPr="009E3DCE">
        <w:rPr>
          <w:rFonts w:asciiTheme="majorBidi" w:hAnsiTheme="majorBidi" w:cstheme="majorBidi"/>
        </w:rPr>
        <w:fldChar w:fldCharType="separate"/>
      </w:r>
      <w:r w:rsidRPr="001F420D">
        <w:rPr>
          <w:rFonts w:asciiTheme="majorBidi" w:hAnsiTheme="majorBidi" w:cstheme="majorBidi"/>
          <w:noProof/>
          <w:lang w:val="sv-SE"/>
        </w:rPr>
        <w:t>Sante, Murni, and Tulung, “Pengaruh Risiko Kredit, Risiko Likuiditas Dan Risiko Operasional Terhadap Profitabilitas Perusahaan Perbankan Yang Terdaftar Di LQ45, Buku III Dan Buku IV Periode 2017-2019.”</w:t>
      </w:r>
      <w:r w:rsidRPr="009E3DCE">
        <w:rPr>
          <w:rFonts w:asciiTheme="majorBidi" w:hAnsiTheme="majorBidi" w:cstheme="majorBidi"/>
        </w:rPr>
        <w:fldChar w:fldCharType="end"/>
      </w:r>
    </w:p>
  </w:footnote>
  <w:footnote w:id="104">
    <w:p w14:paraId="08831D6E" w14:textId="78174D6E" w:rsidR="00CF47EC" w:rsidRPr="009E3DCE" w:rsidRDefault="00CF47EC" w:rsidP="009E3DCE">
      <w:pPr>
        <w:pStyle w:val="FootnoteText"/>
        <w:ind w:firstLine="720"/>
        <w:jc w:val="both"/>
        <w:rPr>
          <w:rFonts w:asciiTheme="majorBidi" w:hAnsiTheme="majorBidi" w:cstheme="majorBidi"/>
          <w:lang w:val="en-US"/>
        </w:rPr>
      </w:pPr>
      <w:r w:rsidRPr="009E3DCE">
        <w:rPr>
          <w:rStyle w:val="FootnoteReference"/>
          <w:rFonts w:asciiTheme="majorBidi" w:hAnsiTheme="majorBidi" w:cstheme="majorBidi"/>
        </w:rPr>
        <w:footnoteRef/>
      </w:r>
      <w:r w:rsidRPr="001F420D">
        <w:rPr>
          <w:rFonts w:asciiTheme="majorBidi" w:hAnsiTheme="majorBidi" w:cstheme="majorBidi"/>
          <w:lang w:val="sv-SE"/>
        </w:rPr>
        <w:t xml:space="preserve"> </w:t>
      </w:r>
      <w:r w:rsidRPr="009E3DCE">
        <w:rPr>
          <w:rFonts w:asciiTheme="majorBidi" w:hAnsiTheme="majorBidi" w:cstheme="majorBidi"/>
        </w:rPr>
        <w:fldChar w:fldCharType="begin" w:fldLock="1"/>
      </w:r>
      <w:r w:rsidR="00E23066" w:rsidRPr="001F420D">
        <w:rPr>
          <w:rFonts w:asciiTheme="majorBidi" w:hAnsiTheme="majorBidi" w:cstheme="majorBidi"/>
          <w:lang w:val="sv-SE"/>
        </w:rPr>
        <w:instrText>ADDIN CSL_CITATION {"citationItems":[{"id":"ITEM-1","itemData":{"author":[{"dropping-particle":"","family":"Winarni","given":"Endang Widi","non-dropping-particle":"","parse-names":false,"suffix":""}],"edition":"Pertama","id":"ITEM-1","issued":{"date-parts":[["2018"]]},"publisher":"Bumi Aksara","publisher-place":"Jakarta","title":"Teori dan Praktik Penelitian Kuantitatif Kualitatif","type":"book"},"uris":["http://www.mendeley.com/documents/?uuid=75a53e06-1455-4e96-842c-ef59602440a2"]}],"mendeley":{"formattedCitation":"Endang Widi Winarni, &lt;i&gt;Teori Dan Praktik Penelitian Kuantitatif Kualitatif&lt;/i&gt;, Pertama (Jakarta: Bumi Aksara, 2018), https://www.google.co.id/books/edition/Teori_dan_Praktik_Penelitian_Kuantitatif/Fx0mEAAAQBAJ?hl=id&amp;gbpv=1&amp;dq=pengertian populasi dan sampel&amp;pg=PR4&amp;printsec=frontcover.","plainTextFormattedCitation":"Endang Widi Winarni, Teori Dan Praktik Penelitian Kuantitatif Kualitatif, Pertama (Jakarta: Bumi Aksara, 2018), https://www.google.co.id/books/edition/Teori_dan_Praktik_Penelitian_Kuantitatif/Fx0mEAAAQBAJ?hl=id&amp;gbpv=1&amp;dq=pengertian populasi dan sampel&amp;pg=PR4&amp;printsec=frontcover.","previouslyFormattedCitation":"Endang Widi Winarni, &lt;i&gt;Teori Dan Praktik Penelitian Kuantitatif Kualitatif&lt;/i&gt;, Pertama (Jakarta: Bumi Aksara, 2018), https://www.google.co.id/books/edition/Teori_dan_Praktik_Penelitian_Kuantitatif/Fx0mEAAAQBAJ?hl=id&amp;gbpv=1&amp;dq=pengertian populasi dan sampel&amp;pg=PR4&amp;printsec=frontcover."},"properties":{"noteIndex":104},"schema":"https://github.com/citation-style-language/schema/raw/master/csl-citation.json"}</w:instrText>
      </w:r>
      <w:r w:rsidRPr="009E3DCE">
        <w:rPr>
          <w:rFonts w:asciiTheme="majorBidi" w:hAnsiTheme="majorBidi" w:cstheme="majorBidi"/>
        </w:rPr>
        <w:fldChar w:fldCharType="separate"/>
      </w:r>
      <w:r w:rsidRPr="001F420D">
        <w:rPr>
          <w:rFonts w:asciiTheme="majorBidi" w:hAnsiTheme="majorBidi" w:cstheme="majorBidi"/>
          <w:noProof/>
          <w:lang w:val="sv-SE"/>
        </w:rPr>
        <w:t xml:space="preserve">Endang Widi Winarni, </w:t>
      </w:r>
      <w:r w:rsidRPr="001F420D">
        <w:rPr>
          <w:rFonts w:asciiTheme="majorBidi" w:hAnsiTheme="majorBidi" w:cstheme="majorBidi"/>
          <w:i/>
          <w:noProof/>
          <w:lang w:val="sv-SE"/>
        </w:rPr>
        <w:t>Teori Dan Praktik Penelitian Kuantitatif Kualitatif</w:t>
      </w:r>
      <w:r w:rsidRPr="001F420D">
        <w:rPr>
          <w:rFonts w:asciiTheme="majorBidi" w:hAnsiTheme="majorBidi" w:cstheme="majorBidi"/>
          <w:noProof/>
          <w:lang w:val="sv-SE"/>
        </w:rPr>
        <w:t>, Pertama (Jakarta: Bumi Aksara, 2018), https://www.google.co.id/books/edition/Teori_dan_Praktik_Penelitian_Kuantitatif/Fx0mEAAAQBAJ?hl=id&amp;gbpv=1&amp;dq=pengertian populasi dan sampel&amp;pg=PR4&amp;printsec=frontcover.</w:t>
      </w:r>
      <w:r w:rsidRPr="009E3DCE">
        <w:rPr>
          <w:rFonts w:asciiTheme="majorBidi" w:hAnsiTheme="majorBidi" w:cstheme="majorBidi"/>
        </w:rPr>
        <w:fldChar w:fldCharType="end"/>
      </w:r>
      <w:r w:rsidR="00DC25C8" w:rsidRPr="001F420D">
        <w:rPr>
          <w:rFonts w:asciiTheme="majorBidi" w:hAnsiTheme="majorBidi" w:cstheme="majorBidi"/>
          <w:lang w:val="sv-SE"/>
        </w:rPr>
        <w:t xml:space="preserve"> </w:t>
      </w:r>
      <w:r w:rsidR="00DC25C8" w:rsidRPr="009E3DCE">
        <w:rPr>
          <w:rFonts w:asciiTheme="majorBidi" w:hAnsiTheme="majorBidi" w:cstheme="majorBidi"/>
        </w:rPr>
        <w:t>Hal.38</w:t>
      </w:r>
    </w:p>
  </w:footnote>
  <w:footnote w:id="105">
    <w:p w14:paraId="03F6ED1B" w14:textId="57A62A39" w:rsidR="00DC25C8" w:rsidRPr="009E3DCE" w:rsidRDefault="00DC25C8" w:rsidP="009E3DCE">
      <w:pPr>
        <w:pStyle w:val="FootnoteText"/>
        <w:ind w:firstLine="720"/>
        <w:jc w:val="both"/>
        <w:rPr>
          <w:rFonts w:asciiTheme="majorBidi" w:hAnsiTheme="majorBidi" w:cstheme="majorBidi"/>
          <w:lang w:val="en-US"/>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{"citationItems":[{"id":"ITEM-1","itemData":{"author":[{"dropping-particle":"","family":"Winarni","given":"Endang Widi","non-dropping-particle":"","parse-names":false,"suffix":""}],"edition":"Pertama","id":"ITEM-1","issued":{"date-parts":[["2018"]]},"publisher":"Bumi Aksara","publisher-place":"Jakarta","title":"Teori dan Praktik Penelitian Kuantitatif Kualitatif","type":"book"},"uris":["http://www.mendeley.com/documents/?uuid=75a53e06-1455-4e96-842c-ef59602440a2"]}],"mendeley":{"formattedCitation":"Winarni.","plainTextFormattedCitation":"Winarni.","previouslyFormattedCitation":"Winarni."},"properties":{"noteIndex":105},"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rPr>
        <w:t>Winarni.</w:t>
      </w:r>
      <w:r w:rsidRPr="009E3DCE">
        <w:rPr>
          <w:rFonts w:asciiTheme="majorBidi" w:hAnsiTheme="majorBidi" w:cstheme="majorBidi"/>
        </w:rPr>
        <w:fldChar w:fldCharType="end"/>
      </w:r>
      <w:r w:rsidRPr="009E3DCE">
        <w:rPr>
          <w:rFonts w:asciiTheme="majorBidi" w:hAnsiTheme="majorBidi" w:cstheme="majorBidi"/>
        </w:rPr>
        <w:t xml:space="preserve"> Hal.40</w:t>
      </w:r>
    </w:p>
  </w:footnote>
  <w:footnote w:id="106">
    <w:p w14:paraId="73174052" w14:textId="01ABDB15" w:rsidR="00BF77EF" w:rsidRPr="009E3DCE" w:rsidRDefault="00BF77EF" w:rsidP="009E3DCE">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lang w:val="sv-SE"/>
        </w:rPr>
        <w:fldChar w:fldCharType="begin" w:fldLock="1"/>
      </w:r>
      <w:r w:rsidR="00E23066">
        <w:rPr>
          <w:rFonts w:asciiTheme="majorBidi" w:hAnsiTheme="majorBidi" w:cstheme="majorBidi"/>
        </w:rPr>
        <w:instrText>ADDIN CSL_CITATION {"citationItems":[{"id":"ITEM-1","itemData":{"abstract":"Penelitian kuantitatif merupakan salah satu jenis penelitian yang spesifikasinya adalah sistematis, terencana, dan terstruktur dengan jelas sejak awal hingga pembuatan desain penelitiannya. Penelitian kuantitatif adalah penelitian yang banyak menuntut penggunaan angka, mulai dari pengumpulan data, penafsiran terhadap data tersebut, serta penampilan dari hasilnya. Prosedur penelitian merupakan langkah-langkah yang digunakan sebagai alat untuk mengumpulkan data dan menyelesaikan permasalahan dalam penelitian. Langkah-langkah dalam penelitian kuantitatif adalah: (1) memilih masalah; (2) melakukan studi pendahuluan dengan menelaah teori dan riset terdahulu; (3) merumuskan masalah rancangan penelitian; (4) merumuskan hipotesis; (5) menentukan variabel; (6) menyusun rancangan penelitian; (7) menyusun instrumen atau alat pengumpul data; (8) menentukan sumber data; (9) mengumpulkan data; (10) mengolah dan menganalisis data; (11) penyajian hasil; (12) penemuan teori; dan (13) menulis laporan.","author":[{"dropping-particle":"","family":"Suharsimi","given":"Arikunto","non-dropping-particle":"","parse-names":false,"suffix":""}],"id":"ITEM-1","issue":"3","issued":{"date-parts":[["2010"]]},"page":"211-213","title":"Prosedur Penelitian","type":"article-journal","volume":"2"},"uris":["http://www.mendeley.com/documents/?uuid=5b5bfaa7-e818-459b-b748-8f24086f9378"]}],"mendeley":{"formattedCitation":"Arikunto Suharsimi, “Prosedur Penelitian” 2, no. 3 (2010): 211–13.","plainTextFormattedCitation":"Arikunto Suharsimi, “Prosedur Penelitian” 2, no. 3 (2010): 211–13.","previouslyFormattedCitation":"Arikunto Suharsimi, “Prosedur Penelitian” 2, no. 3 (2010): 211–13."},"properties":{"noteIndex":106},"schema":"https://github.com/citation-style-language/schema/raw/master/csl-citation.json"}</w:instrText>
      </w:r>
      <w:r w:rsidRPr="009E3DCE">
        <w:rPr>
          <w:rFonts w:asciiTheme="majorBidi" w:hAnsiTheme="majorBidi" w:cstheme="majorBidi"/>
          <w:lang w:val="sv-SE"/>
        </w:rPr>
        <w:fldChar w:fldCharType="separate"/>
      </w:r>
      <w:r w:rsidRPr="009E3DCE">
        <w:rPr>
          <w:rFonts w:asciiTheme="majorBidi" w:hAnsiTheme="majorBidi" w:cstheme="majorBidi"/>
          <w:noProof/>
        </w:rPr>
        <w:t>Arikunto Suharsimi, “Prosedur Penelitian” 2, no. 3 (2010): 211–13.</w:t>
      </w:r>
      <w:r w:rsidRPr="009E3DCE">
        <w:rPr>
          <w:rFonts w:asciiTheme="majorBidi" w:hAnsiTheme="majorBidi" w:cstheme="majorBidi"/>
          <w:lang w:val="sv-SE"/>
        </w:rPr>
        <w:fldChar w:fldCharType="end"/>
      </w:r>
      <w:r w:rsidRPr="009E3DCE">
        <w:rPr>
          <w:rFonts w:asciiTheme="majorBidi" w:hAnsiTheme="majorBidi" w:cstheme="majorBidi"/>
        </w:rPr>
        <w:t xml:space="preserve"> Hal 46</w:t>
      </w:r>
    </w:p>
  </w:footnote>
  <w:footnote w:id="107">
    <w:p w14:paraId="2A5C38B6" w14:textId="725E53C4" w:rsidR="00CE6303" w:rsidRPr="009E3DCE" w:rsidRDefault="00CE6303" w:rsidP="009E3DCE">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Agustianti","given":"Rifka","non-dropping-particle":"","parse-names":false,"suffix":""},{"dropping-particle":"","family":"Pandriadi","given":"","non-dropping-particle":"","parse-names":false,"suffix":""},{"dropping-particle":"","family":"Nussifera","given":"Lissinana","non-dropping-particle":"","parse-names":false,"suffix":""}],"edition":"Pertama","id":"ITEM-1","issued":{"date-parts":[["2022"]]},"publisher":"CV. Tohar Media","publisher-place":"Makassar","title":"Metode Penelitian Kuantitatif dan Kualitatif","type":"book"},"uris":["http://www.mendeley.com/documents/?uuid=d09adfac-147f-4314-a067-8b31b4f9bf44"]}],"mendeley":{"formattedCitation":"Rifka Agustianti, Pandriadi, and Lissinana Nussifera, &lt;i&gt;Metode Penelitian Kuantitatif Dan Kualitatif&lt;/i&gt;, Pertama (Makassar: CV. Tohar Media, 2022), https://www.google.co.id/books/edition/Metode_Penelitian_Kuantitatif_Dan_Kualit/giKkEAAAQBAJ?hl=id&amp;gbpv=1&amp;dq=penelitian kuantitatif&amp;pg=PR2&amp;printsec=frontcover.","plainTextFormattedCitation":"Rifka Agustianti, Pandriadi, and Lissinana Nussifera, Metode Penelitian Kuantitatif Dan Kualitatif, Pertama (Makassar: CV. Tohar Media, 2022), https://www.google.co.id/books/edition/Metode_Penelitian_Kuantitatif_Dan_Kualit/giKkEAAAQBAJ?hl=id&amp;gbpv=1&amp;dq=penelitian kuantitatif&amp;pg=PR2&amp;printsec=frontcover.","previouslyFormattedCitation":"Rifka Agustianti, Pandriadi, and Lissinana Nussifera, &lt;i&gt;Metode Penelitian Kuantitatif Dan Kualitatif&lt;/i&gt;, Pertama (Makassar: CV. Tohar Media, 2022), https://www.google.co.id/books/edition/Metode_Penelitian_Kuantitatif_Dan_Kualit/giKkEAAAQBAJ?hl=id&amp;gbpv=1&amp;dq=penelitian kuantitatif&amp;pg=PR2&amp;printsec=frontcover."},"properties":{"noteIndex":107},"schema":"https://github.com/citation-style-language/schema/raw/master/csl-citation.json"}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rPr>
        <w:t xml:space="preserve">Rifka Agustianti, Pandriadi, and Lissinana Nussifera, </w:t>
      </w:r>
      <w:r w:rsidRPr="009E3DCE">
        <w:rPr>
          <w:rFonts w:asciiTheme="majorBidi" w:hAnsiTheme="majorBidi" w:cstheme="majorBidi"/>
          <w:i/>
          <w:noProof/>
        </w:rPr>
        <w:t>Metode Penelitian Kuantitatif Dan Kualitatif</w:t>
      </w:r>
      <w:r w:rsidRPr="009E3DCE">
        <w:rPr>
          <w:rFonts w:asciiTheme="majorBidi" w:hAnsiTheme="majorBidi" w:cstheme="majorBidi"/>
          <w:noProof/>
        </w:rPr>
        <w:t>, Pertama (Makassar: CV. Tohar Media, 2022), https://www.google.co.id/books/edition/Metode_Penelitian_</w:t>
      </w:r>
      <w:r w:rsidR="004F6C85">
        <w:rPr>
          <w:rFonts w:asciiTheme="majorBidi" w:hAnsiTheme="majorBidi" w:cstheme="majorBidi"/>
          <w:noProof/>
        </w:rPr>
        <w:t xml:space="preserve"> </w:t>
      </w:r>
      <w:r w:rsidRPr="009E3DCE">
        <w:rPr>
          <w:rFonts w:asciiTheme="majorBidi" w:hAnsiTheme="majorBidi" w:cstheme="majorBidi"/>
          <w:noProof/>
        </w:rPr>
        <w:t>Kuantitatif_Dan_Kualit/giKkEAAAQBAJ?hl=id&amp;gbpv=1&amp;dq=penelitian kuantitatif&amp;pg=PR2&amp;printsec=frontcover.</w:t>
      </w:r>
      <w:r w:rsidRPr="009E3DCE">
        <w:rPr>
          <w:rFonts w:asciiTheme="majorBidi" w:hAnsiTheme="majorBidi" w:cstheme="majorBidi"/>
        </w:rPr>
        <w:fldChar w:fldCharType="end"/>
      </w:r>
      <w:r w:rsidRPr="009E3DCE">
        <w:rPr>
          <w:rFonts w:asciiTheme="majorBidi" w:hAnsiTheme="majorBidi" w:cstheme="majorBidi"/>
        </w:rPr>
        <w:t xml:space="preserve"> Hal.3</w:t>
      </w:r>
    </w:p>
  </w:footnote>
  <w:footnote w:id="108">
    <w:p w14:paraId="36AD0E7C" w14:textId="6132BBDF" w:rsidR="007252B6" w:rsidRPr="009E3DCE" w:rsidRDefault="007252B6" w:rsidP="009E3DCE">
      <w:pPr>
        <w:pStyle w:val="FootnoteText"/>
        <w:ind w:firstLine="720"/>
        <w:jc w:val="both"/>
        <w:rPr>
          <w:rFonts w:asciiTheme="majorBidi" w:hAnsiTheme="majorBidi" w:cstheme="majorBidi"/>
          <w:lang w:val="en-US"/>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{"citationItems":[{"id":"ITEM-1","itemData":{"author":[{"dropping-particle":"","family":"Firdaus","given":"","non-dropping-particle":"","parse-names":false,"suffix":""}],"edition":"Pertama","id":"ITEM-1","issued":{"date-parts":[["2021"]]},"publisher":"Dotplush Publisher","publisher-place":"Riau","title":"Metodologi Penelitian Kualitatif","type":"book"},"uris":["http://www.mendeley.com/documents/?uuid=6fddaad6-5d3f-435a-a352-f02957cd2b46"]}],"mendeley":{"formattedCitation":"Firdaus, &lt;i&gt;Metodologi Penelitian Kualitatif&lt;/i&gt;, Pertama (Riau: Dotplush Publisher, 2021), https://www.google.co.id/books/edition/METODOLOGI_PENELITIAN_KUANTITATIF_DILENG/lJ8hEAAAQBAJ?hl=id&amp;gbpv=1&amp;dq=data dalam penelitian kuantitatif adalah&amp;pg=PR4&amp;printsec=frontcover.","plainTextFormattedCitation":"Firdaus, Metodologi Penelitian Kualitatif, Pertama (Riau: Dotplush Publisher, 2021), https://www.google.co.id/books/edition/METODOLOGI_PENELITIAN_KUANTITATIF_DILENG/lJ8hEAAAQBAJ?hl=id&amp;gbpv=1&amp;dq=data dalam penelitian kuantitatif adalah&amp;pg=PR4&amp;printsec=frontcover.","previouslyFormattedCitation":"Firdaus, &lt;i&gt;Metodologi Penelitian Kualitatif&lt;/i&gt;, Pertama (Riau: Dotplush Publisher, 2021), https://www.google.co.id/books/edition/METODOLOGI_PENELITIAN_KUANTITATIF_DILENG/lJ8hEAAAQBAJ?hl=id&amp;gbpv=1&amp;dq=data dalam penelitian kuantitatif adalah&amp;pg=PR4&amp;printsec=frontcover."},"properties":{"noteIndex":108},"schema":"https://github.com/citation-style-language/schema/raw/master/csl-citation.json"}</w:instrText>
      </w:r>
      <w:r w:rsidRPr="009E3DCE">
        <w:rPr>
          <w:rFonts w:asciiTheme="majorBidi" w:hAnsiTheme="majorBidi" w:cstheme="majorBidi"/>
        </w:rPr>
        <w:fldChar w:fldCharType="separate"/>
      </w:r>
      <w:r w:rsidR="00B1250B" w:rsidRPr="00B1250B">
        <w:rPr>
          <w:rFonts w:asciiTheme="majorBidi" w:hAnsiTheme="majorBidi" w:cstheme="majorBidi"/>
          <w:noProof/>
        </w:rPr>
        <w:t xml:space="preserve">Firdaus, </w:t>
      </w:r>
      <w:r w:rsidR="00B1250B" w:rsidRPr="00B1250B">
        <w:rPr>
          <w:rFonts w:asciiTheme="majorBidi" w:hAnsiTheme="majorBidi" w:cstheme="majorBidi"/>
          <w:i/>
          <w:noProof/>
        </w:rPr>
        <w:t>Metodologi Penelitian Kualitatif</w:t>
      </w:r>
      <w:r w:rsidR="00B1250B" w:rsidRPr="00B1250B">
        <w:rPr>
          <w:rFonts w:asciiTheme="majorBidi" w:hAnsiTheme="majorBidi" w:cstheme="majorBidi"/>
          <w:noProof/>
        </w:rPr>
        <w:t>, Pertama (Riau: Dotplush Publisher, 2021), https://www.google.co.id/books/edition/</w:t>
      </w:r>
      <w:r w:rsidR="004F6C85" w:rsidRPr="00B1250B">
        <w:rPr>
          <w:rFonts w:asciiTheme="majorBidi" w:hAnsiTheme="majorBidi" w:cstheme="majorBidi"/>
          <w:noProof/>
        </w:rPr>
        <w:t>Metodologi_Penelitian_Kuantitatif_Dileng</w:t>
      </w:r>
      <w:r w:rsidR="00B1250B" w:rsidRPr="00B1250B">
        <w:rPr>
          <w:rFonts w:asciiTheme="majorBidi" w:hAnsiTheme="majorBidi" w:cstheme="majorBidi"/>
          <w:noProof/>
        </w:rPr>
        <w:t>/lJ8hEAAAQBAJ?hl=id&amp;gbpv=1&amp;dq=data dalam penelitian kuantitatif adalah&amp;pg=PR4&amp;printsec=frontcover.</w:t>
      </w:r>
      <w:r w:rsidRPr="009E3DCE">
        <w:rPr>
          <w:rFonts w:asciiTheme="majorBidi" w:hAnsiTheme="majorBidi" w:cstheme="majorBidi"/>
        </w:rPr>
        <w:fldChar w:fldCharType="end"/>
      </w:r>
      <w:r w:rsidRPr="009E3DCE">
        <w:rPr>
          <w:rFonts w:asciiTheme="majorBidi" w:hAnsiTheme="majorBidi" w:cstheme="majorBidi"/>
        </w:rPr>
        <w:t xml:space="preserve"> Hal.8</w:t>
      </w:r>
    </w:p>
  </w:footnote>
  <w:footnote w:id="109">
    <w:p w14:paraId="5F46A752" w14:textId="316585CA" w:rsidR="00BF77EF" w:rsidRPr="009E3DCE" w:rsidRDefault="00BF77EF" w:rsidP="009E3DCE">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rPr>
        <w:fldChar w:fldCharType="begin" w:fldLock="1"/>
      </w:r>
      <w:r w:rsidR="00E23066">
        <w:rPr>
          <w:rFonts w:asciiTheme="majorBidi" w:hAnsiTheme="majorBidi" w:cstheme="majorBidi"/>
        </w:rPr>
        <w:instrText>ADDIN CSL_CITATION {"citationItems":[{"id":"ITEM-1","itemData":{"abstract":"The abstract purpose of this journal writing is that it USES quantitative research methods to collect data in Numbers that can be added into categories, in order of rank, and then measured in terms of measuring. This type of data can be used to make charts and mental data tables. The study is then used to test a teory and in the end support or reject it, researchers observe and form hypotheses in their efforts to explain a phenomenon. If a hypothesis passes the test many times, it could be a new scientific theory. The aim of this quantitative research method to develop mathematical models, theories and hypotheses associated with aphenomenon in which thw goal is to determine the link between variables within a population. The process of measurement provides a fundamental link between emoirical observation and the mathematics of the quantitative relationship.","author":[{"dropping-particle":"","family":"Ali","given":"M.Makhrus","non-dropping-particle":"","parse-names":false,"suffix":""},{"dropping-particle":"","family":"Hariyati","given":"Tri","non-dropping-particle":"","parse-names":false,"suffix":""},{"dropping-particle":"","family":"Pratiwi","given":"Meli Yudestia","non-dropping-particle":"","parse-names":false,"suffix":""},{"dropping-particle":"","family":"Afifah","given":"Siti","non-dropping-particle":"","parse-names":false,"suffix":""}],"container-title":"Education Journal.2022","id":"ITEM-1","issue":"2","issued":{"date-parts":[["2022"]]},"page":"1-6","title":"Metodologi Penelitian Kuantitatif dan Penerapannya dalam Penelitian","type":"article-journal","volume":"2"},"uris":["http://www.mendeley.com/documents/?uuid=f7d574ad-e738-4a7b-baf1-c1aa7ac6b4aa"]}],"mendeley":{"formattedCitation":"M.Makhrus Ali et al., “Metodologi Penelitian Kuantitatif Dan Penerapannya Dalam Penelitian,” &lt;i&gt;Education Journal.2022&lt;/i&gt; 2, no. 2 (2022): 1–6.","plainTextFormattedCitation":"M.Makhrus Ali et al., “Metodologi Penelitian Kuantitatif Dan Penerapannya Dalam Penelitian,” Education Journal.2022 2, no. 2 (2022): 1–6.","previouslyFormattedCitation":"M.Makhrus Ali et al., “Metodologi Penelitian Kuantitatif Dan Penerapannya Dalam Penelitian,” &lt;i&gt;Education Journal.2022&lt;/i&gt; 2, no. 2 (2022): 1–6."},"properties":{"noteIndex":109},"schema":"https://github.com/citation-style-language/schema/raw/master/csl-citation.json"}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rPr>
        <w:t xml:space="preserve">M.Makhrus Ali et al., “Metodologi Penelitian Kuantitatif Dan Penerapannya Dalam Penelitian,” </w:t>
      </w:r>
      <w:r w:rsidRPr="009E3DCE">
        <w:rPr>
          <w:rFonts w:asciiTheme="majorBidi" w:hAnsiTheme="majorBidi" w:cstheme="majorBidi"/>
          <w:i/>
          <w:noProof/>
        </w:rPr>
        <w:t>Education Journal.2022</w:t>
      </w:r>
      <w:r w:rsidRPr="009E3DCE">
        <w:rPr>
          <w:rFonts w:asciiTheme="majorBidi" w:hAnsiTheme="majorBidi" w:cstheme="majorBidi"/>
          <w:noProof/>
        </w:rPr>
        <w:t xml:space="preserve"> 2, no. 2 (2022): 1–6.</w:t>
      </w:r>
      <w:r w:rsidRPr="009E3DCE">
        <w:rPr>
          <w:rFonts w:asciiTheme="majorBidi" w:hAnsiTheme="majorBidi" w:cstheme="majorBidi"/>
        </w:rPr>
        <w:fldChar w:fldCharType="end"/>
      </w:r>
    </w:p>
  </w:footnote>
  <w:footnote w:id="110">
    <w:p w14:paraId="3496BB06" w14:textId="408818B4" w:rsidR="00BF77EF" w:rsidRPr="009E3DCE" w:rsidRDefault="00BF77EF" w:rsidP="009E3DCE">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1F420D">
        <w:rPr>
          <w:rFonts w:asciiTheme="majorBidi" w:hAnsiTheme="majorBidi" w:cstheme="majorBidi"/>
        </w:rPr>
        <w:t xml:space="preserve"> </w:t>
      </w:r>
      <w:r w:rsidRPr="009E3DCE">
        <w:rPr>
          <w:rFonts w:asciiTheme="majorBidi" w:hAnsiTheme="majorBidi" w:cstheme="majorBidi"/>
        </w:rPr>
        <w:fldChar w:fldCharType="begin" w:fldLock="1"/>
      </w:r>
      <w:r w:rsidR="00E23066" w:rsidRPr="001F420D">
        <w:rPr>
          <w:rFonts w:asciiTheme="majorBidi" w:hAnsiTheme="majorBidi" w:cstheme="majorBidi"/>
        </w:rPr>
        <w:instrText>ADDIN CSL_CITATION {"citationItems":[{"id":"ITEM-1","itemData":{"ISBN":"9786231986689","abstract":"Buku ini membahas Perspektif Metode Penelitian Kuantitatif, Proses Penelitian, Masalah, Variabel, dan Paradigma Penelitian, Tinjauan Teoritis, Kerangka Berpikir, dan Pengajuan Hipotesis, Metode Penelitian Eksperimen, Populasi dan Sampel Penelitian, Skala Pengukuran dan Instrumen Penelitian, Teknik Pengumpulan Data, Teknik Analisis Data dan Pengujian Hipotesis, Masalah, Fokus, Judul, dan Teori dalam Penelitian Kualitatif, Wawancara Sebagai Teknik Pengumpulan data, Observasi Sebagai Teknik Pengumpulan Data, Tahap-Tahap Penelitian Kualitatif, Membuat Catatan lapangan, Sistematika Penulisan Skripsi/Tesis Penelitian Kuantitatif, Sistematika Penulisan Skripsi/Tesis Penelitian Kualitatif.","author":[{"dropping-particle":"","family":"Adil","given":"Ahmad","non-dropping-particle":"","parse-names":false,"suffix":""}],"id":"ITEM-1","issue":"January","issued":{"date-parts":[["2023"]]},"number-of-pages":"42","title":"Metode Penelitian Kuantitatif dan Kualitatif: Teori dan Praktik","type":"book"},"uris":["http://www.mendeley.com/documents/?uuid=be79b4ae-af04-42d0-b411-0ec263609903"]}],"mendeley":{"formattedCitation":"Ahmad Adil, &lt;i&gt;Metode Penelitian Kuantitatif Dan Kualitatif: Teori Dan Praktik&lt;/i&gt;, 2023.","plainTextFormattedCitation":"Ahmad Adil, Metode Penelitian Kuantitatif Dan Kualitatif: Teori Dan Praktik, 2023.","previouslyFormattedCitation":"Ahmad Adil, &lt;i&gt;Metode Penelitian Kuantitatif Dan Kualitatif: Teori Dan Praktik&lt;/i&gt;, 2023."},"properties":{"noteIndex":110},"schema":"https://github.com/citation-style-language/schema/raw/master/csl-citation.json"}</w:instrText>
      </w:r>
      <w:r w:rsidRPr="009E3DCE">
        <w:rPr>
          <w:rFonts w:asciiTheme="majorBidi" w:hAnsiTheme="majorBidi" w:cstheme="majorBidi"/>
        </w:rPr>
        <w:fldChar w:fldCharType="separate"/>
      </w:r>
      <w:r w:rsidRPr="001F420D">
        <w:rPr>
          <w:rFonts w:asciiTheme="majorBidi" w:hAnsiTheme="majorBidi" w:cstheme="majorBidi"/>
          <w:noProof/>
        </w:rPr>
        <w:t xml:space="preserve">Ahmad Adil, </w:t>
      </w:r>
      <w:r w:rsidRPr="001F420D">
        <w:rPr>
          <w:rFonts w:asciiTheme="majorBidi" w:hAnsiTheme="majorBidi" w:cstheme="majorBidi"/>
          <w:i/>
          <w:noProof/>
        </w:rPr>
        <w:t>Metode Penelitian Kuantitatif Dan Kualitatif: Teori Dan Praktik</w:t>
      </w:r>
      <w:r w:rsidRPr="001F420D">
        <w:rPr>
          <w:rFonts w:asciiTheme="majorBidi" w:hAnsiTheme="majorBidi" w:cstheme="majorBidi"/>
          <w:noProof/>
        </w:rPr>
        <w:t>, 2023.</w:t>
      </w:r>
      <w:r w:rsidRPr="009E3DCE">
        <w:rPr>
          <w:rFonts w:asciiTheme="majorBidi" w:hAnsiTheme="majorBidi" w:cstheme="majorBidi"/>
        </w:rPr>
        <w:fldChar w:fldCharType="end"/>
      </w:r>
      <w:r w:rsidRPr="009E3DCE">
        <w:rPr>
          <w:rFonts w:asciiTheme="majorBidi" w:hAnsiTheme="majorBidi" w:cstheme="majorBidi"/>
        </w:rPr>
        <w:t>Hal.131</w:t>
      </w:r>
    </w:p>
  </w:footnote>
  <w:footnote w:id="111">
    <w:p w14:paraId="0747BB5D" w14:textId="43497075" w:rsidR="00CF5285" w:rsidRPr="009E3DCE" w:rsidRDefault="00CF5285" w:rsidP="009E3DCE">
      <w:pPr>
        <w:pStyle w:val="FootnoteText"/>
        <w:ind w:firstLine="720"/>
        <w:jc w:val="both"/>
        <w:rPr>
          <w:rFonts w:asciiTheme="majorBidi" w:hAnsiTheme="majorBidi" w:cstheme="majorBidi"/>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Pr="009E3DC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{"citationItems":[{"id":"ITEM-1","itemData":{"author":[{"dropping-particle":"","family":"Handayani","given":"Luh Titi","non-dropping-particle":"","parse-names":false,"suffix":""},{"dropping-particle":"","family":"Asmuji","given":"","non-dropping-particle":"","parse-names":false,"suffix":""}],"id":"ITEM-1","issued":{"date-parts":[["2023"]]},"publisher":"Um Jember Press","publisher-place":"Jember","title":"Statistik Deskriptif","type":"book"},"uris":["http://www.mendeley.com/documents/?uuid=878c60b2-c9ed-4857-a470-11bb347ac02c"]}],"mendeley":{"formattedCitation":"Luh Titi Handayani and Asmuji, &lt;i&gt;Statistik Deskriptif&lt;/i&gt; (Jember: Um Jember Press, 2023), https://www.google.co.id/books/edition/STATISTIK_DESKRIPTIF/laXKEAAAQBAJ?hl=id&amp;gbpv=1&amp;dq=statistik deskriptif&amp;pg=PR2&amp;printsec=frontcover.","plainTextFormattedCitation":"Luh Titi Handayani and Asmuji, Statistik Deskriptif (Jember: Um Jember Press, 2023), https://www.google.co.id/books/edition/STATISTIK_DESKRIPTIF/laXKEAAAQBAJ?hl=id&amp;gbpv=1&amp;dq=statistik deskriptif&amp;pg=PR2&amp;printsec=frontcover.","previouslyFormattedCitation":"Luh Titi Handayani and Asmuji, &lt;i&gt;Statistik Deskriptif&lt;/i&gt; (Jember: Um Jember Press, 2023), https://www.google.co.id/books/edition/STATISTIK_DESKRIPTIF/laXKEAAAQBAJ?hl=id&amp;gbpv=1&amp;dq=statistik deskriptif&amp;pg=PR2&amp;printsec=frontcover."},"properties":{"noteIndex":111},"schema":"https://github.com/citation-style-language/schema/raw/master/csl-citation.json"}</w:instrText>
      </w:r>
      <w:r w:rsidRPr="009E3DCE">
        <w:rPr>
          <w:rFonts w:asciiTheme="majorBidi" w:hAnsiTheme="majorBidi" w:cstheme="majorBidi"/>
        </w:rPr>
        <w:fldChar w:fldCharType="separate"/>
      </w:r>
      <w:r w:rsidRPr="009E3DCE">
        <w:rPr>
          <w:rFonts w:asciiTheme="majorBidi" w:hAnsiTheme="majorBidi" w:cstheme="majorBidi"/>
          <w:noProof/>
        </w:rPr>
        <w:t xml:space="preserve">Luh Titi Handayani and Asmuji, </w:t>
      </w:r>
      <w:r w:rsidRPr="009E3DCE">
        <w:rPr>
          <w:rFonts w:asciiTheme="majorBidi" w:hAnsiTheme="majorBidi" w:cstheme="majorBidi"/>
          <w:i/>
          <w:noProof/>
        </w:rPr>
        <w:t>Statistik Deskriptif</w:t>
      </w:r>
      <w:r w:rsidRPr="009E3DCE">
        <w:rPr>
          <w:rFonts w:asciiTheme="majorBidi" w:hAnsiTheme="majorBidi" w:cstheme="majorBidi"/>
          <w:noProof/>
        </w:rPr>
        <w:t xml:space="preserve"> (Jember: Um Jember Press, 2023), https://www.google.co.id/books/edition/</w:t>
      </w:r>
      <w:r w:rsidR="004F6C85" w:rsidRPr="009E3DCE">
        <w:rPr>
          <w:rFonts w:asciiTheme="majorBidi" w:hAnsiTheme="majorBidi" w:cstheme="majorBidi"/>
          <w:noProof/>
        </w:rPr>
        <w:t>Statistik_Deskriptif/Laxkeaaaqbaj</w:t>
      </w:r>
      <w:r w:rsidRPr="009E3DCE">
        <w:rPr>
          <w:rFonts w:asciiTheme="majorBidi" w:hAnsiTheme="majorBidi" w:cstheme="majorBidi"/>
          <w:noProof/>
        </w:rPr>
        <w:t>?hl=id&amp;gbpv=1&amp;dq=statistik deskriptif&amp;pg=PR2&amp;printsec=frontcover.</w:t>
      </w:r>
      <w:r w:rsidRPr="009E3DCE">
        <w:rPr>
          <w:rFonts w:asciiTheme="majorBidi" w:hAnsiTheme="majorBidi" w:cstheme="majorBidi"/>
        </w:rPr>
        <w:fldChar w:fldCharType="end"/>
      </w:r>
      <w:r w:rsidRPr="009E3DCE">
        <w:rPr>
          <w:rFonts w:asciiTheme="majorBidi" w:hAnsiTheme="majorBidi" w:cstheme="majorBidi"/>
        </w:rPr>
        <w:t xml:space="preserve"> Hal.17</w:t>
      </w:r>
    </w:p>
  </w:footnote>
  <w:footnote w:id="112">
    <w:p w14:paraId="7B1FF3E4" w14:textId="5DD67540" w:rsidR="00911B25" w:rsidRPr="009E3DCE" w:rsidRDefault="00911B25" w:rsidP="009E3DCE">
      <w:pPr>
        <w:pStyle w:val="FootnoteText"/>
        <w:ind w:firstLine="720"/>
        <w:jc w:val="both"/>
        <w:rPr>
          <w:rFonts w:asciiTheme="majorBidi" w:hAnsiTheme="majorBidi" w:cstheme="majorBidi"/>
          <w:lang w:val="sv-SE"/>
        </w:rPr>
      </w:pPr>
      <w:r w:rsidRPr="009E3DCE">
        <w:rPr>
          <w:rStyle w:val="FootnoteReference"/>
          <w:rFonts w:asciiTheme="majorBidi" w:hAnsiTheme="majorBidi" w:cstheme="majorBidi"/>
        </w:rPr>
        <w:footnoteRef/>
      </w:r>
      <w:r w:rsidRPr="009E3DCE">
        <w:rPr>
          <w:rFonts w:asciiTheme="majorBidi" w:hAnsiTheme="majorBidi" w:cstheme="majorBidi"/>
        </w:rPr>
        <w:t xml:space="preserve"> </w:t>
      </w:r>
      <w:r w:rsidR="00C56AED" w:rsidRPr="009E3DC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{"citationItems":[{"id":"ITEM-1","itemData":{"author":[{"dropping-particle":"","family":"Waty","given":"Ervina","non-dropping-particle":"","parse-names":false,"suffix":""},{"dropping-particle":"","family":"Anggraeni","given":"Annisa Fitri","non-dropping-particle":"","parse-names":false,"suffix":""},{"dropping-particle":"","family":"Apriani","given":"Anita","non-dropping-particle":"","parse-names":false,"suffix":""}],"edition":"Pertama","id":"ITEM-1","issued":{"date-parts":[["2023"]]},"publisher":"PT. Sonpedia Publishing Indonesia","publisher-place":"Jambi","title":"Metodologi Penelitian Bisnis","type":"book"},"uris":["http://www.mendeley.com/documents/?uuid=e5b1b101-b1eb-4f8b-8d93-c507a2aa1b7c"]}],"mendeley":{"formattedCitation":"Ervina Waty, Annisa Fitri Anggraeni, and Anita Apriani, &lt;i&gt;Metodologi Penelitian Bisnis&lt;/i&gt;, Pertama (Jambi: PT. Sonpedia Publishing Indonesia, 2023), https://www.google.co.id/books/edition/METODOLOGI_PENELITIAN_BISNIS_Teori_Pandu/MVzfEAAAQBAJ?hl=id&amp;gbpv=1&amp;dq=uji asumsi klasik&amp;pg=PR1&amp;printsec=frontcover.","plainTextFormattedCitation":"Ervina Waty, Annisa Fitri Anggraeni, and Anita Apriani, Metodologi Penelitian Bisnis, Pertama (Jambi: PT. Sonpedia Publishing Indonesia, 2023), https://www.google.co.id/books/edition/METODOLOGI_PENELITIAN_BISNIS_Teori_Pandu/MVzfEAAAQBAJ?hl=id&amp;gbpv=1&amp;dq=uji asumsi klasik&amp;pg=PR1&amp;printsec=frontcover.","previouslyFormattedCitation":"Ervina Waty, Annisa Fitri Anggraeni, and Anita Apriani, &lt;i&gt;Metodologi Penelitian Bisnis&lt;/i&gt;, Pertama (Jambi: PT. Sonpedia Publishing Indonesia, 2023), https://www.google.co.id/books/edition/METODOLOGI_PENELITIAN_BISNIS_Teori_Pandu/MVzfEAAAQBAJ?hl=id&amp;gbpv=1&amp;dq=uji asumsi klasik&amp;pg=PR1&amp;printsec=frontcover."},"properties":{"noteIndex":112},"schema":"https://github.com/citation-style-language/schema/raw/master/csl-citation.json"}</w:instrText>
      </w:r>
      <w:r w:rsidR="00C56AED" w:rsidRPr="009E3DCE">
        <w:rPr>
          <w:rFonts w:asciiTheme="majorBidi" w:hAnsiTheme="majorBidi" w:cstheme="majorBidi"/>
        </w:rPr>
        <w:fldChar w:fldCharType="separate"/>
      </w:r>
      <w:r w:rsidR="00B1250B" w:rsidRPr="00B1250B">
        <w:rPr>
          <w:rFonts w:asciiTheme="majorBidi" w:hAnsiTheme="majorBidi" w:cstheme="majorBidi"/>
          <w:noProof/>
        </w:rPr>
        <w:t xml:space="preserve">Ervina Waty, Annisa Fitri Anggraeni, and Anita Apriani, </w:t>
      </w:r>
      <w:r w:rsidR="00B1250B" w:rsidRPr="00B1250B">
        <w:rPr>
          <w:rFonts w:asciiTheme="majorBidi" w:hAnsiTheme="majorBidi" w:cstheme="majorBidi"/>
          <w:i/>
          <w:noProof/>
        </w:rPr>
        <w:t>Metodologi Penelitian Bisnis</w:t>
      </w:r>
      <w:r w:rsidR="00B1250B" w:rsidRPr="00B1250B">
        <w:rPr>
          <w:rFonts w:asciiTheme="majorBidi" w:hAnsiTheme="majorBidi" w:cstheme="majorBidi"/>
          <w:noProof/>
        </w:rPr>
        <w:t>, Pertama (Jambi: PT. Sonpedia Publishing Indonesia, 2023), https://www.google.co.id/books/edition/</w:t>
      </w:r>
      <w:r w:rsidR="004F6C85" w:rsidRPr="00B1250B">
        <w:rPr>
          <w:rFonts w:asciiTheme="majorBidi" w:hAnsiTheme="majorBidi" w:cstheme="majorBidi"/>
          <w:noProof/>
        </w:rPr>
        <w:t>Metodologi_Penelitian_</w:t>
      </w:r>
      <w:r w:rsidR="004F6C85">
        <w:rPr>
          <w:rFonts w:asciiTheme="majorBidi" w:hAnsiTheme="majorBidi" w:cstheme="majorBidi"/>
          <w:noProof/>
        </w:rPr>
        <w:t xml:space="preserve"> </w:t>
      </w:r>
      <w:r w:rsidR="004F6C85" w:rsidRPr="00B1250B">
        <w:rPr>
          <w:rFonts w:asciiTheme="majorBidi" w:hAnsiTheme="majorBidi" w:cstheme="majorBidi"/>
          <w:noProof/>
        </w:rPr>
        <w:t>Bisnis</w:t>
      </w:r>
      <w:r w:rsidR="00B1250B" w:rsidRPr="00B1250B">
        <w:rPr>
          <w:rFonts w:asciiTheme="majorBidi" w:hAnsiTheme="majorBidi" w:cstheme="majorBidi"/>
          <w:noProof/>
        </w:rPr>
        <w:t>_Teori_Pandu/MVzfEAAAQBAJ?hl=id&amp;gbpv=1&amp;dq=uji asumsi klasik&amp;pg=PR1&amp;printsec=frontcover.</w:t>
      </w:r>
      <w:r w:rsidR="00C56AED" w:rsidRPr="009E3DCE">
        <w:rPr>
          <w:rFonts w:asciiTheme="majorBidi" w:hAnsiTheme="majorBidi" w:cstheme="majorBidi"/>
        </w:rPr>
        <w:fldChar w:fldCharType="end"/>
      </w:r>
      <w:r w:rsidR="00C56AED" w:rsidRPr="009E3DCE">
        <w:rPr>
          <w:rFonts w:asciiTheme="majorBidi" w:hAnsiTheme="majorBidi" w:cstheme="majorBidi"/>
        </w:rPr>
        <w:t xml:space="preserve"> </w:t>
      </w:r>
      <w:r w:rsidR="00C56AED" w:rsidRPr="009E3DCE">
        <w:rPr>
          <w:rFonts w:asciiTheme="majorBidi" w:hAnsiTheme="majorBidi" w:cstheme="majorBidi"/>
          <w:lang w:val="sv-SE"/>
        </w:rPr>
        <w:t>Hal.140</w:t>
      </w:r>
    </w:p>
  </w:footnote>
  <w:footnote w:id="113">
    <w:p w14:paraId="27A3A89C" w14:textId="781103BF" w:rsidR="00267018" w:rsidRPr="00BA2B7E" w:rsidRDefault="00267018" w:rsidP="00BA2B7E">
      <w:pPr>
        <w:pStyle w:val="FootnoteText"/>
        <w:ind w:firstLine="720"/>
        <w:jc w:val="both"/>
        <w:rPr>
          <w:rFonts w:asciiTheme="majorBidi" w:hAnsiTheme="majorBidi" w:cstheme="majorBidi"/>
        </w:rPr>
      </w:pPr>
      <w:r w:rsidRPr="00BA2B7E">
        <w:rPr>
          <w:rStyle w:val="FootnoteReference"/>
          <w:rFonts w:asciiTheme="majorBidi" w:hAnsiTheme="majorBidi" w:cstheme="majorBidi"/>
        </w:rPr>
        <w:footnoteRef/>
      </w:r>
      <w:r w:rsidRPr="00BA2B7E">
        <w:rPr>
          <w:rFonts w:asciiTheme="majorBidi" w:hAnsiTheme="majorBidi" w:cstheme="majorBidi"/>
          <w:lang w:val="sv-SE"/>
        </w:rPr>
        <w:t xml:space="preserve"> </w:t>
      </w:r>
      <w:r w:rsidRPr="00BA2B7E">
        <w:rPr>
          <w:rFonts w:asciiTheme="majorBidi" w:hAnsiTheme="majorBidi" w:cstheme="majorBidi"/>
        </w:rPr>
        <w:fldChar w:fldCharType="begin" w:fldLock="1"/>
      </w:r>
      <w:r w:rsidR="00E23066">
        <w:rPr>
          <w:rFonts w:asciiTheme="majorBidi" w:hAnsiTheme="majorBidi" w:cstheme="majorBidi"/>
          <w:lang w:val="sv-SE"/>
        </w:rPr>
        <w:instrText>ADDIN CSL_CITATION {"citationItems":[{"id":"ITEM-1","itemData":{"author":[{"dropping-particle":"","family":"Zulkifli","given":"Aklilah","non-dropping-particle":"","parse-names":false,"suffix":""},{"dropping-particle":"","family":"Gusniati","given":"Juita","non-dropping-particle":"","parse-names":false,"suffix":""},{"dropping-particle":"","family":"Zulefni","given":"Marshella Septi","non-dropping-particle":"","parse-names":false,"suffix":""},{"dropping-particle":"","family":"Afendi","given":"Raesa Aldania","non-dropping-particle":"","parse-names":false,"suffix":""}],"id":"ITEM-1","issue":"2","issued":{"date-parts":[["2025"]]},"page":"55-68","title":"dengan Tutorial uji normalitas dan menggunakan aplikasi SPSS uji homogenitas","type":"article-journal","volume":"1"},"uris":["http://www.mendeley.com/documents/?uuid=b0bc7d09-3646-41e6-bbfd-612887ce4323"]}],"mendeley":{"formattedCitation":"Aklilah Zulkifli et al., “Dengan Tutorial Uji Normalitas Dan Menggunakan Aplikasi SPSS Uji Homogenitas” 1, no. 2 (2025): 55–68.","plainTextFormattedCitation":"Aklilah Zulkifli et al., “Dengan Tutorial Uji Normalitas Dan Menggunakan Aplikasi SPSS Uji Homogenitas” 1, no. 2 (2025): 55–68.","previouslyFormattedCitation":"Aklilah Zulkifli et al., “Dengan Tutorial Uji Normalitas Dan Menggunakan Aplikasi SPSS Uji Homogenitas” 1, no. 2 (2025): 55–68."},"properties":{"noteIndex":113},"schema":"https://github.com/citation-style-language/schema/raw/master/csl-citation.json"}</w:instrText>
      </w:r>
      <w:r w:rsidRPr="00BA2B7E">
        <w:rPr>
          <w:rFonts w:asciiTheme="majorBidi" w:hAnsiTheme="majorBidi" w:cstheme="majorBidi"/>
        </w:rPr>
        <w:fldChar w:fldCharType="separate"/>
      </w:r>
      <w:r w:rsidRPr="00BA2B7E">
        <w:rPr>
          <w:rFonts w:asciiTheme="majorBidi" w:hAnsiTheme="majorBidi" w:cstheme="majorBidi"/>
          <w:noProof/>
          <w:lang w:val="sv-SE"/>
        </w:rPr>
        <w:t>Aklilah Zulkifli et al., “Dengan Tutorial Uji Normalitas Dan Menggunakan Aplikasi SPSS Uji Homogenitas” 1, no. 2 (2025): 55–68.</w:t>
      </w:r>
      <w:r w:rsidRPr="00BA2B7E">
        <w:rPr>
          <w:rFonts w:asciiTheme="majorBidi" w:hAnsiTheme="majorBidi" w:cstheme="majorBidi"/>
        </w:rPr>
        <w:fldChar w:fldCharType="end"/>
      </w:r>
      <w:r w:rsidRPr="00BA2B7E">
        <w:rPr>
          <w:rFonts w:asciiTheme="majorBidi" w:hAnsiTheme="majorBidi" w:cstheme="majorBidi"/>
        </w:rPr>
        <w:t>Hal.57</w:t>
      </w:r>
    </w:p>
  </w:footnote>
  <w:footnote w:id="114">
    <w:p w14:paraId="0868F15C" w14:textId="4D8D163C" w:rsidR="004970CB" w:rsidRPr="009B5521" w:rsidRDefault="004970CB" w:rsidP="009B5521">
      <w:pPr>
        <w:pStyle w:val="FootnoteText"/>
        <w:ind w:firstLine="720"/>
        <w:jc w:val="both"/>
        <w:rPr>
          <w:rFonts w:asciiTheme="majorBidi" w:hAnsiTheme="majorBidi" w:cstheme="majorBidi"/>
        </w:rPr>
      </w:pPr>
      <w:r>
        <w:rPr>
          <w:rStyle w:val="FootnoteReference"/>
        </w:rPr>
        <w:footnoteRef/>
      </w:r>
      <w:r>
        <w:t xml:space="preserve"> </w:t>
      </w:r>
      <w:r w:rsidRPr="009B5521">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{"citationItems":[{"id":"ITEM-1","itemData":{"author":[{"dropping-particle":"","family":"Purwoto","given":"Agus","non-dropping-particle":"","parse-names":false,"suffix":""}],"id":"ITEM-1","issued":{"date-parts":[["2007"]]},"publisher":"Gramedia Widisarana Indonesia","publisher-place":"Jakarta","title":"Panduan Laboratorium Statistik Inferensial","type":"book"},"uris":["http://www.mendeley.com/documents/?uuid=38117a89-c9eb-4649-8460-f56f6a26e40d"]}],"mendeley":{"formattedCitation":"Agus Purwoto, &lt;i&gt;Panduan Laboratorium Statistik Inferensial&lt;/i&gt; (Jakarta: Gramedia Widisarana Indonesia, 2007), https://www.google.co.id/books/edition/Panduan_Lab_Statistik_Inferensial/jW2fTDlu0z0C?hl=id&amp;gbpv=1&amp;dq=uji multikolinearitas&amp;pg=PP1&amp;printsec=frontcover.","plainTextFormattedCitation":"Agus Purwoto, Panduan Laboratorium Statistik Inferensial (Jakarta: Gramedia Widisarana Indonesia, 2007), https://www.google.co.id/books/edition/Panduan_Lab_Statistik_Inferensial/jW2fTDlu0z0C?hl=id&amp;gbpv=1&amp;dq=uji multikolinearitas&amp;pg=PP1&amp;printsec=frontcover.","previouslyFormattedCitation":"Agus Purwoto, &lt;i&gt;Panduan Laboratorium Statistik Inferensial&lt;/i&gt; (Jakarta: Gramedia Widisarana Indonesia, 2007), https://www.google.co.id/books/edition/Panduan_Lab_Statistik_Inferensial/jW2fTDlu0z0C?hl=id&amp;gbpv=1&amp;dq=uji multikolinearitas&amp;pg=PP1&amp;printsec=frontcover."},"properties":{"noteIndex":114},"schema":"https://github.com/citation-style-language/schema/raw/master/csl-citation.json"}</w:instrText>
      </w:r>
      <w:r w:rsidRPr="009B5521">
        <w:rPr>
          <w:rFonts w:asciiTheme="majorBidi" w:hAnsiTheme="majorBidi" w:cstheme="majorBidi"/>
        </w:rPr>
        <w:fldChar w:fldCharType="separate"/>
      </w:r>
      <w:r w:rsidRPr="009B5521">
        <w:rPr>
          <w:rFonts w:asciiTheme="majorBidi" w:hAnsiTheme="majorBidi" w:cstheme="majorBidi"/>
          <w:noProof/>
        </w:rPr>
        <w:t xml:space="preserve">Agus Purwoto, </w:t>
      </w:r>
      <w:r w:rsidRPr="009B5521">
        <w:rPr>
          <w:rFonts w:asciiTheme="majorBidi" w:hAnsiTheme="majorBidi" w:cstheme="majorBidi"/>
          <w:i/>
          <w:noProof/>
        </w:rPr>
        <w:t>Panduan Laboratorium Statistik Inferensial</w:t>
      </w:r>
      <w:r w:rsidRPr="009B5521">
        <w:rPr>
          <w:rFonts w:asciiTheme="majorBidi" w:hAnsiTheme="majorBidi" w:cstheme="majorBidi"/>
          <w:noProof/>
        </w:rPr>
        <w:t xml:space="preserve"> (Jakarta: Gramedia Widisarana Indonesia, 2007), https://www.google.co.id/books/edition/Panduan_Lab_Statistik_Inferensial/jW2fTDlu0z0C?hl=id&amp;gbpv=1&amp;dq=uji multikolinearitas&amp;pg=PP1&amp;printsec=frontcover.</w:t>
      </w:r>
      <w:r w:rsidRPr="009B5521">
        <w:rPr>
          <w:rFonts w:asciiTheme="majorBidi" w:hAnsiTheme="majorBidi" w:cstheme="majorBidi"/>
        </w:rPr>
        <w:fldChar w:fldCharType="end"/>
      </w:r>
      <w:r w:rsidR="009B5521">
        <w:rPr>
          <w:rFonts w:asciiTheme="majorBidi" w:hAnsiTheme="majorBidi" w:cstheme="majorBidi"/>
        </w:rPr>
        <w:t xml:space="preserve"> Hal.97</w:t>
      </w:r>
    </w:p>
  </w:footnote>
  <w:footnote w:id="115">
    <w:p w14:paraId="17842389" w14:textId="0E7A93C7" w:rsidR="00CF2B0C" w:rsidRPr="00BA2B7E" w:rsidRDefault="00CF2B0C" w:rsidP="00BA2B7E">
      <w:pPr>
        <w:pStyle w:val="FootnoteText"/>
        <w:ind w:firstLine="720"/>
        <w:jc w:val="both"/>
        <w:rPr>
          <w:rFonts w:asciiTheme="majorBidi" w:hAnsiTheme="majorBidi" w:cstheme="majorBidi"/>
          <w:lang w:val="en-US"/>
        </w:rPr>
      </w:pPr>
      <w:r w:rsidRPr="00BA2B7E">
        <w:rPr>
          <w:rStyle w:val="FootnoteReference"/>
          <w:rFonts w:asciiTheme="majorBidi" w:hAnsiTheme="majorBidi" w:cstheme="majorBidi"/>
        </w:rPr>
        <w:footnoteRef/>
      </w:r>
      <w:r w:rsidRPr="00BA2B7E">
        <w:rPr>
          <w:rFonts w:asciiTheme="majorBidi" w:hAnsiTheme="majorBidi" w:cstheme="majorBidi"/>
        </w:rPr>
        <w:t xml:space="preserve"> </w:t>
      </w:r>
      <w:r w:rsidRPr="00BA2B7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{"citationItems":[{"id":"ITEM-1","itemData":{"author":[{"dropping-particle":"","family":"Duli","given":"Nikolaus","non-dropping-particle":"","parse-names":false,"suffix":""}],"id":"ITEM-1","issued":{"date-parts":[["2019"]]},"publisher":"Deepublish Publisher","publisher-place":"Sleman","title":"Metodologi Penelitian Kuantitatif","type":"book"},"uris":["http://www.mendeley.com/documents/?uuid=27b09ad6-2815-41ce-95d5-e15189f924ee"]}],"mendeley":{"formattedCitation":"Nikolaus Duli, &lt;i&gt;Metodologi Penelitian Kuantitatif&lt;/i&gt; (Sleman: Deepublish Publisher, 2019), https://www.google.co.id/books/edition/Metodologi_Penelitian_Kuantitatif/h5RYEQAAQBAJ?hl=id&amp;gbpv=1&amp;dq=uji heteroskedastisitas adalah&amp;pg=PR4&amp;printsec=frontcover.","plainTextFormattedCitation":"Nikolaus Duli, Metodologi Penelitian Kuantitatif (Sleman: Deepublish Publisher, 2019), https://www.google.co.id/books/edition/Metodologi_Penelitian_Kuantitatif/h5RYEQAAQBAJ?hl=id&amp;gbpv=1&amp;dq=uji heteroskedastisitas adalah&amp;pg=PR4&amp;printsec=frontcover.","previouslyFormattedCitation":"Nikolaus Duli, &lt;i&gt;Metodologi Penelitian Kuantitatif&lt;/i&gt; (Sleman: Deepublish Publisher, 2019), https://www.google.co.id/books/edition/Metodologi_Penelitian_Kuantitatif/h5RYEQAAQBAJ?hl=id&amp;gbpv=1&amp;dq=uji heteroskedastisitas adalah&amp;pg=PR4&amp;printsec=frontcover."},"properties":{"noteIndex":115},"schema":"https://github.com/citation-style-language/schema/raw/master/csl-citation.json"}</w:instrText>
      </w:r>
      <w:r w:rsidRPr="00BA2B7E">
        <w:rPr>
          <w:rFonts w:asciiTheme="majorBidi" w:hAnsiTheme="majorBidi" w:cstheme="majorBidi"/>
        </w:rPr>
        <w:fldChar w:fldCharType="separate"/>
      </w:r>
      <w:r w:rsidR="00B1250B" w:rsidRPr="00B1250B">
        <w:rPr>
          <w:rFonts w:asciiTheme="majorBidi" w:hAnsiTheme="majorBidi" w:cstheme="majorBidi"/>
          <w:noProof/>
        </w:rPr>
        <w:t xml:space="preserve">Nikolaus Duli, </w:t>
      </w:r>
      <w:r w:rsidR="00B1250B" w:rsidRPr="00B1250B">
        <w:rPr>
          <w:rFonts w:asciiTheme="majorBidi" w:hAnsiTheme="majorBidi" w:cstheme="majorBidi"/>
          <w:i/>
          <w:noProof/>
        </w:rPr>
        <w:t>Metodologi Penelitian Kuantitatif</w:t>
      </w:r>
      <w:r w:rsidR="00B1250B" w:rsidRPr="00B1250B">
        <w:rPr>
          <w:rFonts w:asciiTheme="majorBidi" w:hAnsiTheme="majorBidi" w:cstheme="majorBidi"/>
          <w:noProof/>
        </w:rPr>
        <w:t xml:space="preserve"> (Sleman: Deepublish Publisher, 2019), https://www.google.co.id/books/edition/Metodologi_Penelitian_Kuantitatif/h5RYEQAAQBAJ?hl=id&amp;gbpv=1&amp;dq=uji heteroskedastisitas adalah&amp;pg=PR4&amp;printsec=frontcover.</w:t>
      </w:r>
      <w:r w:rsidRPr="00BA2B7E">
        <w:rPr>
          <w:rFonts w:asciiTheme="majorBidi" w:hAnsiTheme="majorBidi" w:cstheme="majorBidi"/>
        </w:rPr>
        <w:fldChar w:fldCharType="end"/>
      </w:r>
      <w:r w:rsidRPr="00BA2B7E">
        <w:rPr>
          <w:rFonts w:asciiTheme="majorBidi" w:hAnsiTheme="majorBidi" w:cstheme="majorBidi"/>
        </w:rPr>
        <w:t xml:space="preserve"> Hal.122</w:t>
      </w:r>
    </w:p>
  </w:footnote>
  <w:footnote w:id="116">
    <w:p w14:paraId="05C15CC6" w14:textId="230CD882" w:rsidR="00DF5B72" w:rsidRPr="00BA2B7E" w:rsidRDefault="00DF5B72" w:rsidP="00BA2B7E">
      <w:pPr>
        <w:pStyle w:val="FootnoteText"/>
        <w:ind w:firstLine="720"/>
        <w:jc w:val="both"/>
        <w:rPr>
          <w:rFonts w:asciiTheme="majorBidi" w:hAnsiTheme="majorBidi" w:cstheme="majorBidi"/>
          <w:lang w:val="sv-SE"/>
        </w:rPr>
      </w:pPr>
      <w:r w:rsidRPr="00BA2B7E">
        <w:rPr>
          <w:rStyle w:val="FootnoteReference"/>
          <w:rFonts w:asciiTheme="majorBidi" w:hAnsiTheme="majorBidi" w:cstheme="majorBidi"/>
        </w:rPr>
        <w:footnoteRef/>
      </w:r>
      <w:r w:rsidRPr="00BA2B7E">
        <w:rPr>
          <w:rFonts w:asciiTheme="majorBidi" w:hAnsiTheme="majorBidi" w:cstheme="majorBidi"/>
        </w:rPr>
        <w:t xml:space="preserve"> </w:t>
      </w:r>
      <w:r w:rsidRPr="00BA2B7E">
        <w:rPr>
          <w:rFonts w:asciiTheme="majorBidi" w:hAnsiTheme="majorBidi" w:cstheme="majorBidi"/>
          <w:lang w:val="sv-SE"/>
        </w:rPr>
        <w:fldChar w:fldCharType="begin" w:fldLock="1"/>
      </w:r>
      <w:r w:rsidR="00E23066">
        <w:rPr>
          <w:rFonts w:asciiTheme="majorBidi" w:hAnsiTheme="majorBidi" w:cstheme="majorBidi"/>
        </w:rPr>
        <w:instrText>ADDIN CSL_CITATION {"citationItems":[{"id":"ITEM-1","itemData":{"DOI":"10.47467/manageria.v3i1.2093","ISSN":"2775-3379","abstract":" \r This study was conducted to determine the effect of return on assets, return on equity and earnings per share on stock prices of banking companies listed on the Indonesia Stock Exchange in 2015-2021. This study uses quantitative methods with verification approaches. The research sample amounted to 10 banking companies with a research period of 7 years taken using purposive sampling technique so that the number of data studied was 70 data. This study uses multiple linear regression analysis to determine the effect of the independent variable on the dependent variable either partially or simultaneously. The results of data analysis show that partially return on assets and earnings per share have an influence on stock prices. while return on equity has no effect on stock prices. Simultaneously return on assets, return on equity and earnings per share have an influence on stock prices of banking companies listed on the IDX in 2015-2021.\r Keywords: Return on Asset, Return on Equity, Earning per Share, Stock Price","author":[{"dropping-particle":"","family":"Muhidin","given":"Muhidin","non-dropping-particle":"","parse-names":false,"suffix":""},{"dropping-particle":"","family":"Situngkir","given":"Tiar Lina","non-dropping-particle":"","parse-names":false,"suffix":""}],"container-title":"Transformasi Manageria:   Journal of Islamic Education Management","id":"ITEM-1","issue":"1","issued":{"date-parts":[["2022"]]},"page":"15-27","title":"Pengaruh Rasio Profitabilitas Terhadap Harga Saham Perusahaan Perbankan yang Terdaftar di Bursa Efek Indonesia pada Tahun 2015 - 2021","type":"article-journal","volume":"3"},"uris":["http://www.mendeley.com/documents/?uuid=d7ebb567-e0e3-4a02-ae05-d6589c9d0fe9"]}],"mendeley":{"formattedCitation":"Muhidin Muhidin and Tiar Lina Situngkir, “Pengaruh Rasio Profitabilitas Terhadap Harga Saham Perusahaan Perbankan Yang Terdaftar Di Bursa Efek Indonesia Pada Tahun 2015 - 2021,” &lt;i&gt;Transformasi Manageria:   Journal of Islamic Education Management&lt;/i&gt; 3, no. 1 (2022): 15–27, https://doi.org/10.47467/manageria.v3i1.2093.","plainTextFormattedCitation":"Muhidin Muhidin and Tiar Lina Situngkir, “Pengaruh Rasio Profitabilitas Terhadap Harga Saham Perusahaan Perbankan Yang Terdaftar Di Bursa Efek Indonesia Pada Tahun 2015 - 2021,” Transformasi Manageria:   Journal of Islamic Education Management 3, no. 1 (2022): 15–27, https://doi.org/10.47467/manageria.v3i1.2093.","previouslyFormattedCitation":"Muhidin Muhidin and Tiar Lina Situngkir, “Pengaruh Rasio Profitabilitas Terhadap Harga Saham Perusahaan Perbankan Yang Terdaftar Di Bursa Efek Indonesia Pada Tahun 2015 - 2021,” &lt;i&gt;Transformasi Manageria:   Journal of Islamic Education Management&lt;/i&gt; 3, no. 1 (2022): 15–27, https://doi.org/10.47467/manageria.v3i1.2093."},"properties":{"noteIndex":116},"schema":"https://github.com/citation-style-language/schema/raw/master/csl-citation.json"}</w:instrText>
      </w:r>
      <w:r w:rsidRPr="00BA2B7E">
        <w:rPr>
          <w:rFonts w:asciiTheme="majorBidi" w:hAnsiTheme="majorBidi" w:cstheme="majorBidi"/>
          <w:lang w:val="sv-SE"/>
        </w:rPr>
        <w:fldChar w:fldCharType="separate"/>
      </w:r>
      <w:r w:rsidR="00B37267" w:rsidRPr="00BA2B7E">
        <w:rPr>
          <w:rFonts w:asciiTheme="majorBidi" w:hAnsiTheme="majorBidi" w:cstheme="majorBidi"/>
          <w:noProof/>
        </w:rPr>
        <w:t xml:space="preserve">Muhidin Muhidin and Tiar Lina Situngkir, “Pengaruh Rasio Profitabilitas Terhadap Harga Saham Perusahaan Perbankan Yang Terdaftar Di Bursa Efek Indonesia Pada Tahun 2015 - 2021,” </w:t>
      </w:r>
      <w:r w:rsidR="00B37267" w:rsidRPr="00BA2B7E">
        <w:rPr>
          <w:rFonts w:asciiTheme="majorBidi" w:hAnsiTheme="majorBidi" w:cstheme="majorBidi"/>
          <w:i/>
          <w:noProof/>
        </w:rPr>
        <w:t>Transformasi Manageria:   Journal of Islamic Education Management</w:t>
      </w:r>
      <w:r w:rsidR="00B37267" w:rsidRPr="00BA2B7E">
        <w:rPr>
          <w:rFonts w:asciiTheme="majorBidi" w:hAnsiTheme="majorBidi" w:cstheme="majorBidi"/>
          <w:noProof/>
        </w:rPr>
        <w:t xml:space="preserve"> 3, no. 1 (2022): 15–27, https://doi.org/10.47467/manageria.v3i1.2093.</w:t>
      </w:r>
      <w:r w:rsidRPr="00BA2B7E">
        <w:rPr>
          <w:rFonts w:asciiTheme="majorBidi" w:hAnsiTheme="majorBidi" w:cstheme="majorBidi"/>
          <w:lang w:val="sv-SE"/>
        </w:rPr>
        <w:fldChar w:fldCharType="end"/>
      </w:r>
      <w:r w:rsidRPr="00BA2B7E">
        <w:rPr>
          <w:rFonts w:asciiTheme="majorBidi" w:hAnsiTheme="majorBidi" w:cstheme="majorBidi"/>
          <w:lang w:val="sv-SE"/>
        </w:rPr>
        <w:t>Hal.22</w:t>
      </w:r>
    </w:p>
  </w:footnote>
  <w:footnote w:id="117">
    <w:p w14:paraId="5BEF3C23" w14:textId="09F49B81" w:rsidR="005A306F" w:rsidRPr="00ED5A25" w:rsidRDefault="005A306F" w:rsidP="00054979">
      <w:pPr>
        <w:pStyle w:val="FootnoteText"/>
        <w:ind w:firstLine="720"/>
        <w:jc w:val="both"/>
        <w:rPr>
          <w:rFonts w:asciiTheme="majorBidi" w:hAnsiTheme="majorBidi" w:cstheme="majorBidi"/>
          <w:lang w:val="sv-SE"/>
        </w:rPr>
      </w:pPr>
      <w:r w:rsidRPr="00ED5A25">
        <w:rPr>
          <w:rStyle w:val="FootnoteReference"/>
          <w:rFonts w:asciiTheme="majorBidi" w:hAnsiTheme="majorBidi" w:cstheme="majorBidi"/>
        </w:rPr>
        <w:footnoteRef/>
      </w:r>
      <w:r w:rsidRPr="00ED5A25">
        <w:rPr>
          <w:rFonts w:asciiTheme="majorBidi" w:hAnsiTheme="majorBidi" w:cstheme="majorBidi"/>
          <w:lang w:val="sv-SE"/>
        </w:rPr>
        <w:t xml:space="preserve"> </w:t>
      </w:r>
      <w:r w:rsidRPr="00ED5A25">
        <w:rPr>
          <w:rFonts w:asciiTheme="majorBidi" w:hAnsiTheme="majorBidi" w:cstheme="majorBidi"/>
        </w:rPr>
        <w:fldChar w:fldCharType="begin" w:fldLock="1"/>
      </w:r>
      <w:r w:rsidR="00E23066">
        <w:rPr>
          <w:rFonts w:asciiTheme="majorBidi" w:hAnsiTheme="majorBidi" w:cstheme="majorBidi"/>
          <w:lang w:val="sv-SE"/>
        </w:rPr>
        <w:instrText>ADDIN CSL_CITATION {"citationItems":[{"id":"ITEM-1","itemData":{"abstract":"Dalam penelitian ini akan dibahas mengenai analisis statistik regresi linier berganda. Analisis regresi berganda digunakan oleh peneliti, bila peneliti bermaksud meramalkan keadaan (naik turunnya) variabel dependen (kriterium), bila dua atau lebih variabel independen sebagai faktor prediktor dimanipulasi (naik turunnya). Sebelum dilakukan multiple regresion analyze method, data tersebut terlebih dahulu dilakukan sebuah pengujian asumsi klasik. Hasil pengujian asumsi klasik untuk Uji Normalitas dan Uji Multikolinearitas akan dijelaskan dengan menggunakan beberapa pendekatan yang ada.","author":[{"dropping-particle":"","family":"Sudariana","given":"","non-dropping-particle":"","parse-names":false,"suffix":""},{"dropping-particle":"","family":"Yoedani","given":"","non-dropping-particle":"","parse-names":false,"suffix":""}],"container-title":"Seniman Transaction","id":"ITEM-1","issue":"2","issued":{"date-parts":[["2022"]]},"page":"1-11","title":"Analisis Statistik Regresi Linier Berganda","type":"article-journal","volume":"2"},"uris":["http://www.mendeley.com/documents/?uuid=098fc86f-2f04-407c-a5f7-07661f4a6558"]}],"mendeley":{"formattedCitation":"Sudariana and Yoedani, “Analisis Statistik Regresi Linier Berganda,” &lt;i&gt;Seniman Transaction&lt;/i&gt; 2, no. 2 (2022): 1–11.","plainTextFormattedCitation":"Sudariana and Yoedani, “Analisis Statistik Regresi Linier Berganda,” Seniman Transaction 2, no. 2 (2022): 1–11.","previouslyFormattedCitation":"Sudariana and Yoedani, “Analisis Statistik Regresi Linier Berganda,” &lt;i&gt;Seniman Transaction&lt;/i&gt; 2, no. 2 (2022): 1–11."},"properties":{"noteIndex":117},"schema":"https://github.com/citation-style-language/schema/raw/master/csl-citation.json"}</w:instrText>
      </w:r>
      <w:r w:rsidRPr="00ED5A25">
        <w:rPr>
          <w:rFonts w:asciiTheme="majorBidi" w:hAnsiTheme="majorBidi" w:cstheme="majorBidi"/>
        </w:rPr>
        <w:fldChar w:fldCharType="separate"/>
      </w:r>
      <w:r w:rsidRPr="00ED5A25">
        <w:rPr>
          <w:rFonts w:asciiTheme="majorBidi" w:hAnsiTheme="majorBidi" w:cstheme="majorBidi"/>
          <w:noProof/>
          <w:lang w:val="sv-SE"/>
        </w:rPr>
        <w:t xml:space="preserve">Sudariana and Yoedani, “Analisis Statistik Regresi Linier Berganda,” </w:t>
      </w:r>
      <w:r w:rsidRPr="00ED5A25">
        <w:rPr>
          <w:rFonts w:asciiTheme="majorBidi" w:hAnsiTheme="majorBidi" w:cstheme="majorBidi"/>
          <w:i/>
          <w:noProof/>
          <w:lang w:val="sv-SE"/>
        </w:rPr>
        <w:t>Seniman Transaction</w:t>
      </w:r>
      <w:r w:rsidRPr="00ED5A25">
        <w:rPr>
          <w:rFonts w:asciiTheme="majorBidi" w:hAnsiTheme="majorBidi" w:cstheme="majorBidi"/>
          <w:noProof/>
          <w:lang w:val="sv-SE"/>
        </w:rPr>
        <w:t xml:space="preserve"> 2, no. 2 (2022): 1–11.</w:t>
      </w:r>
      <w:r w:rsidRPr="00ED5A25">
        <w:rPr>
          <w:rFonts w:asciiTheme="majorBidi" w:hAnsiTheme="majorBidi" w:cstheme="majorBidi"/>
        </w:rPr>
        <w:fldChar w:fldCharType="end"/>
      </w:r>
    </w:p>
  </w:footnote>
  <w:footnote w:id="118">
    <w:p w14:paraId="7215D526" w14:textId="48C8225A" w:rsidR="0038152E" w:rsidRPr="0038152E" w:rsidRDefault="0038152E" w:rsidP="0038152E">
      <w:pPr>
        <w:pStyle w:val="FootnoteText"/>
        <w:ind w:firstLine="720"/>
        <w:jc w:val="both"/>
        <w:rPr>
          <w:rFonts w:asciiTheme="majorBidi" w:hAnsiTheme="majorBidi" w:cstheme="majorBidi"/>
        </w:rPr>
      </w:pPr>
      <w:r w:rsidRPr="00ED5A25">
        <w:rPr>
          <w:rStyle w:val="FootnoteReference"/>
          <w:rFonts w:asciiTheme="majorBidi" w:hAnsiTheme="majorBidi" w:cstheme="majorBidi"/>
        </w:rPr>
        <w:footnoteRef/>
      </w:r>
      <w:r w:rsidRPr="00ED5A25">
        <w:rPr>
          <w:rFonts w:asciiTheme="majorBidi" w:hAnsiTheme="majorBidi" w:cstheme="majorBidi"/>
          <w:lang w:val="sv-SE"/>
        </w:rPr>
        <w:t xml:space="preserve"> </w:t>
      </w:r>
      <w:r w:rsidRPr="00ED5A25">
        <w:rPr>
          <w:rFonts w:asciiTheme="majorBidi" w:hAnsiTheme="majorBidi" w:cstheme="majorBidi"/>
        </w:rPr>
        <w:fldChar w:fldCharType="begin" w:fldLock="1"/>
      </w:r>
      <w:r w:rsidR="00E23066">
        <w:rPr>
          <w:rFonts w:asciiTheme="majorBidi" w:hAnsiTheme="majorBidi" w:cstheme="majorBidi"/>
          <w:lang w:val="sv-SE"/>
        </w:rPr>
        <w:instrText>ADDIN CSL_CITATION {"citationItems":[{"id":"ITEM-1","itemData":{"author":[{"dropping-particle":"","family":"Tolitoli","given":"Di Kabupaten","non-dropping-particle":"","parse-names":false,"suffix":""},{"dropping-particle":"","family":"Nasir","given":"Moh","non-dropping-particle":"","parse-names":false,"suffix":""},{"dropping-particle":"","family":"Dg","given":"Hasan","non-dropping-particle":"","parse-names":false,"suffix":""},{"dropping-particle":"","family":"Peuru","given":"Cytra Dewi","non-dropping-particle":"","parse-names":false,"suffix":""}],"id":"ITEM-1","issue":"1","issued":{"date-parts":[["2022"]]},"page":"19-26","title":"Pengaruh Jumlah Penduduk Dan Pengangguran Terhadap Tingkat Kemiskinan Ekonomi Pembangunan , Sekolah Tinggi Ilmu Ekonomi Mujahidin CitraDewiPeuru@gmail.com The Effect of Population and Unemployment on Poverty Levels in Tolitoli District Menurut Sukirno ( 2","type":"article-journal","volume":"4"},"uris":["http://www.mendeley.com/documents/?uuid=5eb87194-53ff-4517-a882-6161660c8181"]}],"mendeley":{"formattedCitation":"Di Kabupaten Tolitoli et al., “Pengaruh Jumlah Penduduk Dan Pengangguran Terhadap Tingkat Kemiskinan Ekonomi Pembangunan , Sekolah Tinggi Ilmu Ekonomi Mujahidin CitraDewiPeuru@gmail.Com The Effect of Population and Unemployment on Poverty Levels in Tolitoli District Menurut Sukirno ( 2” 4, no. 1 (2022): 19–26.","plainTextFormattedCitation":"Di Kabupaten Tolitoli et al., “Pengaruh Jumlah Penduduk Dan Pengangguran Terhadap Tingkat Kemiskinan Ekonomi Pembangunan , Sekolah Tinggi Ilmu Ekonomi Mujahidin CitraDewiPeuru@gmail.Com The Effect of Population and Unemployment on Poverty Levels in Tolitoli District Menurut Sukirno ( 2” 4, no. 1 (2022): 19–26.","previouslyFormattedCitation":"Di Kabupaten Tolitoli et al., “Pengaruh Jumlah Penduduk Dan Pengangguran Terhadap Tingkat Kemiskinan Ekonomi Pembangunan , Sekolah Tinggi Ilmu Ekonomi Mujahidin CitraDewiPeuru@gmail.Com The Effect of Population and Unemployment on Poverty Levels in Tolitoli District Menurut Sukirno ( 2” 4, no. 1 (2022): 19–26."},"properties":{"noteIndex":118},"schema":"https://github.com/citation-style-language/schema/raw/master/csl-citation.json"}</w:instrText>
      </w:r>
      <w:r w:rsidRPr="00ED5A25">
        <w:rPr>
          <w:rFonts w:asciiTheme="majorBidi" w:hAnsiTheme="majorBidi" w:cstheme="majorBidi"/>
        </w:rPr>
        <w:fldChar w:fldCharType="separate"/>
      </w:r>
      <w:r w:rsidRPr="00ED5A25">
        <w:rPr>
          <w:rFonts w:asciiTheme="majorBidi" w:hAnsiTheme="majorBidi" w:cstheme="majorBidi"/>
          <w:noProof/>
          <w:lang w:val="sv-SE"/>
        </w:rPr>
        <w:t>Di Kabupaten Tolitoli et al., “Pengaruh Jumlah Penduduk Dan Pengangguran Terhadap Tingkat Kemiskinan Ekonomi Pembangunan , Sekolah Tinggi Ilmu Ekonomi Mujahidin CitraDewiPeuru@gmail.Com The Effect of Population and Unemployment on Poverty Levels in Tolitoli District Menurut Sukirno ( 2” 4, no. 1 (2022): 19–26.</w:t>
      </w:r>
      <w:r w:rsidRPr="00ED5A25">
        <w:rPr>
          <w:rFonts w:asciiTheme="majorBidi" w:hAnsiTheme="majorBidi" w:cstheme="majorBidi"/>
        </w:rPr>
        <w:fldChar w:fldCharType="end"/>
      </w:r>
      <w:r w:rsidRPr="0038152E">
        <w:rPr>
          <w:rFonts w:asciiTheme="majorBidi" w:hAnsiTheme="majorBidi" w:cstheme="majorBidi"/>
        </w:rPr>
        <w:t>Hal.21</w:t>
      </w:r>
    </w:p>
  </w:footnote>
  <w:footnote w:id="119">
    <w:p w14:paraId="42C061C7" w14:textId="2B770917" w:rsidR="008D3CE0" w:rsidRPr="00BA2B7E" w:rsidRDefault="008D3CE0" w:rsidP="00BA2B7E">
      <w:pPr>
        <w:pStyle w:val="FootnoteText"/>
        <w:ind w:firstLine="720"/>
        <w:jc w:val="both"/>
        <w:rPr>
          <w:rFonts w:asciiTheme="majorBidi" w:hAnsiTheme="majorBidi" w:cstheme="majorBidi"/>
        </w:rPr>
      </w:pPr>
      <w:r w:rsidRPr="00BA2B7E">
        <w:rPr>
          <w:rStyle w:val="FootnoteReference"/>
          <w:rFonts w:asciiTheme="majorBidi" w:hAnsiTheme="majorBidi" w:cstheme="majorBidi"/>
        </w:rPr>
        <w:footnoteRef/>
      </w:r>
      <w:r w:rsidRPr="00BA2B7E">
        <w:rPr>
          <w:rFonts w:asciiTheme="majorBidi" w:hAnsiTheme="majorBidi" w:cstheme="majorBidi"/>
        </w:rPr>
        <w:t xml:space="preserve"> </w:t>
      </w:r>
      <w:r w:rsidRPr="00BA2B7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{"citationItems":[{"id":"ITEM-1","itemData":{"author":[{"dropping-particle":"","family":"Asnawi","given":"Said Kelana","non-dropping-particle":"","parse-names":false,"suffix":""},{"dropping-particle":"","family":"Wijaya","given":"Chandra","non-dropping-particle":"","parse-names":false,"suffix":""}],"id":"ITEM-1","issued":{"date-parts":[["2005"]]},"publisher":"PT. Gramedia Pustaka Utama","publisher-place":"Jakarta","title":"Riset Keuangan : Pengujian-Pengujian Empiris","type":"book"},"uris":["http://www.mendeley.com/documents/?uuid=76dbe407-1f26-46fd-81d1-efc7bc0ca3bf"]}],"mendeley":{"formattedCitation":"Said Kelana Asnawi and Chandra Wijaya, &lt;i&gt;Riset Keuangan : Pengujian-Pengujian Empiris&lt;/i&gt; (Jakarta: PT. Gramedia Pustaka Utama, 2005), https://www.google.co.id/books/edition/Riset_Keuangan_Pengujian_pengujian_empir/0y2Z7CufKCEC?hl=id&amp;gbpv=1&amp;dq=uji simultan&amp;pg=PP6&amp;printsec=frontcover.","plainTextFormattedCitation":"Said Kelana Asnawi and Chandra Wijaya, Riset Keuangan : Pengujian-Pengujian Empiris (Jakarta: PT. Gramedia Pustaka Utama, 2005), https://www.google.co.id/books/edition/Riset_Keuangan_Pengujian_pengujian_empir/0y2Z7CufKCEC?hl=id&amp;gbpv=1&amp;dq=uji simultan&amp;pg=PP6&amp;printsec=frontcover.","previouslyFormattedCitation":"Said Kelana Asnawi and Chandra Wijaya, &lt;i&gt;Riset Keuangan : Pengujian-Pengujian Empiris&lt;/i&gt; (Jakarta: PT. Gramedia Pustaka Utama, 2005), https://www.google.co.id/books/edition/Riset_Keuangan_Pengujian_pengujian_empir/0y2Z7CufKCEC?hl=id&amp;gbpv=1&amp;dq=uji simultan&amp;pg=PP6&amp;printsec=frontcover."},"properties":{"noteIndex":119},"schema":"https://github.com/citation-style-language/schema/raw/master/csl-citation.json"}</w:instrText>
      </w:r>
      <w:r w:rsidRPr="00BA2B7E">
        <w:rPr>
          <w:rFonts w:asciiTheme="majorBidi" w:hAnsiTheme="majorBidi" w:cstheme="majorBidi"/>
        </w:rPr>
        <w:fldChar w:fldCharType="separate"/>
      </w:r>
      <w:r w:rsidRPr="00BA2B7E">
        <w:rPr>
          <w:rFonts w:asciiTheme="majorBidi" w:hAnsiTheme="majorBidi" w:cstheme="majorBidi"/>
          <w:noProof/>
        </w:rPr>
        <w:t xml:space="preserve">Said Kelana Asnawi and Chandra Wijaya, </w:t>
      </w:r>
      <w:r w:rsidRPr="00BA2B7E">
        <w:rPr>
          <w:rFonts w:asciiTheme="majorBidi" w:hAnsiTheme="majorBidi" w:cstheme="majorBidi"/>
          <w:i/>
          <w:noProof/>
        </w:rPr>
        <w:t>Riset Keuangan : Pengujian-Pengujian Empiris</w:t>
      </w:r>
      <w:r w:rsidRPr="00BA2B7E">
        <w:rPr>
          <w:rFonts w:asciiTheme="majorBidi" w:hAnsiTheme="majorBidi" w:cstheme="majorBidi"/>
          <w:noProof/>
        </w:rPr>
        <w:t xml:space="preserve"> (Jakarta: PT. Gramedia Pustaka Utama, 2005), https://www.google.co.id/books/edition/Riset_Keuangan_Pengujian_</w:t>
      </w:r>
      <w:r w:rsidR="004F6C85">
        <w:rPr>
          <w:rFonts w:asciiTheme="majorBidi" w:hAnsiTheme="majorBidi" w:cstheme="majorBidi"/>
          <w:noProof/>
        </w:rPr>
        <w:t xml:space="preserve"> </w:t>
      </w:r>
      <w:r w:rsidRPr="00BA2B7E">
        <w:rPr>
          <w:rFonts w:asciiTheme="majorBidi" w:hAnsiTheme="majorBidi" w:cstheme="majorBidi"/>
          <w:noProof/>
        </w:rPr>
        <w:t>pengujian_empir/0y2Z7CufKCEC?hl=id&amp;gbpv=1&amp;dq=uji simultan&amp;pg=PP6&amp;printsec=frontcover.</w:t>
      </w:r>
      <w:r w:rsidRPr="00BA2B7E">
        <w:rPr>
          <w:rFonts w:asciiTheme="majorBidi" w:hAnsiTheme="majorBidi" w:cstheme="majorBidi"/>
        </w:rPr>
        <w:fldChar w:fldCharType="end"/>
      </w:r>
      <w:r w:rsidRPr="00BA2B7E">
        <w:rPr>
          <w:rFonts w:asciiTheme="majorBidi" w:hAnsiTheme="majorBidi" w:cstheme="majorBidi"/>
        </w:rPr>
        <w:t xml:space="preserve"> Hal.261</w:t>
      </w:r>
    </w:p>
  </w:footnote>
  <w:footnote w:id="120">
    <w:p w14:paraId="3A5CEC55" w14:textId="6221606E" w:rsidR="0038152E" w:rsidRPr="00B665A8" w:rsidRDefault="0038152E" w:rsidP="00BA2B7E">
      <w:pPr>
        <w:pStyle w:val="FootnoteText"/>
        <w:ind w:firstLine="720"/>
        <w:jc w:val="both"/>
        <w:rPr>
          <w:rFonts w:asciiTheme="majorBidi" w:hAnsiTheme="majorBidi" w:cstheme="majorBidi"/>
          <w:lang w:val="sv-SE"/>
        </w:rPr>
      </w:pPr>
      <w:r w:rsidRPr="00BA2B7E">
        <w:rPr>
          <w:rStyle w:val="FootnoteReference"/>
          <w:rFonts w:asciiTheme="majorBidi" w:hAnsiTheme="majorBidi" w:cstheme="majorBidi"/>
        </w:rPr>
        <w:footnoteRef/>
      </w:r>
      <w:r w:rsidRPr="00BA2B7E">
        <w:rPr>
          <w:rFonts w:asciiTheme="majorBidi" w:hAnsiTheme="majorBidi" w:cstheme="majorBidi"/>
        </w:rPr>
        <w:t xml:space="preserve"> </w:t>
      </w:r>
      <w:r w:rsidRPr="00BA2B7E">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{"citationItems":[{"id":"ITEM-1","itemData":{"author":[{"dropping-particle":"","family":"Nursiyono","given":"Joko Ade","non-dropping-particle":"","parse-names":false,"suffix":""},{"dropping-particle":"","family":"Nadeak","given":"Pray P.H","non-dropping-particle":"","parse-names":false,"suffix":""}],"id":"ITEM-1","issued":{"date-parts":[["2016"]]},"publisher":"Media Nusa Creative","publisher-place":"Malang","title":"Setetes Ilmu Regresi Linier","type":"book"},"uris":["http://www.mendeley.com/documents/?uuid=113a5486-4f18-44f8-92d8-d9c367234dbb"]}],"mendeley":{"formattedCitation":"Joko Ade Nursiyono and Pray P.H Nadeak, &lt;i&gt;Setetes Ilmu Regresi Linier&lt;/i&gt; (Malang: Media Nusa Creative, 2016), https://www.google.co.id/books/edition/Setetes_Ilmu_Regresi_Linier/b4ZOEAAAQBAJ?hl=id&amp;gbpv=1&amp;dq=uji parsial adalah&amp;pg=PR4&amp;printsec=frontcover.","plainTextFormattedCitation":"Joko Ade Nursiyono and Pray P.H Nadeak, Setetes Ilmu Regresi Linier (Malang: Media Nusa Creative, 2016), https://www.google.co.id/books/edition/Setetes_Ilmu_Regresi_Linier/b4ZOEAAAQBAJ?hl=id&amp;gbpv=1&amp;dq=uji parsial adalah&amp;pg=PR4&amp;printsec=frontcover.","previouslyFormattedCitation":"Joko Ade Nursiyono and Pray P.H Nadeak, &lt;i&gt;Setetes Ilmu Regresi Linier&lt;/i&gt; (Malang: Media Nusa Creative, 2016), https://www.google.co.id/books/edition/Setetes_Ilmu_Regresi_Linier/b4ZOEAAAQBAJ?hl=id&amp;gbpv=1&amp;dq=uji parsial adalah&amp;pg=PR4&amp;printsec=frontcover."},"properties":{"noteIndex":120},"schema":"https://github.com/citation-style-language/schema/raw/master/csl-citation.json"}</w:instrText>
      </w:r>
      <w:r w:rsidRPr="00BA2B7E">
        <w:rPr>
          <w:rFonts w:asciiTheme="majorBidi" w:hAnsiTheme="majorBidi" w:cstheme="majorBidi"/>
        </w:rPr>
        <w:fldChar w:fldCharType="separate"/>
      </w:r>
      <w:r w:rsidRPr="00BA2B7E">
        <w:rPr>
          <w:rFonts w:asciiTheme="majorBidi" w:hAnsiTheme="majorBidi" w:cstheme="majorBidi"/>
          <w:noProof/>
        </w:rPr>
        <w:t xml:space="preserve">Joko Ade Nursiyono and Pray P.H Nadeak, </w:t>
      </w:r>
      <w:r w:rsidRPr="00BA2B7E">
        <w:rPr>
          <w:rFonts w:asciiTheme="majorBidi" w:hAnsiTheme="majorBidi" w:cstheme="majorBidi"/>
          <w:i/>
          <w:noProof/>
        </w:rPr>
        <w:t>Setetes Ilmu Regresi Linier</w:t>
      </w:r>
      <w:r w:rsidRPr="00BA2B7E">
        <w:rPr>
          <w:rFonts w:asciiTheme="majorBidi" w:hAnsiTheme="majorBidi" w:cstheme="majorBidi"/>
          <w:noProof/>
        </w:rPr>
        <w:t xml:space="preserve"> (Malang: Media Nusa Creative, 2016), https://www.google.co.id/books/edition/Setetes_Ilmu_Regresi_Linier/b4ZOEAAAQBAJ?hl=id&amp;gbpv=1&amp;dq=uji parsial adalah&amp;pg=PR4&amp;printsec=frontcover.</w:t>
      </w:r>
      <w:r w:rsidRPr="00BA2B7E">
        <w:rPr>
          <w:rFonts w:asciiTheme="majorBidi" w:hAnsiTheme="majorBidi" w:cstheme="majorBidi"/>
        </w:rPr>
        <w:fldChar w:fldCharType="end"/>
      </w:r>
      <w:r w:rsidRPr="00BA2B7E">
        <w:rPr>
          <w:rFonts w:asciiTheme="majorBidi" w:hAnsiTheme="majorBidi" w:cstheme="majorBidi"/>
        </w:rPr>
        <w:t xml:space="preserve"> </w:t>
      </w:r>
      <w:r w:rsidRPr="00B665A8">
        <w:rPr>
          <w:rFonts w:asciiTheme="majorBidi" w:hAnsiTheme="majorBidi" w:cstheme="majorBidi"/>
          <w:lang w:val="sv-SE"/>
        </w:rPr>
        <w:t>Hal.129</w:t>
      </w:r>
    </w:p>
  </w:footnote>
  <w:footnote w:id="121">
    <w:p w14:paraId="516C90C6" w14:textId="48A926AA" w:rsidR="00B93607" w:rsidRPr="001925D7" w:rsidRDefault="00B93607" w:rsidP="00B93607">
      <w:pPr>
        <w:pStyle w:val="FootnoteText"/>
        <w:ind w:firstLine="720"/>
        <w:jc w:val="both"/>
        <w:rPr>
          <w:rFonts w:asciiTheme="majorBidi" w:hAnsiTheme="majorBidi" w:cstheme="majorBidi"/>
        </w:rPr>
      </w:pPr>
      <w:r w:rsidRPr="00B93607">
        <w:rPr>
          <w:rStyle w:val="FootnoteReference"/>
          <w:rFonts w:asciiTheme="majorBidi" w:hAnsiTheme="majorBidi" w:cstheme="majorBidi"/>
        </w:rPr>
        <w:footnoteRef/>
      </w:r>
      <w:r w:rsidRPr="00B93607">
        <w:rPr>
          <w:rFonts w:asciiTheme="majorBidi" w:hAnsiTheme="majorBidi" w:cstheme="majorBidi"/>
          <w:lang w:val="sv-SE"/>
        </w:rPr>
        <w:t xml:space="preserve"> </w:t>
      </w:r>
      <w:r w:rsidRPr="00B93607">
        <w:rPr>
          <w:rFonts w:asciiTheme="majorBidi" w:hAnsiTheme="majorBidi" w:cstheme="majorBidi"/>
        </w:rPr>
        <w:fldChar w:fldCharType="begin" w:fldLock="1"/>
      </w:r>
      <w:r w:rsidR="00E23066">
        <w:rPr>
          <w:rFonts w:asciiTheme="majorBidi" w:hAnsiTheme="majorBidi" w:cstheme="majorBidi"/>
          <w:lang w:val="sv-SE"/>
        </w:rPr>
        <w:instrText>ADDIN CSL_CITATION {"citationItems":[{"id":"ITEM-1","itemData":{"DOI":"10.30651/jms.v3i2.1658","ISSN":"2527-6344","abstract":"Penelitian ini dilakukan untuk melihat sistem pengendalian intern terhadap fungsi penerimaan kas pada PT. Bank Muamalat Indonesia cabang Pematangsiantar. Data penelitian ini menggunakan data berupa slip setoran dan laporan harian transaksi penerimaan kas serta dokumen yang berkaitan dengan fungsi  penerimaan kas di perusahaan. Data primer yang dikumpulkan dalam penelitian ini diperoleh melalui teknik angket atau kuesioner yang berisikan pernyataan-pernyataan yang diajukan secara tertulis kepada responden untuk mendapatkan jawaban serta informasi yang diperlukan dalam penelitian ini. Selain itu, data primer juga dapat diperoleh melalui teknik wawancara kepada informan penelitian dan observasi, Bank Muamalat Indonesia cabang Pematangsiantar ini beralamatkan di di Komplek Megaland Blok A Jl. Sangnawaluh No. 6-7, Pematangsiantar Sumatera Utara. Dari hasil pengolahan data yang ada diperoleh hasil bahwa sistem pengendalian intern terhadap fungsi penerimaan kas di PT. Bank Muamalat Indonesia cabang Pematangsiantar sudah dilaksanakan dengan baik. Hal ini dapat dilihat dari hasil observasi yang diperoleh yaitu 3,20 yang terdapat pada interval 2,51 – 3,25 dengan kategori “Baik”.","author":[{"dropping-particle":"","family":"Fauzan","given":"M","non-dropping-particle":"","parse-names":false,"suffix":""}],"container-title":"Jurnal Masharif al-Syariah: Jurnal Ekonomi dan Perbankan Syariah","id":"ITEM-1","issue":"2","issued":{"date-parts":[["2018"]]},"title":"Sistem Pengendalian Intern Terhadap Fungsi Penerimaan Kas Pada PT. Bank Muamalat Indonesia Cabang Pematangsiantar","type":"article-journal","volume":"3"},"uris":["http://www.mendeley.com/documents/?uuid=a3f79886-3330-4148-aa55-15c95161dc1b"]}],"mendeley":{"formattedCitation":"M Fauzan, “Sistem Pengendalian Intern Terhadap Fungsi Penerimaan Kas Pada PT. Bank Muamalat Indonesia Cabang Pematangsiantar,” &lt;i&gt;Jurnal Masharif Al-Syariah: Jurnal Ekonomi Dan Perbankan Syariah&lt;/i&gt; 3, no. 2 (2018), https://doi.org/10.30651/jms.v3i2.1658.","plainTextFormattedCitation":"M Fauzan, “Sistem Pengendalian Intern Terhadap Fungsi Penerimaan Kas Pada PT. Bank Muamalat Indonesia Cabang Pematangsiantar,” Jurnal Masharif Al-Syariah: Jurnal Ekonomi Dan Perbankan Syariah 3, no. 2 (2018), https://doi.org/10.30651/jms.v3i2.1658.","previouslyFormattedCitation":"M Fauzan, “Sistem Pengendalian Intern Terhadap Fungsi Penerimaan Kas Pada PT. Bank Muamalat Indonesia Cabang Pematangsiantar,” &lt;i&gt;Jurnal Masharif Al-Syariah: Jurnal Ekonomi Dan Perbankan Syariah&lt;/i&gt; 3, no. 2 (2018), https://doi.org/10.30651/jms.v3i2.1658."},"properties":{"noteIndex":121},"schema":"https://github.com/citation-style-language/schema/raw/master/csl-citation.json"}</w:instrText>
      </w:r>
      <w:r w:rsidRPr="00B93607">
        <w:rPr>
          <w:rFonts w:asciiTheme="majorBidi" w:hAnsiTheme="majorBidi" w:cstheme="majorBidi"/>
        </w:rPr>
        <w:fldChar w:fldCharType="separate"/>
      </w:r>
      <w:r w:rsidRPr="00B93607">
        <w:rPr>
          <w:rFonts w:asciiTheme="majorBidi" w:hAnsiTheme="majorBidi" w:cstheme="majorBidi"/>
          <w:noProof/>
          <w:lang w:val="sv-SE"/>
        </w:rPr>
        <w:t xml:space="preserve">M Fauzan, “Sistem Pengendalian Intern Terhadap Fungsi Penerimaan Kas Pada PT. Bank Muamalat Indonesia Cabang Pematangsiantar,” </w:t>
      </w:r>
      <w:r w:rsidRPr="00B93607">
        <w:rPr>
          <w:rFonts w:asciiTheme="majorBidi" w:hAnsiTheme="majorBidi" w:cstheme="majorBidi"/>
          <w:i/>
          <w:noProof/>
          <w:lang w:val="sv-SE"/>
        </w:rPr>
        <w:t>Jurnal Masharif Al-Syariah: Jurnal Ekonomi Dan Perbankan Syariah</w:t>
      </w:r>
      <w:r w:rsidRPr="00B93607">
        <w:rPr>
          <w:rFonts w:asciiTheme="majorBidi" w:hAnsiTheme="majorBidi" w:cstheme="majorBidi"/>
          <w:noProof/>
          <w:lang w:val="sv-SE"/>
        </w:rPr>
        <w:t xml:space="preserve"> 3, no. 2 (2018), https://doi.org/10.30651/jms.v3i2.1658.</w:t>
      </w:r>
      <w:r w:rsidRPr="00B93607">
        <w:rPr>
          <w:rFonts w:asciiTheme="majorBidi" w:hAnsiTheme="majorBidi" w:cstheme="majorBidi"/>
        </w:rPr>
        <w:fldChar w:fldCharType="end"/>
      </w:r>
      <w:r w:rsidRPr="00B93607">
        <w:rPr>
          <w:rFonts w:asciiTheme="majorBidi" w:hAnsiTheme="majorBidi" w:cstheme="majorBidi"/>
          <w:lang w:val="sv-SE"/>
        </w:rPr>
        <w:t xml:space="preserve"> </w:t>
      </w:r>
      <w:r w:rsidRPr="001925D7">
        <w:rPr>
          <w:rFonts w:asciiTheme="majorBidi" w:hAnsiTheme="majorBidi" w:cstheme="majorBidi"/>
        </w:rPr>
        <w:t>Hal.16</w:t>
      </w:r>
    </w:p>
  </w:footnote>
  <w:footnote w:id="122">
    <w:p w14:paraId="156F1139" w14:textId="41BE6E3A" w:rsidR="00E91007" w:rsidRPr="00E91007" w:rsidRDefault="00E91007" w:rsidP="00E91007">
      <w:pPr>
        <w:pStyle w:val="FootnoteText"/>
        <w:ind w:firstLine="720"/>
        <w:jc w:val="both"/>
        <w:rPr>
          <w:rFonts w:asciiTheme="majorBidi" w:hAnsiTheme="majorBidi" w:cstheme="majorBidi"/>
          <w:lang w:val="en-US"/>
        </w:rPr>
      </w:pPr>
      <w:r w:rsidRPr="00E91007">
        <w:rPr>
          <w:rStyle w:val="FootnoteReference"/>
          <w:rFonts w:asciiTheme="majorBidi" w:hAnsiTheme="majorBidi" w:cstheme="majorBidi"/>
        </w:rPr>
        <w:footnoteRef/>
      </w:r>
      <w:r w:rsidRPr="00E91007">
        <w:rPr>
          <w:rFonts w:asciiTheme="majorBidi" w:hAnsiTheme="majorBidi" w:cstheme="majorBidi"/>
        </w:rPr>
        <w:t xml:space="preserve"> </w:t>
      </w:r>
      <w:r w:rsidRPr="00E91007">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Syaipudin","given":"Latif","non-dropping-particle":"","parse-names":false,"suffix":""},{"dropping-particle":"","family":"Luthfi","given":"Ahmad","non-dropping-particle":"","parse-names":false,"suffix":""}],"id":"ITEM-1","issue":"1","issued":{"date-parts":[["2024"]]},"page":"10-21","title":"Pengaruh Financing to Debt Ratio dan Net Profit Margin terhadap Profitabilitas Bank Muamalat Indonesia Periode 2013-2022","type":"article-journal","volume":"1"},"uris":["http://www.mendeley.com/documents/?uuid=e811b659-afa4-41d9-965f-fb02cd152092"]}],"mendeley":{"formattedCitation":"Latif Syaipudin and Ahmad Luthfi, “Pengaruh Financing to Debt Ratio Dan Net Profit Margin Terhadap Profitabilitas Bank Muamalat Indonesia Periode 2013-2022” 1, no. 1 (2024): 10–21.","plainTextFormattedCitation":"Latif Syaipudin and Ahmad Luthfi, “Pengaruh Financing to Debt Ratio Dan Net Profit Margin Terhadap Profitabilitas Bank Muamalat Indonesia Periode 2013-2022” 1, no. 1 (2024): 10–21.","previouslyFormattedCitation":"Latif Syaipudin and Ahmad Luthfi, “Pengaruh Financing to Debt Ratio Dan Net Profit Margin Terhadap Profitabilitas Bank Muamalat Indonesia Periode 2013-2022” 1, no. 1 (2024): 10–21."},"properties":{"noteIndex":122},"schema":"https://github.com/citation-style-language/schema/raw/master/csl-citation.json"}</w:instrText>
      </w:r>
      <w:r w:rsidRPr="00E91007">
        <w:rPr>
          <w:rFonts w:asciiTheme="majorBidi" w:hAnsiTheme="majorBidi" w:cstheme="majorBidi"/>
        </w:rPr>
        <w:fldChar w:fldCharType="separate"/>
      </w:r>
      <w:r w:rsidRPr="00E91007">
        <w:rPr>
          <w:rFonts w:asciiTheme="majorBidi" w:hAnsiTheme="majorBidi" w:cstheme="majorBidi"/>
          <w:noProof/>
        </w:rPr>
        <w:t>Latif Syaipudin and Ahmad Luthfi, “Pengaruh Financing to Debt Ratio Dan Net Profit Margin Terhadap Profitabilitas Bank Muamalat Indonesia Periode 2013-2022” 1, no. 1 (2024): 10–21.</w:t>
      </w:r>
      <w:r w:rsidRPr="00E91007">
        <w:rPr>
          <w:rFonts w:asciiTheme="majorBidi" w:hAnsiTheme="majorBidi" w:cstheme="majorBidi"/>
        </w:rPr>
        <w:fldChar w:fldCharType="end"/>
      </w:r>
      <w:r w:rsidRPr="00E91007">
        <w:rPr>
          <w:rFonts w:asciiTheme="majorBidi" w:hAnsiTheme="majorBidi" w:cstheme="majorBidi"/>
        </w:rPr>
        <w:t xml:space="preserve"> Hal.76</w:t>
      </w:r>
    </w:p>
  </w:footnote>
  <w:footnote w:id="123">
    <w:p w14:paraId="1E240AE9" w14:textId="0B15CA01" w:rsidR="00B93607" w:rsidRPr="001925D7" w:rsidRDefault="00B93607" w:rsidP="006002A7">
      <w:pPr>
        <w:pStyle w:val="FootnoteText"/>
        <w:ind w:firstLine="720"/>
        <w:jc w:val="both"/>
        <w:rPr>
          <w:rFonts w:asciiTheme="majorBidi" w:hAnsiTheme="majorBidi" w:cstheme="majorBidi"/>
        </w:rPr>
      </w:pPr>
      <w:r w:rsidRPr="006002A7">
        <w:rPr>
          <w:rStyle w:val="FootnoteReference"/>
          <w:rFonts w:asciiTheme="majorBidi" w:hAnsiTheme="majorBidi" w:cstheme="majorBidi"/>
        </w:rPr>
        <w:footnoteRef/>
      </w:r>
      <w:r w:rsidRPr="001925D7">
        <w:rPr>
          <w:rFonts w:asciiTheme="majorBidi" w:hAnsiTheme="majorBidi" w:cstheme="majorBidi"/>
        </w:rPr>
        <w:t xml:space="preserve"> </w:t>
      </w:r>
      <w:r w:rsidR="006002A7" w:rsidRPr="006002A7">
        <w:rPr>
          <w:rFonts w:asciiTheme="majorBidi" w:hAnsiTheme="majorBidi" w:cstheme="majorBidi"/>
        </w:rPr>
        <w:fldChar w:fldCharType="begin" w:fldLock="1"/>
      </w:r>
      <w:r w:rsidR="00E23066">
        <w:rPr>
          <w:rFonts w:asciiTheme="majorBidi" w:hAnsiTheme="majorBidi" w:cstheme="majorBidi"/>
        </w:rPr>
        <w:instrText>ADDIN CSL_CITATION {"citationItems":[{"id":"ITEM-1","itemData":{"DOI":"10.24014/jiq.v16i1.9044","ISSN":"0216-2547","abstract":"Perekonomian Indonesia beberapa kali terkena krisis ekonomi. Jatuhnya perekonomian sejak saat itu menyebabkan merosotnya kepercayaan masyarakat terhadap perbankan. Saat itu, terdapat satu bank yang beroperasi dengan prinsip syariah yaitu Bank Muamalat Indonesia dan tidak terkena dampak krisis ekonomi. Eksistensi Bank Muamalat sebagai pelopor pendirian perbankan syariah di Indonesia tentu saja patut dinilai kesehatan kinerja keuangannya. Kinerja keuangan Bank merujuk pada penilaian tingkat kesehatan Bank. Kesehatan Bank menjadi kepentingan  semua  pihak terkait, baik pemilik, pengelola (manajemen), dan masyarakat pengguna jasa bank (Peraturan Otoritas Jasa Keuangan Nomor 8/POJK.03/2014). Data yang digunakan dalam penelitian ini meliputi data keuangan tahunan yang dipublikasikan PT. Bank Muamalat Indonesia Tbk dari tahun 2016 sampai 2018. Teknik analisis data yang digunakan dalam penelitian ini menggunakan analisis CAMEL. Kondisi kinerja keuangan pada PT Bank Muamalat Tbk dalam keadaan yang berbeda-beda namun yang paling mengkhawatirkan pada rentabilitas rasio ROA dan BOPO dalam kondisi kurang sehat.","author":[{"dropping-particle":"","family":"Rambe","given":"Ihsan","non-dropping-particle":"","parse-names":false,"suffix":""}],"container-title":"Jurnal Al-Iqtishad","id":"ITEM-1","issue":"1","issued":{"date-parts":[["2020"]]},"page":"18","title":"Analisis Kinerja Keuangan Pada Pt Bank Muamalat Indonesia Tbk","type":"article-journal","volume":"16"},"uris":["http://www.mendeley.com/documents/?uuid=91d3b599-ca2b-4b72-982c-9dba22f50f53"]}],"mendeley":{"formattedCitation":"Ihsan Rambe, “Analisis Kinerja Keuangan Pada Pt Bank Muamalat Indonesia Tbk,” &lt;i&gt;Jurnal Al-Iqtishad&lt;/i&gt; 16, no. 1 (2020): 18, https://doi.org/10.24014/jiq.v16i1.9044.","plainTextFormattedCitation":"Ihsan Rambe, “Analisis Kinerja Keuangan Pada Pt Bank Muamalat Indonesia Tbk,” Jurnal Al-Iqtishad 16, no. 1 (2020): 18, https://doi.org/10.24014/jiq.v16i1.9044.","previouslyFormattedCitation":"Ihsan Rambe, “Analisis Kinerja Keuangan Pada Pt Bank Muamalat Indonesia Tbk,” &lt;i&gt;Jurnal Al-Iqtishad&lt;/i&gt; 16, no. 1 (2020): 18, https://doi.org/10.24014/jiq.v16i1.9044."},"properties":{"noteIndex":123},"schema":"https://github.com/citation-style-language/schema/raw/master/csl-citation.json"}</w:instrText>
      </w:r>
      <w:r w:rsidR="006002A7" w:rsidRPr="006002A7">
        <w:rPr>
          <w:rFonts w:asciiTheme="majorBidi" w:hAnsiTheme="majorBidi" w:cstheme="majorBidi"/>
        </w:rPr>
        <w:fldChar w:fldCharType="separate"/>
      </w:r>
      <w:r w:rsidR="006002A7" w:rsidRPr="001925D7">
        <w:rPr>
          <w:rFonts w:asciiTheme="majorBidi" w:hAnsiTheme="majorBidi" w:cstheme="majorBidi"/>
          <w:noProof/>
        </w:rPr>
        <w:t xml:space="preserve">Ihsan Rambe, “Analisis Kinerja Keuangan Pada Pt Bank Muamalat Indonesia Tbk,” </w:t>
      </w:r>
      <w:r w:rsidR="006002A7" w:rsidRPr="001925D7">
        <w:rPr>
          <w:rFonts w:asciiTheme="majorBidi" w:hAnsiTheme="majorBidi" w:cstheme="majorBidi"/>
          <w:i/>
          <w:noProof/>
        </w:rPr>
        <w:t>Jurnal Al-Iqtishad</w:t>
      </w:r>
      <w:r w:rsidR="006002A7" w:rsidRPr="001925D7">
        <w:rPr>
          <w:rFonts w:asciiTheme="majorBidi" w:hAnsiTheme="majorBidi" w:cstheme="majorBidi"/>
          <w:noProof/>
        </w:rPr>
        <w:t xml:space="preserve"> 16, no. 1 (2020): 18, https://doi.org/10.24014/jiq.v16i1.9044.</w:t>
      </w:r>
      <w:r w:rsidR="006002A7" w:rsidRPr="006002A7">
        <w:rPr>
          <w:rFonts w:asciiTheme="majorBidi" w:hAnsiTheme="majorBidi" w:cstheme="majorBidi"/>
        </w:rPr>
        <w:fldChar w:fldCharType="end"/>
      </w:r>
      <w:r w:rsidR="006002A7" w:rsidRPr="001925D7">
        <w:rPr>
          <w:rFonts w:asciiTheme="majorBidi" w:hAnsiTheme="majorBidi" w:cstheme="majorBidi"/>
        </w:rPr>
        <w:t xml:space="preserve"> Hal.30</w:t>
      </w:r>
    </w:p>
  </w:footnote>
  <w:footnote w:id="124">
    <w:p w14:paraId="70A83878" w14:textId="3991968B" w:rsidR="006002A7" w:rsidRPr="006002A7" w:rsidRDefault="006002A7" w:rsidP="006002A7">
      <w:pPr>
        <w:pStyle w:val="FootnoteText"/>
        <w:ind w:firstLine="720"/>
        <w:jc w:val="both"/>
        <w:rPr>
          <w:rFonts w:asciiTheme="majorBidi" w:hAnsiTheme="majorBidi" w:cstheme="majorBidi"/>
          <w:lang w:val="en-US"/>
        </w:rPr>
      </w:pPr>
      <w:r w:rsidRPr="006002A7">
        <w:rPr>
          <w:rStyle w:val="FootnoteReference"/>
          <w:rFonts w:asciiTheme="majorBidi" w:hAnsiTheme="majorBidi" w:cstheme="majorBidi"/>
        </w:rPr>
        <w:footnoteRef/>
      </w:r>
      <w:r w:rsidRPr="006002A7">
        <w:rPr>
          <w:rFonts w:asciiTheme="majorBidi" w:hAnsiTheme="majorBidi" w:cstheme="majorBidi"/>
        </w:rPr>
        <w:t xml:space="preserve"> </w:t>
      </w:r>
      <w:r w:rsidRPr="006002A7">
        <w:rPr>
          <w:rFonts w:asciiTheme="majorBidi" w:hAnsiTheme="majorBidi" w:cstheme="majorBidi"/>
        </w:rPr>
        <w:fldChar w:fldCharType="begin" w:fldLock="1"/>
      </w:r>
      <w:r w:rsidR="00E23066">
        <w:rPr>
          <w:rFonts w:asciiTheme="majorBidi" w:hAnsiTheme="majorBidi" w:cstheme="majorBidi"/>
        </w:rPr>
        <w:instrText>ADDIN CSL_CITATION {"citationItems":[{"id":"ITEM-1","itemData":{"DOI":"10.22373/jihbiz.v5i1.17195","abstract":"The increasing competition of business or industry makes the behavior of businessmen ignore the natural environment. This causes the emergence of seriousness from the corporate world to increasingly involve themselves in activities that can create a positive impact on social and natural environment. In addition to carry out its function as an intermediary institution, the banking industry is also currently required to be involved in suppressing environmental damage because it is considered necessary to adapt interdepedensially to the environment called Green Banking. This research aims to find out how to implement green banking in Bank Muamalat Indonesia environment. This research used qualitative method by impelementing descriptive analysis using secondary data. The results showed that there are two main green banking programs implemented by Bank Muamalat Indonesia, the distribution of environment friendly financing and environment friendly operational activities, respectively.","author":[{"dropping-particle":"","family":"Ria","given":"Desma","non-dropping-particle":"","parse-names":false,"suffix":""},{"dropping-particle":"","family":"Fasa","given":"Muhammad Iqbal","non-dropping-particle":"","parse-names":false,"suffix":""},{"dropping-particle":"","family":"Suharto","given":"Suharto","non-dropping-particle":"","parse-names":false,"suffix":""},{"dropping-particle":"","family":"Fachri","given":"Adib","non-dropping-particle":"","parse-names":false,"suffix":""}],"container-title":"Jihbiz: Global Journal of Islamic Banking and Finance","id":"ITEM-1","issue":"1","issued":{"date-parts":[["2023"]]},"page":"1","title":"Penerapan Green Banking Di Lingkungan Bank Muamalat Indonesia","type":"article-journal","volume":"5"},"uris":["http://www.mendeley.com/documents/?uuid=c84db4bc-9384-4ef6-ba0a-592068e8a009"]}],"mendeley":{"formattedCitation":"Desma Ria et al., “Penerapan Green Banking Di Lingkungan Bank Muamalat Indonesia,” &lt;i&gt;Jihbiz: Global Journal of Islamic Banking and Finance&lt;/i&gt; 5, no. 1 (2023): 1, https://doi.org/10.22373/jihbiz.v5i1.17195.","plainTextFormattedCitation":"Desma Ria et al., “Penerapan Green Banking Di Lingkungan Bank Muamalat Indonesia,” Jihbiz: Global Journal of Islamic Banking and Finance 5, no. 1 (2023): 1, https://doi.org/10.22373/jihbiz.v5i1.17195.","previouslyFormattedCitation":"Desma Ria et al., “Penerapan Green Banking Di Lingkungan Bank Muamalat Indonesia,” &lt;i&gt;Jihbiz: Global Journal of Islamic Banking and Finance&lt;/i&gt; 5, no. 1 (2023): 1, https://doi.org/10.22373/jihbiz.v5i1.17195."},"properties":{"noteIndex":124},"schema":"https://github.com/citation-style-language/schema/raw/master/csl-citation.json"}</w:instrText>
      </w:r>
      <w:r w:rsidRPr="006002A7">
        <w:rPr>
          <w:rFonts w:asciiTheme="majorBidi" w:hAnsiTheme="majorBidi" w:cstheme="majorBidi"/>
        </w:rPr>
        <w:fldChar w:fldCharType="separate"/>
      </w:r>
      <w:r w:rsidRPr="006002A7">
        <w:rPr>
          <w:rFonts w:asciiTheme="majorBidi" w:hAnsiTheme="majorBidi" w:cstheme="majorBidi"/>
          <w:noProof/>
        </w:rPr>
        <w:t xml:space="preserve">Desma Ria et al., “Penerapan Green Banking Di Lingkungan Bank Muamalat Indonesia,” </w:t>
      </w:r>
      <w:r w:rsidRPr="006002A7">
        <w:rPr>
          <w:rFonts w:asciiTheme="majorBidi" w:hAnsiTheme="majorBidi" w:cstheme="majorBidi"/>
          <w:i/>
          <w:noProof/>
        </w:rPr>
        <w:t>Jihbiz: Global Journal of Islamic Banking and Finance</w:t>
      </w:r>
      <w:r w:rsidRPr="006002A7">
        <w:rPr>
          <w:rFonts w:asciiTheme="majorBidi" w:hAnsiTheme="majorBidi" w:cstheme="majorBidi"/>
          <w:noProof/>
        </w:rPr>
        <w:t xml:space="preserve"> 5, no. 1 (2023): 1, https://doi.org/10.22373/jihbiz.v5i1.17195.</w:t>
      </w:r>
      <w:r w:rsidRPr="006002A7">
        <w:rPr>
          <w:rFonts w:asciiTheme="majorBidi" w:hAnsiTheme="majorBidi" w:cstheme="majorBidi"/>
        </w:rPr>
        <w:fldChar w:fldCharType="end"/>
      </w:r>
      <w:r>
        <w:rPr>
          <w:rFonts w:asciiTheme="majorBidi" w:hAnsiTheme="majorBidi" w:cstheme="majorBidi"/>
        </w:rPr>
        <w:t xml:space="preserve"> Hal.10</w:t>
      </w:r>
    </w:p>
  </w:footnote>
  <w:footnote w:id="125">
    <w:p w14:paraId="409B042C" w14:textId="06542A6A" w:rsidR="00BF31C1" w:rsidRPr="00BF31C1" w:rsidRDefault="00BF31C1" w:rsidP="00BF31C1">
      <w:pPr>
        <w:pStyle w:val="FootnoteText"/>
        <w:ind w:firstLine="720"/>
        <w:jc w:val="both"/>
        <w:rPr>
          <w:rFonts w:asciiTheme="majorBidi" w:hAnsiTheme="majorBidi" w:cstheme="majorBidi"/>
          <w:lang w:val="en-US"/>
        </w:rPr>
      </w:pPr>
      <w:r w:rsidRPr="00BF31C1">
        <w:rPr>
          <w:rStyle w:val="FootnoteReference"/>
          <w:rFonts w:asciiTheme="majorBidi" w:hAnsiTheme="majorBidi" w:cstheme="majorBidi"/>
        </w:rPr>
        <w:footnoteRef/>
      </w:r>
      <w:r w:rsidRPr="00BF31C1">
        <w:rPr>
          <w:rFonts w:asciiTheme="majorBidi" w:hAnsiTheme="majorBidi" w:cstheme="majorBidi"/>
        </w:rPr>
        <w:t xml:space="preserve"> </w:t>
      </w:r>
      <w:r w:rsidRPr="00BF31C1">
        <w:rPr>
          <w:rFonts w:asciiTheme="majorBidi" w:hAnsiTheme="majorBidi" w:cstheme="majorBidi"/>
        </w:rPr>
        <w:fldChar w:fldCharType="begin" w:fldLock="1"/>
      </w:r>
      <w:r w:rsidR="00E23066">
        <w:rPr>
          <w:rFonts w:asciiTheme="majorBidi" w:hAnsiTheme="majorBidi" w:cstheme="majorBidi"/>
        </w:rPr>
        <w:instrText>ADDIN CSL_CITATION {"citationItems":[{"id":"ITEM-1","itemData":{"DOI":"10.24952/jisfim.v2i2.5014","abstract":"ABSTRACT The occurrence of an increase or decrease in zakat and CSR followed by Return On Assets (ROA) which is not in accordance with the theory. The purpose of this study was to determine the effect of zakat and CSR on Return On Assets (ROA) at PT. Bank Muamalat Indonesia Tbk. This research is a quantitative research with a descriptive approach. The data source used is secondary data. The analytical tools used are descriptive statistics, normality test, classical assumption test (multicollinearity test, heteroscedasticity, and autocorrelation), multiple linear regression test, partial hypothesis test (t test) and simultaneously (F test) and the coefficient of determination. The results of the study explain that CSR has an effect on Return On Assets (ROA) and zakat has no effect on Return On Assets (ROA). Simultaneously Zakat and CSR affect the Return On Assets (ROA) at PT. Bank Muamalat Indonesia Tbk and the magnitude of the influence of Zakat and CSR on Return On Assets (ROA) at PT. Bank Muamalat Indonesia Tbk by 30.9 percent.Keywords : Zakat, Corporate Social Responsibility, Return On Assets ABSTRAK Terjadinya  kenaikan maupun penurunan zakat dan CSR yang diikuti oleh Return On Assets (ROA) yang tidak sesuai dengan teori. Tujuan penelitian ini untuk mengetahui pengaruh zakat dan CSR  terhadap Return On Assets (ROA) pada PT. Bank Muamalat Indonesia Tbk. Penelitian ini merupakan penelitian kuantitatif dengan pendekatan deskriptif. Sumber data yang digunakan adalah data sekunder. Alat analisis yang digunakan adalah statistik deskriptif, uji normalitas, uji asumsi klasik (uji multikolinearitas, heteriskedastisitas, dan autokorelasi), uji regresi linear berganda,uji hipotesis secara parsial (uji t) dan serempak (uji F) dan  koefisien determinasi. Hasil penelitian menjelaskan bahwa CSR berpengaruh terhadap Return On Assets (ROA) dan zakat tidak berpengaruh terhadap Return On Assets (ROA). Secara simultan Zakat dan CSR berpengaruh terhadap Return On Assets (ROA) pada PT. Bank Muamalat Indonesia Tbk dan besarnya pengaruh Zakat dan CSR terhadap Return On Assets (ROA) pada PT. Bank Muamalat Indonesia Tbk sebesar 30,9 persen.Kata kunci: Zakat, Corporate Social Responsibility, Return On Assets","author":[{"dropping-particle":"","family":"Marito","given":"Nepri","non-dropping-particle":"","parse-names":false,"suffix":""},{"dropping-particle":"","family":"N","given":"Nofinawati","non-dropping-particle":"","parse-names":false,"suffix":""},{"dropping-particle":"","family":"Hardana","given":"Ali","non-dropping-particle":"","parse-names":false,"suffix":""}],"container-title":"Journal of Islamic Social Finance Management","id":"ITEM-1","issue":"2","issued":{"date-parts":[["2021"]]},"page":"190-209","title":"Pengaruh Zakat Perbankan dan Corporate Social Responsibility terhadap Kinerja PT. Bank Muamalat Indonesia","type":"article-journal","volume":"2"},"uris":["http://www.mendeley.com/documents/?uuid=19468b06-7926-40c5-a333-47a81511aec7"]}],"mendeley":{"formattedCitation":"Nepri Marito, Nofinawati N, and Ali Hardana, “Pengaruh Zakat Perbankan Dan Corporate Social Responsibility Terhadap Kinerja PT. Bank Muamalat Indonesia,” &lt;i&gt;Journal of Islamic Social Finance Management&lt;/i&gt; 2, no. 2 (2021): 190–209, https://doi.org/10.24952/jisfim.v2i2.5014.","plainTextFormattedCitation":"Nepri Marito, Nofinawati N, and Ali Hardana, “Pengaruh Zakat Perbankan Dan Corporate Social Responsibility Terhadap Kinerja PT. Bank Muamalat Indonesia,” Journal of Islamic Social Finance Management 2, no. 2 (2021): 190–209, https://doi.org/10.24952/jisfim.v2i2.5014.","previouslyFormattedCitation":"Nepri Marito, Nofinawati N, and Ali Hardana, “Pengaruh Zakat Perbankan Dan Corporate Social Responsibility Terhadap Kinerja PT. Bank Muamalat Indonesia,” &lt;i&gt;Journal of Islamic Social Finance Management&lt;/i&gt; 2, no. 2 (2021): 190–209, https://doi.org/10.24952/jisfim.v2i2.5014."},"properties":{"noteIndex":125},"schema":"https://github.com/citation-style-language/schema/raw/master/csl-citation.json"}</w:instrText>
      </w:r>
      <w:r w:rsidRPr="00BF31C1">
        <w:rPr>
          <w:rFonts w:asciiTheme="majorBidi" w:hAnsiTheme="majorBidi" w:cstheme="majorBidi"/>
        </w:rPr>
        <w:fldChar w:fldCharType="separate"/>
      </w:r>
      <w:r w:rsidRPr="00BF31C1">
        <w:rPr>
          <w:rFonts w:asciiTheme="majorBidi" w:hAnsiTheme="majorBidi" w:cstheme="majorBidi"/>
          <w:noProof/>
        </w:rPr>
        <w:t xml:space="preserve">Nepri Marito, Nofinawati N, and Ali Hardana, “Pengaruh Zakat Perbankan Dan Corporate Social Responsibility Terhadap Kinerja PT. Bank Muamalat Indonesia,” </w:t>
      </w:r>
      <w:r w:rsidRPr="00BF31C1">
        <w:rPr>
          <w:rFonts w:asciiTheme="majorBidi" w:hAnsiTheme="majorBidi" w:cstheme="majorBidi"/>
          <w:i/>
          <w:noProof/>
        </w:rPr>
        <w:t>Journal of Islamic Social Finance Management</w:t>
      </w:r>
      <w:r w:rsidRPr="00BF31C1">
        <w:rPr>
          <w:rFonts w:asciiTheme="majorBidi" w:hAnsiTheme="majorBidi" w:cstheme="majorBidi"/>
          <w:noProof/>
        </w:rPr>
        <w:t xml:space="preserve"> 2, no. 2 (2021): 190–209, https://doi.org/10.24952/jisfim.v2i2.5014.</w:t>
      </w:r>
      <w:r w:rsidRPr="00BF31C1">
        <w:rPr>
          <w:rFonts w:asciiTheme="majorBidi" w:hAnsiTheme="majorBidi" w:cstheme="majorBidi"/>
        </w:rPr>
        <w:fldChar w:fldCharType="end"/>
      </w:r>
      <w:r w:rsidRPr="00BF31C1">
        <w:rPr>
          <w:rFonts w:asciiTheme="majorBidi" w:hAnsiTheme="majorBidi" w:cstheme="majorBidi"/>
        </w:rPr>
        <w:t xml:space="preserve"> Hal.197</w:t>
      </w:r>
    </w:p>
  </w:footnote>
  <w:footnote w:id="126">
    <w:p w14:paraId="3C7F47DC" w14:textId="57F93B18" w:rsidR="00BF31C1" w:rsidRPr="00BF31C1" w:rsidRDefault="00BF31C1" w:rsidP="00BF31C1">
      <w:pPr>
        <w:pStyle w:val="FootnoteText"/>
        <w:ind w:firstLine="720"/>
        <w:jc w:val="both"/>
        <w:rPr>
          <w:rFonts w:asciiTheme="majorBidi" w:hAnsiTheme="majorBidi" w:cstheme="majorBidi"/>
          <w:lang w:val="en-US"/>
        </w:rPr>
      </w:pPr>
      <w:r w:rsidRPr="00BF31C1">
        <w:rPr>
          <w:rStyle w:val="FootnoteReference"/>
          <w:rFonts w:asciiTheme="majorBidi" w:hAnsiTheme="majorBidi" w:cstheme="majorBidi"/>
        </w:rPr>
        <w:footnoteRef/>
      </w:r>
      <w:r w:rsidRPr="00BF31C1">
        <w:rPr>
          <w:rFonts w:asciiTheme="majorBidi" w:hAnsiTheme="majorBidi" w:cstheme="majorBidi"/>
        </w:rPr>
        <w:t xml:space="preserve"> </w:t>
      </w:r>
      <w:r w:rsidRPr="00BF31C1">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Syaipudin","given":"Latif","non-dropping-particle":"","parse-names":false,"suffix":""},{"dropping-particle":"","family":"Luthfi","given":"Ahmad","non-dropping-particle":"","parse-names":false,"suffix":""}],"id":"ITEM-1","issue":"1","issued":{"date-parts":[["2024"]]},"page":"10-21","title":"Pengaruh Financing to Debt Ratio dan Net Profit Margin terhadap Profitabilitas Bank Muamalat Indonesia Periode 2013-2022","type":"article-journal","volume":"1"},"uris":["http://www.mendeley.com/documents/?uuid=e811b659-afa4-41d9-965f-fb02cd152092"]}],"mendeley":{"formattedCitation":"Syaipudin and Luthfi, “Pengaruh Financing to Debt Ratio Dan Net Profit Margin Terhadap Profitabilitas Bank Muamalat Indonesia Periode 2013-2022.”","plainTextFormattedCitation":"Syaipudin and Luthfi, “Pengaruh Financing to Debt Ratio Dan Net Profit Margin Terhadap Profitabilitas Bank Muamalat Indonesia Periode 2013-2022.”","previouslyFormattedCitation":"Syaipudin and Luthfi, “Pengaruh Financing to Debt Ratio Dan Net Profit Margin Terhadap Profitabilitas Bank Muamalat Indonesia Periode 2013-2022.”"},"properties":{"noteIndex":126},"schema":"https://github.com/citation-style-language/schema/raw/master/csl-citation.json"}</w:instrText>
      </w:r>
      <w:r w:rsidRPr="00BF31C1">
        <w:rPr>
          <w:rFonts w:asciiTheme="majorBidi" w:hAnsiTheme="majorBidi" w:cstheme="majorBidi"/>
        </w:rPr>
        <w:fldChar w:fldCharType="separate"/>
      </w:r>
      <w:r w:rsidR="00E91007" w:rsidRPr="00E91007">
        <w:rPr>
          <w:rFonts w:asciiTheme="majorBidi" w:hAnsiTheme="majorBidi" w:cstheme="majorBidi"/>
          <w:noProof/>
        </w:rPr>
        <w:t>Syaipudin and Luthfi, “Pengaruh Financing to Debt Ratio Dan Net Profit Margin Terhadap Profitabilitas Bank Muamalat Indonesia Periode 2013-2022.”</w:t>
      </w:r>
      <w:r w:rsidRPr="00BF31C1">
        <w:rPr>
          <w:rFonts w:asciiTheme="majorBidi" w:hAnsiTheme="majorBidi" w:cstheme="majorBidi"/>
        </w:rPr>
        <w:fldChar w:fldCharType="end"/>
      </w:r>
      <w:r w:rsidRPr="00BF31C1">
        <w:rPr>
          <w:rFonts w:asciiTheme="majorBidi" w:hAnsiTheme="majorBidi" w:cstheme="majorBidi"/>
        </w:rPr>
        <w:t xml:space="preserve"> Hal.13</w:t>
      </w:r>
    </w:p>
  </w:footnote>
  <w:footnote w:id="127">
    <w:p w14:paraId="0DE5FAF5" w14:textId="4B9C46D4" w:rsidR="007E493E" w:rsidRPr="00824B15" w:rsidRDefault="007E493E" w:rsidP="00824B15">
      <w:pPr>
        <w:pStyle w:val="FootnoteText"/>
        <w:ind w:firstLine="720"/>
        <w:jc w:val="both"/>
        <w:rPr>
          <w:rFonts w:asciiTheme="majorBidi" w:hAnsiTheme="majorBidi" w:cstheme="majorBidi"/>
          <w:lang w:val="en-US"/>
        </w:rPr>
      </w:pPr>
      <w:r w:rsidRPr="00824B15">
        <w:rPr>
          <w:rStyle w:val="FootnoteReference"/>
          <w:rFonts w:asciiTheme="majorBidi" w:hAnsiTheme="majorBidi" w:cstheme="majorBidi"/>
        </w:rPr>
        <w:footnoteRef/>
      </w:r>
      <w:r w:rsidRPr="00824B15">
        <w:rPr>
          <w:rFonts w:asciiTheme="majorBidi" w:hAnsiTheme="majorBidi" w:cstheme="majorBidi"/>
        </w:rPr>
        <w:t xml:space="preserve"> </w:t>
      </w:r>
      <w:r w:rsidR="00824B15" w:rsidRPr="00824B15">
        <w:rPr>
          <w:rFonts w:asciiTheme="majorBidi" w:hAnsiTheme="majorBidi" w:cstheme="majorBidi"/>
        </w:rPr>
        <w:fldChar w:fldCharType="begin" w:fldLock="1"/>
      </w:r>
      <w:r w:rsidR="00E23066">
        <w:rPr>
          <w:rFonts w:asciiTheme="majorBidi" w:hAnsiTheme="majorBidi" w:cstheme="majorBidi"/>
        </w:rPr>
        <w:instrText>ADDIN CSL_CITATION {"citationItems":[{"id":"ITEM-1","itemData":{"author":[{"dropping-particle":"","family":"Saleh","given":"Muhammad","non-dropping-particle":"","parse-names":false,"suffix":""},{"dropping-particle":"","family":"Sinaga","given":"Asmawarna","non-dropping-particle":"","parse-names":false,"suffix":""},{"dropping-particle":"","family":"Mahmudiyah","given":"Stai- Jam","non-dropping-particle":"","parse-names":false,"suffix":""}],"container-title":"JEKSya Jurnal","id":"ITEM-1","issue":"1","issued":{"date-parts":[["2023"]]},"page":"285-297","title":"JEKSya Jurnal Ekonomi dan Keuangan Syariah","type":"article-journal","volume":"2"},"uris":["http://www.mendeley.com/documents/?uuid=daa8f2b6-b143-47ae-b612-c66dc9be8c42"]}],"mendeley":{"formattedCitation":"Muhammad Saleh, Asmawarna Sinaga, and Stai- Jam Mahmudiyah, “JEKSya Jurnal Ekonomi Dan Keuangan Syariah,” &lt;i&gt;JEKSya Jurnal&lt;/i&gt; 2, no. 1 (2023): 285–97.","plainTextFormattedCitation":"Muhammad Saleh, Asmawarna Sinaga, and Stai- Jam Mahmudiyah, “JEKSya Jurnal Ekonomi Dan Keuangan Syariah,” JEKSya Jurnal 2, no. 1 (2023): 285–97.","previouslyFormattedCitation":"Muhammad Saleh, Asmawarna Sinaga, and Stai- Jam Mahmudiyah, “JEKSya Jurnal Ekonomi Dan Keuangan Syariah,” &lt;i&gt;JEKSya Jurnal&lt;/i&gt; 2, no. 1 (2023): 285–97."},"properties":{"noteIndex":127},"schema":"https://github.com/citation-style-language/schema/raw/master/csl-citation.json"}</w:instrText>
      </w:r>
      <w:r w:rsidR="00824B15" w:rsidRPr="00824B15">
        <w:rPr>
          <w:rFonts w:asciiTheme="majorBidi" w:hAnsiTheme="majorBidi" w:cstheme="majorBidi"/>
        </w:rPr>
        <w:fldChar w:fldCharType="separate"/>
      </w:r>
      <w:r w:rsidR="00824B15" w:rsidRPr="00824B15">
        <w:rPr>
          <w:rFonts w:asciiTheme="majorBidi" w:hAnsiTheme="majorBidi" w:cstheme="majorBidi"/>
          <w:noProof/>
        </w:rPr>
        <w:t xml:space="preserve">Muhammad Saleh, Asmawarna Sinaga, and Stai- Jam Mahmudiyah, “JEKSya Jurnal Ekonomi Dan Keuangan Syariah,” </w:t>
      </w:r>
      <w:r w:rsidR="00824B15" w:rsidRPr="00824B15">
        <w:rPr>
          <w:rFonts w:asciiTheme="majorBidi" w:hAnsiTheme="majorBidi" w:cstheme="majorBidi"/>
          <w:i/>
          <w:noProof/>
        </w:rPr>
        <w:t>JEKSya Jurnal</w:t>
      </w:r>
      <w:r w:rsidR="00824B15" w:rsidRPr="00824B15">
        <w:rPr>
          <w:rFonts w:asciiTheme="majorBidi" w:hAnsiTheme="majorBidi" w:cstheme="majorBidi"/>
          <w:noProof/>
        </w:rPr>
        <w:t xml:space="preserve"> 2, no. 1 (2023): 285–97.</w:t>
      </w:r>
      <w:r w:rsidR="00824B15" w:rsidRPr="00824B15">
        <w:rPr>
          <w:rFonts w:asciiTheme="majorBidi" w:hAnsiTheme="majorBidi" w:cstheme="majorBidi"/>
        </w:rPr>
        <w:fldChar w:fldCharType="end"/>
      </w:r>
      <w:r w:rsidR="00824B15" w:rsidRPr="00824B15">
        <w:rPr>
          <w:rFonts w:asciiTheme="majorBidi" w:hAnsiTheme="majorBidi" w:cstheme="majorBidi"/>
        </w:rPr>
        <w:t xml:space="preserve"> Hal.597</w:t>
      </w:r>
    </w:p>
  </w:footnote>
  <w:footnote w:id="128">
    <w:p w14:paraId="79E42030" w14:textId="58A2DC69" w:rsidR="00615F88" w:rsidRPr="00325C4B" w:rsidRDefault="00615F88" w:rsidP="00615F88">
      <w:pPr>
        <w:pStyle w:val="FootnoteText"/>
        <w:ind w:firstLine="720"/>
        <w:jc w:val="both"/>
        <w:rPr>
          <w:rFonts w:asciiTheme="majorBidi" w:hAnsiTheme="majorBidi" w:cstheme="majorBidi"/>
        </w:rPr>
      </w:pPr>
      <w:r w:rsidRPr="00325C4B">
        <w:rPr>
          <w:rStyle w:val="FootnoteReference"/>
          <w:rFonts w:asciiTheme="majorBidi" w:hAnsiTheme="majorBidi" w:cstheme="majorBidi"/>
        </w:rPr>
        <w:footnoteRef/>
      </w:r>
      <w:r w:rsidRPr="00325C4B">
        <w:rPr>
          <w:rFonts w:asciiTheme="majorBidi" w:hAnsiTheme="majorBidi" w:cstheme="majorBidi"/>
        </w:rPr>
        <w:t xml:space="preserve"> </w:t>
      </w:r>
      <w:r w:rsidRPr="00325C4B">
        <w:rPr>
          <w:rFonts w:asciiTheme="majorBidi" w:hAnsiTheme="majorBidi" w:cstheme="majorBidi"/>
        </w:rPr>
        <w:fldChar w:fldCharType="begin" w:fldLock="1"/>
      </w:r>
      <w:r w:rsidR="00E23066">
        <w:rPr>
          <w:rFonts w:asciiTheme="majorBidi" w:hAnsiTheme="majorBidi" w:cstheme="majorBidi"/>
        </w:rPr>
        <w:instrText>ADDIN CSL_CITATION {"citationItems":[{"id":"ITEM-1","itemData":{"DOI":"10.37481/sjr.v4i3.334","ISSN":"2615-3009","abstract":"This study aims to determine the effect of capital adequacy, problematic financing, profit sharing and inflation rates on Mudharabah deposits in Islamic commercial banks. There are 5 samples in this study that meet the criteria, namely Bank Jabar Banten Syariah, Panin Dubai Syariah Bank, Bukopin Syariah Bank, BCA Syariah and Maybank Syariah Indonesia. The analytical tool used is panel data regression analysis. The chosen model is Random Effect which is tested by F test and t test, with a significance level of 5%. From the results of the analysis, it is known that simultaneous Capital Adequacy, Problem Financing, Profit Sharing and Inflation Rate have a significant effect on Mudharabah Deposits. Partially Capital Adequacy, Problem Financing and Inflation Rate have no significant effect on Mudharabah Deposits while Profit Sharing has a positive and significant effect on Mudharabah Deposits.","author":[{"dropping-particle":"","family":"Nurhidayah","given":"Wilda","non-dropping-particle":"","parse-names":false,"suffix":""},{"dropping-particle":"","family":"Amaliyah","given":"Amaliyah","non-dropping-particle":"","parse-names":false,"suffix":""}],"container-title":"SCIENTIFIC JOURNAL OF REFLECTION : Economic, Accounting, Management and Business","id":"ITEM-1","issue":"3","issued":{"date-parts":[["2021"]]},"page":"550-558","title":"Pengaruh Kecukupan Modal, Pembiayaan Bermasalah, Bagi Hasil Dan Tingkat Inflasi Terhadap Deposito Mudharabah Pada Bank Umum Syariah","type":"article-journal","volume":"4"},"uris":["http://www.mendeley.com/documents/?uuid=ddae0bef-4911-402b-9d39-ac10be743883"]}],"mendeley":{"formattedCitation":"Nurhidayah and Amaliyah, “Pengaruh Kecukupan Modal, Pembiayaan Bermasalah, Bagi Hasil Dan Tingkat Inflasi Terhadap Deposito Mudharabah Pada Bank Umum Syariah.”","plainTextFormattedCitation":"Nurhidayah and Amaliyah, “Pengaruh Kecukupan Modal, Pembiayaan Bermasalah, Bagi Hasil Dan Tingkat Inflasi Terhadap Deposito Mudharabah Pada Bank Umum Syariah.”","previouslyFormattedCitation":"Nurhidayah and Amaliyah, “Pengaruh Kecukupan Modal, Pembiayaan Bermasalah, Bagi Hasil Dan Tingkat Inflasi Terhadap Deposito Mudharabah Pada Bank Umum Syariah.”"},"properties":{"noteIndex":128},"schema":"https://github.com/citation-style-language/schema/raw/master/csl-citation.json"}</w:instrText>
      </w:r>
      <w:r w:rsidRPr="00325C4B">
        <w:rPr>
          <w:rFonts w:asciiTheme="majorBidi" w:hAnsiTheme="majorBidi" w:cstheme="majorBidi"/>
        </w:rPr>
        <w:fldChar w:fldCharType="separate"/>
      </w:r>
      <w:r w:rsidRPr="00837626">
        <w:rPr>
          <w:rFonts w:asciiTheme="majorBidi" w:hAnsiTheme="majorBidi" w:cstheme="majorBidi"/>
          <w:noProof/>
        </w:rPr>
        <w:t>Nurhidayah and Amaliyah, “Pengaruh Kecukupan Modal, Pembiayaan Bermasalah, Bagi Hasil Dan Tingkat Inflasi Terhadap Deposito Mudharabah Pada Bank Umum Syariah.”</w:t>
      </w:r>
      <w:r w:rsidRPr="00325C4B">
        <w:rPr>
          <w:rFonts w:asciiTheme="majorBidi" w:hAnsiTheme="majorBidi" w:cstheme="majorBidi"/>
        </w:rPr>
        <w:fldChar w:fldCharType="end"/>
      </w:r>
      <w:r w:rsidRPr="00325C4B">
        <w:rPr>
          <w:rFonts w:asciiTheme="majorBidi" w:hAnsiTheme="majorBidi" w:cstheme="majorBidi"/>
        </w:rPr>
        <w:t xml:space="preserve"> Hal.556</w:t>
      </w:r>
    </w:p>
  </w:footnote>
  <w:footnote w:id="129">
    <w:p w14:paraId="7835A87A" w14:textId="51D6B6DB" w:rsidR="00615F88" w:rsidRPr="00615F88" w:rsidRDefault="00615F88" w:rsidP="00615F88">
      <w:pPr>
        <w:pStyle w:val="FootnoteText"/>
        <w:ind w:firstLine="720"/>
        <w:jc w:val="both"/>
        <w:rPr>
          <w:rFonts w:asciiTheme="majorBidi" w:hAnsiTheme="majorBidi" w:cstheme="majorBidi"/>
          <w:lang w:val="en-US"/>
        </w:rPr>
      </w:pPr>
      <w:r w:rsidRPr="00615F88">
        <w:rPr>
          <w:rStyle w:val="FootnoteReference"/>
          <w:rFonts w:asciiTheme="majorBidi" w:hAnsiTheme="majorBidi" w:cstheme="majorBidi"/>
        </w:rPr>
        <w:footnoteRef/>
      </w:r>
      <w:r w:rsidRPr="00615F88">
        <w:rPr>
          <w:rFonts w:asciiTheme="majorBidi" w:hAnsiTheme="majorBidi" w:cstheme="majorBidi"/>
        </w:rPr>
        <w:t xml:space="preserve"> </w:t>
      </w:r>
      <w:r w:rsidRPr="00615F88">
        <w:rPr>
          <w:rFonts w:asciiTheme="majorBidi" w:hAnsiTheme="majorBidi" w:cstheme="majorBidi"/>
        </w:rPr>
        <w:fldChar w:fldCharType="begin" w:fldLock="1"/>
      </w:r>
      <w:r w:rsidR="00E23066">
        <w:rPr>
          <w:rFonts w:asciiTheme="majorBidi" w:hAnsiTheme="majorBidi" w:cstheme="majorBidi"/>
        </w:rPr>
        <w:instrText>ADDIN CSL_CITATION {"citationItems":[{"id":"ITEM-1","itemData":{"ISSN":"2304-1269","abstract":"In the recent years, Islamic banking in Indonesia is growing rapidly. The data of Bank Indonesia shows that the number of Islamic banking instruments such as mudharabah deposits has increased both in the number and the total value. The objective of this research is to analyze the influence of Financing to Deposit Ratio (FDR) and Non Performing Financing (NPF) on Mudharabah Deposits of Indonesian Islamic Banking in the period from 2010 to 2013. The sample of this study was 11 Islamic Commercial Banks and 23 Islamic Business Units of Conventional Bank in Indonesia. Secondary data was collected from the Islamic Banking Statistics of Bank Indonesia official website. The data analysis technique used in this study was multiple regression analysis. Based on statistical analysis, it is concluded that Non Performing Financing (NPF) effect on Mudharabah Deposits. Meanwhile, Financing to Deposit Ratio (FDR) has no effect on the Mudharabah Deposits. The results indicate that the customers' motivation to save their money in the bank is to invest in Islamic financial instruments in accordance with Islamic principles, so that customers do not pay much attention to factors such as the level of Financing to Deposit Ratio (FDR).","author":[{"dropping-particle":"","family":"Mayasari","given":"Triya","non-dropping-particle":"","parse-names":false,"suffix":""},{"dropping-particle":"","family":"Yusuf","given":"","non-dropping-particle":"","parse-names":false,"suffix":""},{"dropping-particle":"","family":"Yulianto","given":"Agung","non-dropping-particle":"","parse-names":false,"suffix":""}],"container-title":"Rev. Integr. Bus. Econ. Res.","id":"ITEM-1","issue":"1","issued":{"date-parts":[["2018"]]},"page":"210","title":"The Internal Factors of Indonesian Sharia Banking to Predict The Mudharabah Deposits","type":"article-journal","volume":"5"},"uris":["http://www.mendeley.com/documents/?uuid=e5fa6830-f4a5-421b-8a5a-198724164682"]}],"mendeley":{"formattedCitation":"Mayasari, Yusuf, and Yulianto, “The Internal Factors of Indonesian Sharia Banking to Predict The Mudharabah Deposits.”","plainTextFormattedCitation":"Mayasari, Yusuf, and Yulianto, “The Internal Factors of Indonesian Sharia Banking to Predict The Mudharabah Deposits.”","previouslyFormattedCitation":"Mayasari, Yusuf, and Yulianto, “The Internal Factors of Indonesian Sharia Banking to Predict The Mudharabah Deposits.”"},"properties":{"noteIndex":129},"schema":"https://github.com/citation-style-language/schema/raw/master/csl-citation.json"}</w:instrText>
      </w:r>
      <w:r w:rsidRPr="00615F88">
        <w:rPr>
          <w:rFonts w:asciiTheme="majorBidi" w:hAnsiTheme="majorBidi" w:cstheme="majorBidi"/>
        </w:rPr>
        <w:fldChar w:fldCharType="separate"/>
      </w:r>
      <w:r w:rsidRPr="00615F88">
        <w:rPr>
          <w:rFonts w:asciiTheme="majorBidi" w:hAnsiTheme="majorBidi" w:cstheme="majorBidi"/>
          <w:noProof/>
        </w:rPr>
        <w:t>Mayasari, Yusuf, and Yulianto, “The Internal Factors of Indonesian Sharia Banking to Predict The Mudharabah Deposits.”</w:t>
      </w:r>
      <w:r w:rsidRPr="00615F88">
        <w:rPr>
          <w:rFonts w:asciiTheme="majorBidi" w:hAnsiTheme="majorBidi" w:cstheme="majorBidi"/>
        </w:rPr>
        <w:fldChar w:fldCharType="end"/>
      </w:r>
    </w:p>
  </w:footnote>
  <w:footnote w:id="130">
    <w:p w14:paraId="48424B34" w14:textId="7EB60AF6" w:rsidR="00615F88" w:rsidRPr="00611753" w:rsidRDefault="00615F88" w:rsidP="00615F88">
      <w:pPr>
        <w:pStyle w:val="FootnoteText"/>
        <w:ind w:firstLine="720"/>
        <w:jc w:val="both"/>
        <w:rPr>
          <w:rFonts w:asciiTheme="majorBidi" w:hAnsiTheme="majorBidi" w:cstheme="majorBidi"/>
          <w:lang w:val="en-US"/>
        </w:rPr>
      </w:pPr>
      <w:r w:rsidRPr="00615F88">
        <w:rPr>
          <w:rStyle w:val="FootnoteReference"/>
          <w:rFonts w:asciiTheme="majorBidi" w:hAnsiTheme="majorBidi" w:cstheme="majorBidi"/>
        </w:rPr>
        <w:footnoteRef/>
      </w:r>
      <w:r w:rsidRPr="00611753">
        <w:rPr>
          <w:rFonts w:asciiTheme="majorBidi" w:hAnsiTheme="majorBidi" w:cstheme="majorBidi"/>
          <w:lang w:val="en-US"/>
        </w:rPr>
        <w:t xml:space="preserve"> </w:t>
      </w:r>
      <w:r w:rsidRPr="00615F88">
        <w:rPr>
          <w:rFonts w:asciiTheme="majorBidi" w:hAnsiTheme="majorBidi" w:cstheme="majorBidi"/>
        </w:rPr>
        <w:fldChar w:fldCharType="begin" w:fldLock="1"/>
      </w:r>
      <w:r w:rsidR="00E23066">
        <w:rPr>
          <w:rFonts w:asciiTheme="majorBidi" w:hAnsiTheme="majorBidi" w:cstheme="majorBidi"/>
          <w:lang w:val="en-US"/>
        </w:rPr>
        <w:instrText>ADDIN CSL_CITATION {"citationItems":[{"id":"ITEM-1","itemData":{"DOI":"10.22219/jes.v4i1.8752","ISSN":"2502-3918","abstract":"This study aims to determine the factors affect the amount of mudharaba deposits in Sharia Commercial Banks period 2014-2017. Factors affecting mudharaba deposits are used in this study which profit sharing rate, liquidity level measured by financing to deposit ratio, and inflation rate. The method used in this research is quantitative descriptive. The data used are secondary time series for the period of January 2014-December 2017 which has been published by the website of Bank Indonesia and Otoritas Jasa Keuangan (OJK). The method of analysis used is multiple linear regression. The results of this study indicate that the profit sharing rate, financing to deposit ratio and inflation rate significantly influence the number of mudharaba deposit accumulation. Variable of profit sharing rate have a positive relation to mudharaba deposit. However, the variable of financing to deposit ratio and inflation rate have a negative relation to mudharaba deposit.","author":[{"dropping-particle":"","family":"Febriani","given":"Firda Izzati","non-dropping-particle":"","parse-names":false,"suffix":""}],"container-title":"Falah: Jurnal Ekonomi Syariah","id":"ITEM-1","issue":"1","issued":{"date-parts":[["2019"]]},"page":"108","title":"Pengaruh Tingkat Bagi Hasil, Financing to Deposit Ratio (FDR) Dan Tingkat Inflasi Terhadap Deposito Mudharabah Pada Bank Umum Syariah (BUS) Periode 2014 – 2017","type":"article-journal","volume":"4"},"uris":["http://www.mendeley.com/documents/?uuid=42c62c87-a0e6-4191-88ce-e93bd9aea831"]}],"mendeley":{"formattedCitation":"Febriani, “Pengaruh Tingkat Bagi Hasil, Financing to Deposit Ratio (FDR) Dan Tingkat Inflasi Terhadap Deposito Mudharabah Pada Bank Umum Syariah (BUS) Periode 2014 – 2017.”","plainTextFormattedCitation":"Febriani, “Pengaruh Tingkat Bagi Hasil, Financing to Deposit Ratio (FDR) Dan Tingkat Inflasi Terhadap Deposito Mudharabah Pada Bank Umum Syariah (BUS) Periode 2014 – 2017.”","previouslyFormattedCitation":"Febriani, “Pengaruh Tingkat Bagi Hasil, Financing to Deposit Ratio (FDR) Dan Tingkat Inflasi Terhadap Deposito Mudharabah Pada Bank Umum Syariah (BUS) Periode 2014 – 2017.”"},"properties":{"noteIndex":130},"schema":"https://github.com/citation-style-language/schema/raw/master/csl-citation.json"}</w:instrText>
      </w:r>
      <w:r w:rsidRPr="00615F88">
        <w:rPr>
          <w:rFonts w:asciiTheme="majorBidi" w:hAnsiTheme="majorBidi" w:cstheme="majorBidi"/>
        </w:rPr>
        <w:fldChar w:fldCharType="separate"/>
      </w:r>
      <w:r w:rsidR="00611753" w:rsidRPr="00611753">
        <w:rPr>
          <w:rFonts w:asciiTheme="majorBidi" w:hAnsiTheme="majorBidi" w:cstheme="majorBidi"/>
          <w:noProof/>
          <w:lang w:val="en-US"/>
        </w:rPr>
        <w:t>Febriani, “Pengaruh Tingkat Bagi Hasil, Financing to Deposit Ratio (FDR) Dan Tingkat Inflasi Terhadap Deposito Mudharabah Pada Bank Umum Syariah (BUS) Periode 2014 – 2017.”</w:t>
      </w:r>
      <w:r w:rsidRPr="00615F88">
        <w:rPr>
          <w:rFonts w:asciiTheme="majorBidi" w:hAnsiTheme="majorBidi" w:cstheme="majorBidi"/>
        </w:rPr>
        <w:fldChar w:fldCharType="end"/>
      </w:r>
    </w:p>
  </w:footnote>
  <w:footnote w:id="131">
    <w:p w14:paraId="0005FB3F" w14:textId="3C21C8B9" w:rsidR="00611753" w:rsidRPr="00611753" w:rsidRDefault="00611753" w:rsidP="00611753">
      <w:pPr>
        <w:pStyle w:val="FootnoteText"/>
        <w:ind w:firstLine="720"/>
        <w:jc w:val="both"/>
        <w:rPr>
          <w:rFonts w:asciiTheme="majorBidi" w:hAnsiTheme="majorBidi" w:cstheme="majorBidi"/>
          <w:lang w:val="en-US"/>
        </w:rPr>
      </w:pPr>
      <w:r w:rsidRPr="00611753">
        <w:rPr>
          <w:rStyle w:val="FootnoteReference"/>
          <w:rFonts w:asciiTheme="majorBidi" w:hAnsiTheme="majorBidi" w:cstheme="majorBidi"/>
        </w:rPr>
        <w:footnoteRef/>
      </w:r>
      <w:r w:rsidRPr="00611753">
        <w:rPr>
          <w:rFonts w:asciiTheme="majorBidi" w:hAnsiTheme="majorBidi" w:cstheme="majorBidi"/>
          <w:lang w:val="en-US"/>
        </w:rPr>
        <w:t xml:space="preserve"> </w:t>
      </w:r>
      <w:r w:rsidRPr="00611753">
        <w:rPr>
          <w:rFonts w:asciiTheme="majorBidi" w:hAnsiTheme="majorBidi" w:cstheme="majorBidi"/>
        </w:rPr>
        <w:fldChar w:fldCharType="begin" w:fldLock="1"/>
      </w:r>
      <w:r w:rsidR="00E23066">
        <w:rPr>
          <w:rFonts w:asciiTheme="majorBidi" w:hAnsiTheme="majorBidi" w:cstheme="majorBidi"/>
          <w:lang w:val="en-US"/>
        </w:rPr>
        <w:instrText>ADDIN CSL_CITATION {"citationItems":[{"id":"ITEM-1","itemData":{"DOI":"10.47903/ji.v10i2.128","abstract":"This research aims to analyze the variable profit-sharing rate of mudharabah deposits, FDR, inflation rates, and GDP in influencing the number of mudharabah deposits at the Sharia People Financing Bank (BPRS) in Banten Province. The data used in this study are time-series data and cross-section (panel data) for the first quarter of 2015 to the fourth quarters of 2018. Meanwhile, the independent variable used is the profit-sharing rate of mudharabah deposits, FDR, interest rates, inflation, and products Gross Domestic and the dependent variable is the number of mudharabah deposits. The method used is a quantitative method of panel data with a fixed-effect model approach. The results showed that the rate of sharing of mudharabah deposits, FDR, interest rates, inflation, and GDP had a significant effect on the number of mudharabah deposits simultaneously. But partially, the profit-sharing rate of mudharabah deposits has a positive and significant effect on the number of mudharabah deposits. FDR, interest rates, and inflation have a negative and significant effect on the number of mudharabah deposits. while GDP has a negative and not significant effect on the number of mudharabah deposits.","author":[{"dropping-particle":"","family":"Mahaaba","given":"Shoona Kabila","non-dropping-particle":"","parse-names":false,"suffix":""}],"container-title":"Islaminomics: Journal of Islamic Economics, Business and Finance","id":"ITEM-1","issue":"2","issued":{"date-parts":[["2020"]]},"page":"104-129","title":"Analisis Pengaruh Tingkat Bagi Hasil Deposito Mudharabah, FDR, Suku Bunga, Inflasi, dan PDB terhadap Jumlah Deposito Mudharabah pada Bank Pembiayaan Rakyat Syari’ah (BPRS) di Provinsi Banten","type":"article-journal","volume":"10"},"uris":["http://www.mendeley.com/documents/?uuid=4748d2a0-f1f5-4884-9069-5deb0406bdb5"]}],"mendeley":{"formattedCitation":"Mahaaba, “Analisis Pengaruh Tingkat Bagi Hasil Deposito Mudharabah, FDR, Suku Bunga, Inflasi, Dan PDB Terhadap Jumlah Deposito Mudharabah Pada Bank Pembiayaan Rakyat Syari’ah (BPRS) Di Provinsi Banten.”","plainTextFormattedCitation":"Mahaaba, “Analisis Pengaruh Tingkat Bagi Hasil Deposito Mudharabah, FDR, Suku Bunga, Inflasi, Dan PDB Terhadap Jumlah Deposito Mudharabah Pada Bank Pembiayaan Rakyat Syari’ah (BPRS) Di Provinsi Banten.”","previouslyFormattedCitation":"Mahaaba, “Analisis Pengaruh Tingkat Bagi Hasil Deposito Mudharabah, FDR, Suku Bunga, Inflasi, Dan PDB Terhadap Jumlah Deposito Mudharabah Pada Bank Pembiayaan Rakyat Syari’ah (BPRS) Di Provinsi Banten.”"},"properties":{"noteIndex":131},"schema":"https://github.com/citation-style-language/schema/raw/master/csl-citation.json"}</w:instrText>
      </w:r>
      <w:r w:rsidRPr="00611753">
        <w:rPr>
          <w:rFonts w:asciiTheme="majorBidi" w:hAnsiTheme="majorBidi" w:cstheme="majorBidi"/>
        </w:rPr>
        <w:fldChar w:fldCharType="separate"/>
      </w:r>
      <w:r w:rsidRPr="00611753">
        <w:rPr>
          <w:rFonts w:asciiTheme="majorBidi" w:hAnsiTheme="majorBidi" w:cstheme="majorBidi"/>
          <w:noProof/>
          <w:lang w:val="en-US"/>
        </w:rPr>
        <w:t>Mahaaba, “Analisis Pengaruh Tingkat Bagi Hasil Deposito Mudharabah, FDR, Suku Bunga, Inflasi, Dan PDB Terhadap Jumlah Deposito Mudharabah Pada Bank Pembiayaan Rakyat Syari’ah (BPRS) Di Provinsi Banten.”</w:t>
      </w:r>
      <w:r w:rsidRPr="00611753">
        <w:rPr>
          <w:rFonts w:asciiTheme="majorBidi" w:hAnsiTheme="majorBidi" w:cstheme="majorBidi"/>
        </w:rPr>
        <w:fldChar w:fldCharType="end"/>
      </w:r>
    </w:p>
  </w:footnote>
  <w:footnote w:id="132">
    <w:p w14:paraId="3CDC0020" w14:textId="514F6A06" w:rsidR="00611753" w:rsidRPr="00611753" w:rsidRDefault="00611753" w:rsidP="00611753">
      <w:pPr>
        <w:pStyle w:val="FootnoteText"/>
        <w:ind w:firstLine="720"/>
        <w:jc w:val="both"/>
        <w:rPr>
          <w:rFonts w:asciiTheme="majorBidi" w:hAnsiTheme="majorBidi" w:cstheme="majorBidi"/>
          <w:lang w:val="en-US"/>
        </w:rPr>
      </w:pPr>
      <w:r w:rsidRPr="00611753">
        <w:rPr>
          <w:rStyle w:val="FootnoteReference"/>
          <w:rFonts w:asciiTheme="majorBidi" w:hAnsiTheme="majorBidi" w:cstheme="majorBidi"/>
        </w:rPr>
        <w:footnoteRef/>
      </w:r>
      <w:r w:rsidRPr="00611753">
        <w:rPr>
          <w:rFonts w:asciiTheme="majorBidi" w:hAnsiTheme="majorBidi" w:cstheme="majorBidi"/>
        </w:rPr>
        <w:t xml:space="preserve"> </w:t>
      </w:r>
      <w:r w:rsidRPr="00611753">
        <w:rPr>
          <w:rFonts w:asciiTheme="majorBidi" w:hAnsiTheme="majorBidi" w:cstheme="majorBidi"/>
        </w:rPr>
        <w:fldChar w:fldCharType="begin" w:fldLock="1"/>
      </w:r>
      <w:r w:rsidR="00E23066">
        <w:rPr>
          <w:rFonts w:asciiTheme="majorBidi" w:hAnsiTheme="majorBidi" w:cstheme="majorBidi"/>
        </w:rPr>
        <w:instrText>ADDIN CSL_CITATION {"citationItems":[{"id":"ITEM-1","itemData":{"abstract":"This research is meant to test the influence of inflation rates, interest rates, liquidity rates which are proxy by the finance to deposit ratio and profit sharing rates to the amount of mudharabah deposit at Bank Rakyat Indonesia Syariah in 2010-2014. This research applies quantitative method. The data has been done by using secondary data and time series which have been retrieved from the financial statement of Bank Rakyat Indonesia Syariah and the Financial Statistic of Bank Indonesia. The sample uses quarterly financial statement from 2010 to 2014. The regressions analysis has been done by using significance test of the influence of inflation rates, interest rates, liquidity rates which are proxy by the finance to deposit ratio and profit sharing rates partially to the mudharabah deposit. The result of this research gives prove that: (a) inflation rates does not have any influence to the amount of deposit mudharabah; (b) the interest rates has positive significant to the amount of deposit mudharabah of Bank Rakyat Indonesia Syariah because when the interest of conventional bank increase, the amount of deposit mudharabah do not experience dramatic changes because the customers still invest their fund at Bank Rakyat Indonesia Syariah; (c) finance to deposit ratio does not have any influence to the amount of mudharabah deposit; and (d) the rates of share profit does not have any influence to the amount of mudharabah deposit.","author":[{"dropping-particle":"Al","family":"Farizi","given":"Fauzan","non-dropping-particle":"","parse-names":false,"suffix":""},{"dropping-particle":"","family":"Riduwan","given":"Akhmad","non-dropping-particle":"","parse-names":false,"suffix":""}],"container-title":"Jurnal Ilmu dan Riset Akuntansi","id":"ITEM-1","issue":"4","issued":{"date-parts":[["2016"]]},"page":"1-16","title":"Pengaruh Inflasi, Suku Bunga, Likuiditas, Dan Bagi Hasil Terhadap Deposito Mudharabah","type":"article-journal","volume":"5"},"uris":["http://www.mendeley.com/documents/?uuid=6adda9a1-8edb-4631-9128-309d60777628"]}],"mendeley":{"formattedCitation":"Farizi and Riduwan, “Pengaruh Inflasi, Suku Bunga, Likuiditas, Dan Bagi Hasil Terhadap Deposito Mudharabah.”","plainTextFormattedCitation":"Farizi and Riduwan, “Pengaruh Inflasi, Suku Bunga, Likuiditas, Dan Bagi Hasil Terhadap Deposito Mudharabah.”","previouslyFormattedCitation":"Farizi and Riduwan, “Pengaruh Inflasi, Suku Bunga, Likuiditas, Dan Bagi Hasil Terhadap Deposito Mudharabah.”"},"properties":{"noteIndex":132},"schema":"https://github.com/citation-style-language/schema/raw/master/csl-citation.json"}</w:instrText>
      </w:r>
      <w:r w:rsidRPr="00611753">
        <w:rPr>
          <w:rFonts w:asciiTheme="majorBidi" w:hAnsiTheme="majorBidi" w:cstheme="majorBidi"/>
        </w:rPr>
        <w:fldChar w:fldCharType="separate"/>
      </w:r>
      <w:r w:rsidRPr="00611753">
        <w:rPr>
          <w:rFonts w:asciiTheme="majorBidi" w:hAnsiTheme="majorBidi" w:cstheme="majorBidi"/>
          <w:noProof/>
        </w:rPr>
        <w:t>Farizi and Riduwan, “Pengaruh Inflasi, Suku Bunga, Likuiditas, Dan Bagi Hasil Terhadap Deposito Mudharabah.”</w:t>
      </w:r>
      <w:r w:rsidRPr="00611753">
        <w:rPr>
          <w:rFonts w:asciiTheme="majorBidi" w:hAnsiTheme="majorBidi" w:cstheme="majorBidi"/>
        </w:rPr>
        <w:fldChar w:fldCharType="end"/>
      </w:r>
    </w:p>
  </w:footnote>
  <w:footnote w:id="133">
    <w:p w14:paraId="48C12561" w14:textId="51A7D803" w:rsidR="00611753" w:rsidRPr="00611753" w:rsidRDefault="00611753" w:rsidP="00611753">
      <w:pPr>
        <w:pStyle w:val="FootnoteText"/>
        <w:ind w:firstLine="720"/>
        <w:jc w:val="both"/>
        <w:rPr>
          <w:rFonts w:asciiTheme="majorBidi" w:hAnsiTheme="majorBidi" w:cstheme="majorBidi"/>
          <w:lang w:val="en-US"/>
        </w:rPr>
      </w:pPr>
      <w:r w:rsidRPr="00611753">
        <w:rPr>
          <w:rStyle w:val="FootnoteReference"/>
          <w:rFonts w:asciiTheme="majorBidi" w:hAnsiTheme="majorBidi" w:cstheme="majorBidi"/>
        </w:rPr>
        <w:footnoteRef/>
      </w:r>
      <w:r w:rsidRPr="00611753">
        <w:rPr>
          <w:rFonts w:asciiTheme="majorBidi" w:hAnsiTheme="majorBidi" w:cstheme="majorBidi"/>
        </w:rPr>
        <w:t xml:space="preserve"> </w:t>
      </w:r>
      <w:r w:rsidRPr="00611753">
        <w:rPr>
          <w:rFonts w:asciiTheme="majorBidi" w:hAnsiTheme="majorBidi" w:cstheme="majorBidi"/>
        </w:rPr>
        <w:fldChar w:fldCharType="begin" w:fldLock="1"/>
      </w:r>
      <w:r w:rsidR="00E23066">
        <w:rPr>
          <w:rFonts w:asciiTheme="majorBidi" w:hAnsiTheme="majorBidi" w:cstheme="majorBidi"/>
        </w:rPr>
        <w:instrText>ADDIN CSL_CITATION {"citationItems":[{"id":"ITEM-1","itemData":{"abstract":"Judul penelitian ini ialah pengaruh bagi hasil terhadap jumlah dana deposito mudharabah pada PT Bank BNI Syariah periode 2017-2019. Tujuan penelitian ini yaitu untuk mengetahui pengaruh bagi hasil terhadap jumlah dana deposito mudharabah pada PT Bank BNI Syariah periode 2017-2019. Data penelitian ini adalah data sekunder yang dikumpulkan dengan teknik dokumentasi. Teknik pengolahan data yang digunakan adalah regresi linier sederhana, koefisien korelasi, koefisien determinasi dan uji t. Hasil penelitian menunjukkan bahwa bagi hasil memiliki pengaruh yang sangat rendah dan tidak signifikan terhadap jumlah dana deposito mudharabah pada PT Bank BNI Syariah periode 2017-2019.","author":[{"dropping-particle":"","family":"Lubis","given":"Anggi Adelia Firdaus","non-dropping-particle":"","parse-names":false,"suffix":""},{"dropping-particle":"","family":"Zuhirsyan","given":"Muhammad","non-dropping-particle":"","parse-names":false,"suffix":""},{"dropping-particle":"","family":"Asmalidar","given":"","non-dropping-particle":"","parse-names":false,"suffix":""}],"container-title":"Jurnal Bilal (Bisnis Ekonomi Halal)","id":"ITEM-1","issue":"1","issued":{"date-parts":[["2020"]]},"page":"1-13","title":"Pengaruh Bagi Hasil Terhadap Jumlah Dana Deposito Mudharabah Pada Bank Syariah Periode 2017-2019","type":"article-journal","volume":"1"},"uris":["http://www.mendeley.com/documents/?uuid=58af2fb5-d9e2-4f81-8f13-d3fc1b2453dc"]}],"mendeley":{"formattedCitation":"Lubis, Zuhirsyan, and Asmalidar, “Pengaruh Bagi Hasil Terhadap Jumlah Dana Deposito Mudharabah Pada Bank Syariah Periode 2017-2019.”","plainTextFormattedCitation":"Lubis, Zuhirsyan, and Asmalidar, “Pengaruh Bagi Hasil Terhadap Jumlah Dana Deposito Mudharabah Pada Bank Syariah Periode 2017-2019.”","previouslyFormattedCitation":"Lubis, Zuhirsyan, and Asmalidar, “Pengaruh Bagi Hasil Terhadap Jumlah Dana Deposito Mudharabah Pada Bank Syariah Periode 2017-2019.”"},"properties":{"noteIndex":133},"schema":"https://github.com/citation-style-language/schema/raw/master/csl-citation.json"}</w:instrText>
      </w:r>
      <w:r w:rsidRPr="00611753">
        <w:rPr>
          <w:rFonts w:asciiTheme="majorBidi" w:hAnsiTheme="majorBidi" w:cstheme="majorBidi"/>
        </w:rPr>
        <w:fldChar w:fldCharType="separate"/>
      </w:r>
      <w:r w:rsidRPr="00611753">
        <w:rPr>
          <w:rFonts w:asciiTheme="majorBidi" w:hAnsiTheme="majorBidi" w:cstheme="majorBidi"/>
          <w:noProof/>
        </w:rPr>
        <w:t>Lubis, Zuhirsyan, and Asmalidar, “Pengaruh Bagi Hasil Terhadap Jumlah Dana Deposito Mudharabah Pada Bank Syariah Periode 2017-2019.”</w:t>
      </w:r>
      <w:r w:rsidRPr="00611753">
        <w:rPr>
          <w:rFonts w:asciiTheme="majorBidi" w:hAnsiTheme="majorBidi" w:cstheme="majorBidi"/>
        </w:rPr>
        <w:fldChar w:fldCharType="end"/>
      </w:r>
    </w:p>
  </w:footnote>
  <w:footnote w:id="134">
    <w:p w14:paraId="57153C93" w14:textId="4614233E" w:rsidR="00611753" w:rsidRPr="00990133" w:rsidRDefault="00611753" w:rsidP="00990133">
      <w:pPr>
        <w:pStyle w:val="FootnoteText"/>
        <w:ind w:firstLine="720"/>
        <w:jc w:val="both"/>
        <w:rPr>
          <w:rFonts w:asciiTheme="majorBidi" w:hAnsiTheme="majorBidi" w:cstheme="majorBidi"/>
          <w:lang w:val="en-US"/>
        </w:rPr>
      </w:pPr>
      <w:r w:rsidRPr="00990133">
        <w:rPr>
          <w:rStyle w:val="FootnoteReference"/>
          <w:rFonts w:asciiTheme="majorBidi" w:hAnsiTheme="majorBidi" w:cstheme="majorBidi"/>
        </w:rPr>
        <w:footnoteRef/>
      </w:r>
      <w:r w:rsidRPr="00990133">
        <w:rPr>
          <w:rFonts w:asciiTheme="majorBidi" w:hAnsiTheme="majorBidi" w:cstheme="majorBidi"/>
        </w:rPr>
        <w:t xml:space="preserve"> </w:t>
      </w:r>
      <w:r w:rsidRPr="00990133">
        <w:rPr>
          <w:rFonts w:asciiTheme="majorBidi" w:hAnsiTheme="majorBidi" w:cstheme="majorBidi"/>
        </w:rPr>
        <w:fldChar w:fldCharType="begin" w:fldLock="1"/>
      </w:r>
      <w:r w:rsidR="00E23066">
        <w:rPr>
          <w:rFonts w:asciiTheme="majorBidi" w:hAnsiTheme="majorBidi" w:cstheme="majorBidi"/>
        </w:rPr>
        <w:instrText>ADDIN CSL_CITATION {"citationItems":[{"id":"ITEM-1","itemData":{"abstract":"The purpose of this research is to test the influence of interest rate and nisbah of profit sharing to the mudharabah saving deposit at Bank BRI Syariah. The independent variables are the interest rate and the nisbah of profit sharing and whereas the dependent variable is the mudharabah saving deposit. The sample is Bank BRI Syariah and the observation data are 20 observations from January 2009 to September 2015. The data has been obtained from three quarter statements of Bank BRI Syariah through Indonesia Stock Exchange and Financial Statistics of Bank Indonesia. This research uses correlational research with quantitative approach. The analysis method has been done by using multiple linear regressions.The result of the research shows that (a) the interest rate does not have any influence to the mudharabah saving deposit at Bank BRI Syariah, which means that changes in interest rates do not affect mudharabah saving deposits at Bank BRI Syariah due to the fact that there is a belief that bank interest is contradicted to the religion and (b) the nisbah of profit sharing shows positive influence to the mudharabah saving deposit at Bank BRI Syariah which means that when the nisbah of profit sharing that has been given by Bank BRI Syariah to the bank customers is increasing, it will enhance the amount of mudharabah saving deposit.","author":[{"dropping-particle":"","family":"Alinda","given":"Rika Putri Nur","non-dropping-particle":"","parse-names":false,"suffix":""},{"dropping-particle":"","family":"Riduwan","given":"Akmad","non-dropping-particle":"","parse-names":false,"suffix":""}],"id":"ITEM-1","issued":{"date-parts":[["2016"]]},"page":"1-15","title":"Pengaruh Tingkat Suku Bunga Bank Dan Nisbah Bagi Hasil Pada Deposito Mudharabah","type":"article-journal","volume":"5"},"uris":["http://www.mendeley.com/documents/?uuid=ce470f6f-2d54-4aff-bcfb-6181e2e9ffe2"]}],"mendeley":{"formattedCitation":"Alinda and Riduwan, “Pengaruh Tingkat Suku Bunga Bank Dan Nisbah Bagi Hasil Pada Deposito Mudharabah.”","plainTextFormattedCitation":"Alinda and Riduwan, “Pengaruh Tingkat Suku Bunga Bank Dan Nisbah Bagi Hasil Pada Deposito Mudharabah.”","previouslyFormattedCitation":"Alinda and Riduwan, “Pengaruh Tingkat Suku Bunga Bank Dan Nisbah Bagi Hasil Pada Deposito Mudharabah.”"},"properties":{"noteIndex":134},"schema":"https://github.com/citation-style-language/schema/raw/master/csl-citation.json"}</w:instrText>
      </w:r>
      <w:r w:rsidRPr="00990133">
        <w:rPr>
          <w:rFonts w:asciiTheme="majorBidi" w:hAnsiTheme="majorBidi" w:cstheme="majorBidi"/>
        </w:rPr>
        <w:fldChar w:fldCharType="separate"/>
      </w:r>
      <w:r w:rsidRPr="00990133">
        <w:rPr>
          <w:rFonts w:asciiTheme="majorBidi" w:hAnsiTheme="majorBidi" w:cstheme="majorBidi"/>
          <w:noProof/>
        </w:rPr>
        <w:t>Alinda and Riduwan, “Pengaruh Tingkat Suku Bunga Bank Dan Nisbah Bagi Hasil Pada Deposito Mudharabah.”</w:t>
      </w:r>
      <w:r w:rsidRPr="00990133">
        <w:rPr>
          <w:rFonts w:asciiTheme="majorBidi" w:hAnsiTheme="majorBidi" w:cstheme="majorBidi"/>
        </w:rPr>
        <w:fldChar w:fldCharType="end"/>
      </w:r>
    </w:p>
  </w:footnote>
  <w:footnote w:id="135">
    <w:p w14:paraId="4AD323C0" w14:textId="0F306576" w:rsidR="00611753" w:rsidRPr="00611753" w:rsidRDefault="00611753" w:rsidP="00990133">
      <w:pPr>
        <w:pStyle w:val="FootnoteText"/>
        <w:ind w:firstLine="720"/>
        <w:jc w:val="both"/>
        <w:rPr>
          <w:lang w:val="en-US"/>
        </w:rPr>
      </w:pPr>
      <w:r w:rsidRPr="00990133">
        <w:rPr>
          <w:rStyle w:val="FootnoteReference"/>
          <w:rFonts w:asciiTheme="majorBidi" w:hAnsiTheme="majorBidi" w:cstheme="majorBidi"/>
        </w:rPr>
        <w:footnoteRef/>
      </w:r>
      <w:r w:rsidRPr="00990133">
        <w:rPr>
          <w:rFonts w:asciiTheme="majorBidi" w:hAnsiTheme="majorBidi" w:cstheme="majorBidi"/>
        </w:rPr>
        <w:t xml:space="preserve"> </w:t>
      </w:r>
      <w:r w:rsidRPr="00990133">
        <w:rPr>
          <w:rFonts w:asciiTheme="majorBidi" w:hAnsiTheme="majorBidi" w:cstheme="majorBidi"/>
        </w:rPr>
        <w:fldChar w:fldCharType="begin" w:fldLock="1"/>
      </w:r>
      <w:r w:rsidR="00E23066">
        <w:rPr>
          <w:rFonts w:asciiTheme="majorBidi" w:hAnsiTheme="majorBidi" w:cstheme="majorBidi"/>
        </w:rPr>
        <w:instrText>ADDIN CSL_CITATION {"citationItems":[{"id":"ITEM-1","itemData":{"DOI":"10.25299/jtb.2022.vol5(2).9681","ISSN":"2621-6833","abstract":"Tujuan dari penelitian ini adalah untuk menganalisis serta menguji pengaruh nisbah bagi hasil, inflasi serta jumlah uang beredar (JUB) terhadap deposito mudharabah pada Bank Muamalat Indonesia baik secara simultan maupun parsial periode tahun 2014-2021. Jenis penelitian ini yaitu kuantitatif dengan studi penelitian pada Bank Muamalat Indonesia dengan menggunakan metode pengumpulan data berupa purposive sampling. Sampel dalam penelitian ini 32 data yang meliputi data keuangan BMI serta data inflasi maupun JUB dari website resmi Bank Indonesia serta Badan Pusat Statistik. Hasil penelitian secara parsial menghasilkan variabel nisbah bagi hasil yang terbukti berpengaruh terhadap deposito mudharabah pada BMI. Sedangkan variabel Inflasi dan JUB terbukti tidak berpengaruh terhadap deposito mudharabah pada BMI. Uji parsial menghasilkan bahwa variabel nisbah bagi hasil, inflasi maupun JUB secara simultan berpengaruh terhadap deposito mudharabah. Hal ini menunjukkan pentingnya perbankan syariah untuk memfokuskan kebijakan pada nisbah bagi hasil yang ditawarkan kepada nasabahnya dan tidak terpengaruh pada situasi keuangan eksternal dalam aspek inflasi dan JUB.","author":[{"dropping-particle":"","family":"Wahyu Fauziah","given":"Nafisah","non-dropping-particle":"","parse-names":false,"suffix":""},{"dropping-particle":"","family":"Segaf","given":"","non-dropping-particle":"","parse-names":false,"suffix":""}],"container-title":"Jurnal Tabarru': Islamic Banking and Finance","id":"ITEM-1","issue":"2","issued":{"date-parts":[["2022"]]},"page":"435-447","title":"Seberapa Pengaruh Penetapan Nisbah Bagi Hasil, Inflasi, Dan Jumlah Uang Beredar Terhadap Deposito Mudharabah Di Indonesia","type":"article-journal","volume":"5"},"uris":["http://www.mendeley.com/documents/?uuid=a4f1dce7-fe37-4204-94a0-859fb93af81e"]}],"mendeley":{"formattedCitation":"Wahyu Fauziah and Segaf, “Seberapa Pengaruh Penetapan Nisbah Bagi Hasil, Inflasi, Dan Jumlah Uang Beredar Terhadap Deposito Mudharabah Di Indonesia.”","plainTextFormattedCitation":"Wahyu Fauziah and Segaf, “Seberapa Pengaruh Penetapan Nisbah Bagi Hasil, Inflasi, Dan Jumlah Uang Beredar Terhadap Deposito Mudharabah Di Indonesia.”","previouslyFormattedCitation":"Wahyu Fauziah and Segaf, “Seberapa Pengaruh Penetapan Nisbah Bagi Hasil, Inflasi, Dan Jumlah Uang Beredar Terhadap Deposito Mudharabah Di Indonesia.”"},"properties":{"noteIndex":135},"schema":"https://github.com/citation-style-language/schema/raw/master/csl-citation.json"}</w:instrText>
      </w:r>
      <w:r w:rsidRPr="00990133">
        <w:rPr>
          <w:rFonts w:asciiTheme="majorBidi" w:hAnsiTheme="majorBidi" w:cstheme="majorBidi"/>
        </w:rPr>
        <w:fldChar w:fldCharType="separate"/>
      </w:r>
      <w:r w:rsidRPr="00990133">
        <w:rPr>
          <w:rFonts w:asciiTheme="majorBidi" w:hAnsiTheme="majorBidi" w:cstheme="majorBidi"/>
          <w:noProof/>
        </w:rPr>
        <w:t>Wahyu Fauziah and Segaf, “Seberapa Pengaruh Penetapan Nisbah Bagi Hasil, Inflasi, Dan Jumlah Uang Beredar Terhadap Deposito Mudharabah Di Indonesia.”</w:t>
      </w:r>
      <w:r w:rsidRPr="00990133">
        <w:rPr>
          <w:rFonts w:asciiTheme="majorBidi" w:hAnsiTheme="majorBidi" w:cstheme="majorBidi"/>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359C8"/>
    <w:multiLevelType w:val="hybridMultilevel"/>
    <w:tmpl w:val="3176C930"/>
    <w:lvl w:ilvl="0" w:tplc="69C8AED2">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 w15:restartNumberingAfterBreak="0">
    <w:nsid w:val="0FCB0E1E"/>
    <w:multiLevelType w:val="hybridMultilevel"/>
    <w:tmpl w:val="FD02DEEC"/>
    <w:lvl w:ilvl="0" w:tplc="6144C8C0">
      <w:start w:val="1"/>
      <w:numFmt w:val="decimal"/>
      <w:lvlText w:val="%1)"/>
      <w:lvlJc w:val="left"/>
      <w:pPr>
        <w:ind w:left="1920" w:hanging="360"/>
      </w:pPr>
      <w:rPr>
        <w:rFonts w:hint="default"/>
      </w:rPr>
    </w:lvl>
    <w:lvl w:ilvl="1" w:tplc="38090019" w:tentative="1">
      <w:start w:val="1"/>
      <w:numFmt w:val="lowerLetter"/>
      <w:lvlText w:val="%2."/>
      <w:lvlJc w:val="left"/>
      <w:pPr>
        <w:ind w:left="2640" w:hanging="360"/>
      </w:pPr>
    </w:lvl>
    <w:lvl w:ilvl="2" w:tplc="3809001B" w:tentative="1">
      <w:start w:val="1"/>
      <w:numFmt w:val="lowerRoman"/>
      <w:lvlText w:val="%3."/>
      <w:lvlJc w:val="right"/>
      <w:pPr>
        <w:ind w:left="3360" w:hanging="180"/>
      </w:pPr>
    </w:lvl>
    <w:lvl w:ilvl="3" w:tplc="3809000F" w:tentative="1">
      <w:start w:val="1"/>
      <w:numFmt w:val="decimal"/>
      <w:lvlText w:val="%4."/>
      <w:lvlJc w:val="left"/>
      <w:pPr>
        <w:ind w:left="4080" w:hanging="360"/>
      </w:pPr>
    </w:lvl>
    <w:lvl w:ilvl="4" w:tplc="38090019" w:tentative="1">
      <w:start w:val="1"/>
      <w:numFmt w:val="lowerLetter"/>
      <w:lvlText w:val="%5."/>
      <w:lvlJc w:val="left"/>
      <w:pPr>
        <w:ind w:left="4800" w:hanging="360"/>
      </w:pPr>
    </w:lvl>
    <w:lvl w:ilvl="5" w:tplc="3809001B" w:tentative="1">
      <w:start w:val="1"/>
      <w:numFmt w:val="lowerRoman"/>
      <w:lvlText w:val="%6."/>
      <w:lvlJc w:val="right"/>
      <w:pPr>
        <w:ind w:left="5520" w:hanging="180"/>
      </w:pPr>
    </w:lvl>
    <w:lvl w:ilvl="6" w:tplc="3809000F" w:tentative="1">
      <w:start w:val="1"/>
      <w:numFmt w:val="decimal"/>
      <w:lvlText w:val="%7."/>
      <w:lvlJc w:val="left"/>
      <w:pPr>
        <w:ind w:left="6240" w:hanging="360"/>
      </w:pPr>
    </w:lvl>
    <w:lvl w:ilvl="7" w:tplc="38090019" w:tentative="1">
      <w:start w:val="1"/>
      <w:numFmt w:val="lowerLetter"/>
      <w:lvlText w:val="%8."/>
      <w:lvlJc w:val="left"/>
      <w:pPr>
        <w:ind w:left="6960" w:hanging="360"/>
      </w:pPr>
    </w:lvl>
    <w:lvl w:ilvl="8" w:tplc="3809001B" w:tentative="1">
      <w:start w:val="1"/>
      <w:numFmt w:val="lowerRoman"/>
      <w:lvlText w:val="%9."/>
      <w:lvlJc w:val="right"/>
      <w:pPr>
        <w:ind w:left="7680" w:hanging="180"/>
      </w:pPr>
    </w:lvl>
  </w:abstractNum>
  <w:abstractNum w:abstractNumId="2" w15:restartNumberingAfterBreak="0">
    <w:nsid w:val="1A74031B"/>
    <w:multiLevelType w:val="hybridMultilevel"/>
    <w:tmpl w:val="2B26DD6C"/>
    <w:lvl w:ilvl="0" w:tplc="F5EC1C12">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 w15:restartNumberingAfterBreak="0">
    <w:nsid w:val="22B37614"/>
    <w:multiLevelType w:val="hybridMultilevel"/>
    <w:tmpl w:val="771045C8"/>
    <w:lvl w:ilvl="0" w:tplc="AD286560">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 w15:restartNumberingAfterBreak="0">
    <w:nsid w:val="26E01E9D"/>
    <w:multiLevelType w:val="hybridMultilevel"/>
    <w:tmpl w:val="741CBAAC"/>
    <w:lvl w:ilvl="0" w:tplc="D1369514">
      <w:start w:val="1"/>
      <w:numFmt w:val="lowerLetter"/>
      <w:lvlText w:val="%1."/>
      <w:lvlJc w:val="left"/>
      <w:pPr>
        <w:ind w:left="1440" w:hanging="360"/>
      </w:pPr>
      <w:rPr>
        <w:rFonts w:hint="default"/>
        <w:b w:val="0"/>
        <w:bCs/>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5" w15:restartNumberingAfterBreak="0">
    <w:nsid w:val="27EA7803"/>
    <w:multiLevelType w:val="multilevel"/>
    <w:tmpl w:val="3D3CB2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B56CDF"/>
    <w:multiLevelType w:val="hybridMultilevel"/>
    <w:tmpl w:val="3FBC7570"/>
    <w:lvl w:ilvl="0" w:tplc="6FDE3608">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7" w15:restartNumberingAfterBreak="0">
    <w:nsid w:val="2ACF1159"/>
    <w:multiLevelType w:val="hybridMultilevel"/>
    <w:tmpl w:val="A5E61034"/>
    <w:lvl w:ilvl="0" w:tplc="B0A2D674">
      <w:start w:val="1"/>
      <w:numFmt w:val="lowerLetter"/>
      <w:lvlText w:val="%1."/>
      <w:lvlJc w:val="left"/>
      <w:pPr>
        <w:ind w:left="1080" w:hanging="360"/>
      </w:pPr>
      <w:rPr>
        <w:rFonts w:hint="default"/>
      </w:rPr>
    </w:lvl>
    <w:lvl w:ilvl="1" w:tplc="38090019">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8" w15:restartNumberingAfterBreak="0">
    <w:nsid w:val="2BDE0C9F"/>
    <w:multiLevelType w:val="multilevel"/>
    <w:tmpl w:val="676612D8"/>
    <w:lvl w:ilvl="0">
      <w:start w:val="1"/>
      <w:numFmt w:val="decimal"/>
      <w:lvlText w:val="%1."/>
      <w:lvlJc w:val="left"/>
      <w:pPr>
        <w:ind w:left="720" w:hanging="360"/>
      </w:pPr>
      <w:rPr>
        <w:rFonts w:asciiTheme="majorBidi" w:eastAsiaTheme="minorHAnsi" w:hAnsiTheme="majorBidi" w:cstheme="majorBidi"/>
        <w:b w:val="0"/>
        <w:bCs w:val="0"/>
      </w:rPr>
    </w:lvl>
    <w:lvl w:ilvl="1">
      <w:start w:val="2"/>
      <w:numFmt w:val="decimal"/>
      <w:isLgl/>
      <w:lvlText w:val="%1.%2"/>
      <w:lvlJc w:val="left"/>
      <w:pPr>
        <w:ind w:left="786" w:hanging="360"/>
      </w:pPr>
      <w:rPr>
        <w:rFonts w:hint="default"/>
        <w:color w:val="auto"/>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127" w:hanging="720"/>
      </w:pPr>
      <w:rPr>
        <w:rFonts w:hint="default"/>
        <w:color w:val="auto"/>
      </w:rPr>
    </w:lvl>
    <w:lvl w:ilvl="4">
      <w:start w:val="1"/>
      <w:numFmt w:val="decimal"/>
      <w:isLgl/>
      <w:lvlText w:val="%1.%2.%3.%4.%5"/>
      <w:lvlJc w:val="left"/>
      <w:pPr>
        <w:ind w:left="2836" w:hanging="1080"/>
      </w:pPr>
      <w:rPr>
        <w:rFonts w:hint="default"/>
        <w:color w:val="auto"/>
      </w:rPr>
    </w:lvl>
    <w:lvl w:ilvl="5">
      <w:start w:val="1"/>
      <w:numFmt w:val="decimal"/>
      <w:isLgl/>
      <w:lvlText w:val="%1.%2.%3.%4.%5.%6"/>
      <w:lvlJc w:val="left"/>
      <w:pPr>
        <w:ind w:left="3185" w:hanging="108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243" w:hanging="1440"/>
      </w:pPr>
      <w:rPr>
        <w:rFonts w:hint="default"/>
        <w:color w:val="auto"/>
      </w:rPr>
    </w:lvl>
    <w:lvl w:ilvl="8">
      <w:start w:val="1"/>
      <w:numFmt w:val="decimal"/>
      <w:isLgl/>
      <w:lvlText w:val="%1.%2.%3.%4.%5.%6.%7.%8.%9"/>
      <w:lvlJc w:val="left"/>
      <w:pPr>
        <w:ind w:left="4952" w:hanging="1800"/>
      </w:pPr>
      <w:rPr>
        <w:rFonts w:hint="default"/>
        <w:color w:val="auto"/>
      </w:rPr>
    </w:lvl>
  </w:abstractNum>
  <w:abstractNum w:abstractNumId="9" w15:restartNumberingAfterBreak="0">
    <w:nsid w:val="2BE5304B"/>
    <w:multiLevelType w:val="hybridMultilevel"/>
    <w:tmpl w:val="BA061A60"/>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2C91726F"/>
    <w:multiLevelType w:val="hybridMultilevel"/>
    <w:tmpl w:val="F000DC78"/>
    <w:lvl w:ilvl="0" w:tplc="A348A8B0">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1" w15:restartNumberingAfterBreak="0">
    <w:nsid w:val="337D77C6"/>
    <w:multiLevelType w:val="hybridMultilevel"/>
    <w:tmpl w:val="1D164E6E"/>
    <w:lvl w:ilvl="0" w:tplc="45C635D8">
      <w:start w:val="1"/>
      <w:numFmt w:val="decimal"/>
      <w:lvlText w:val="%1."/>
      <w:lvlJc w:val="left"/>
      <w:pPr>
        <w:ind w:left="1080" w:hanging="360"/>
      </w:pPr>
      <w:rPr>
        <w:rFonts w:asciiTheme="majorBidi" w:eastAsiaTheme="minorHAnsi" w:hAnsiTheme="majorBidi" w:cstheme="majorBidi"/>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2" w15:restartNumberingAfterBreak="0">
    <w:nsid w:val="369C2A56"/>
    <w:multiLevelType w:val="hybridMultilevel"/>
    <w:tmpl w:val="AA66BDD0"/>
    <w:lvl w:ilvl="0" w:tplc="5112AE3C">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3" w15:restartNumberingAfterBreak="0">
    <w:nsid w:val="37FD2987"/>
    <w:multiLevelType w:val="hybridMultilevel"/>
    <w:tmpl w:val="AAA03E54"/>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4" w15:restartNumberingAfterBreak="0">
    <w:nsid w:val="3EE52748"/>
    <w:multiLevelType w:val="hybridMultilevel"/>
    <w:tmpl w:val="43E2C682"/>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424E671C"/>
    <w:multiLevelType w:val="hybridMultilevel"/>
    <w:tmpl w:val="1522FC9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481212A5"/>
    <w:multiLevelType w:val="hybridMultilevel"/>
    <w:tmpl w:val="BED475AC"/>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4D063737"/>
    <w:multiLevelType w:val="hybridMultilevel"/>
    <w:tmpl w:val="A3B28EF6"/>
    <w:lvl w:ilvl="0" w:tplc="AAF2A2BC">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8" w15:restartNumberingAfterBreak="0">
    <w:nsid w:val="4E957723"/>
    <w:multiLevelType w:val="hybridMultilevel"/>
    <w:tmpl w:val="F64692E4"/>
    <w:lvl w:ilvl="0" w:tplc="F7A6261A">
      <w:start w:val="1"/>
      <w:numFmt w:val="upperLetter"/>
      <w:lvlText w:val="%1."/>
      <w:lvlJc w:val="left"/>
      <w:pPr>
        <w:ind w:left="949" w:hanging="360"/>
      </w:pPr>
      <w:rPr>
        <w:rFonts w:hint="default"/>
      </w:rPr>
    </w:lvl>
    <w:lvl w:ilvl="1" w:tplc="38090019" w:tentative="1">
      <w:start w:val="1"/>
      <w:numFmt w:val="lowerLetter"/>
      <w:lvlText w:val="%2."/>
      <w:lvlJc w:val="left"/>
      <w:pPr>
        <w:ind w:left="1669" w:hanging="360"/>
      </w:pPr>
    </w:lvl>
    <w:lvl w:ilvl="2" w:tplc="3809001B" w:tentative="1">
      <w:start w:val="1"/>
      <w:numFmt w:val="lowerRoman"/>
      <w:lvlText w:val="%3."/>
      <w:lvlJc w:val="right"/>
      <w:pPr>
        <w:ind w:left="2389" w:hanging="180"/>
      </w:pPr>
    </w:lvl>
    <w:lvl w:ilvl="3" w:tplc="3809000F" w:tentative="1">
      <w:start w:val="1"/>
      <w:numFmt w:val="decimal"/>
      <w:lvlText w:val="%4."/>
      <w:lvlJc w:val="left"/>
      <w:pPr>
        <w:ind w:left="3109" w:hanging="360"/>
      </w:pPr>
    </w:lvl>
    <w:lvl w:ilvl="4" w:tplc="38090019" w:tentative="1">
      <w:start w:val="1"/>
      <w:numFmt w:val="lowerLetter"/>
      <w:lvlText w:val="%5."/>
      <w:lvlJc w:val="left"/>
      <w:pPr>
        <w:ind w:left="3829" w:hanging="360"/>
      </w:pPr>
    </w:lvl>
    <w:lvl w:ilvl="5" w:tplc="3809001B" w:tentative="1">
      <w:start w:val="1"/>
      <w:numFmt w:val="lowerRoman"/>
      <w:lvlText w:val="%6."/>
      <w:lvlJc w:val="right"/>
      <w:pPr>
        <w:ind w:left="4549" w:hanging="180"/>
      </w:pPr>
    </w:lvl>
    <w:lvl w:ilvl="6" w:tplc="3809000F" w:tentative="1">
      <w:start w:val="1"/>
      <w:numFmt w:val="decimal"/>
      <w:lvlText w:val="%7."/>
      <w:lvlJc w:val="left"/>
      <w:pPr>
        <w:ind w:left="5269" w:hanging="360"/>
      </w:pPr>
    </w:lvl>
    <w:lvl w:ilvl="7" w:tplc="38090019" w:tentative="1">
      <w:start w:val="1"/>
      <w:numFmt w:val="lowerLetter"/>
      <w:lvlText w:val="%8."/>
      <w:lvlJc w:val="left"/>
      <w:pPr>
        <w:ind w:left="5989" w:hanging="360"/>
      </w:pPr>
    </w:lvl>
    <w:lvl w:ilvl="8" w:tplc="3809001B" w:tentative="1">
      <w:start w:val="1"/>
      <w:numFmt w:val="lowerRoman"/>
      <w:lvlText w:val="%9."/>
      <w:lvlJc w:val="right"/>
      <w:pPr>
        <w:ind w:left="6709" w:hanging="180"/>
      </w:pPr>
    </w:lvl>
  </w:abstractNum>
  <w:abstractNum w:abstractNumId="19" w15:restartNumberingAfterBreak="0">
    <w:nsid w:val="500634C4"/>
    <w:multiLevelType w:val="hybridMultilevel"/>
    <w:tmpl w:val="B4A8348C"/>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501756D0"/>
    <w:multiLevelType w:val="hybridMultilevel"/>
    <w:tmpl w:val="7D3E5BA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51DF2ECD"/>
    <w:multiLevelType w:val="hybridMultilevel"/>
    <w:tmpl w:val="13946092"/>
    <w:lvl w:ilvl="0" w:tplc="9F586A72">
      <w:start w:val="1"/>
      <w:numFmt w:val="decimal"/>
      <w:lvlText w:val="%1."/>
      <w:lvlJc w:val="left"/>
      <w:pPr>
        <w:ind w:left="949" w:hanging="360"/>
      </w:pPr>
      <w:rPr>
        <w:rFonts w:hint="default"/>
      </w:rPr>
    </w:lvl>
    <w:lvl w:ilvl="1" w:tplc="38090019" w:tentative="1">
      <w:start w:val="1"/>
      <w:numFmt w:val="lowerLetter"/>
      <w:lvlText w:val="%2."/>
      <w:lvlJc w:val="left"/>
      <w:pPr>
        <w:ind w:left="1669" w:hanging="360"/>
      </w:pPr>
    </w:lvl>
    <w:lvl w:ilvl="2" w:tplc="3809001B" w:tentative="1">
      <w:start w:val="1"/>
      <w:numFmt w:val="lowerRoman"/>
      <w:lvlText w:val="%3."/>
      <w:lvlJc w:val="right"/>
      <w:pPr>
        <w:ind w:left="2389" w:hanging="180"/>
      </w:pPr>
    </w:lvl>
    <w:lvl w:ilvl="3" w:tplc="3809000F" w:tentative="1">
      <w:start w:val="1"/>
      <w:numFmt w:val="decimal"/>
      <w:lvlText w:val="%4."/>
      <w:lvlJc w:val="left"/>
      <w:pPr>
        <w:ind w:left="3109" w:hanging="360"/>
      </w:pPr>
    </w:lvl>
    <w:lvl w:ilvl="4" w:tplc="38090019" w:tentative="1">
      <w:start w:val="1"/>
      <w:numFmt w:val="lowerLetter"/>
      <w:lvlText w:val="%5."/>
      <w:lvlJc w:val="left"/>
      <w:pPr>
        <w:ind w:left="3829" w:hanging="360"/>
      </w:pPr>
    </w:lvl>
    <w:lvl w:ilvl="5" w:tplc="3809001B" w:tentative="1">
      <w:start w:val="1"/>
      <w:numFmt w:val="lowerRoman"/>
      <w:lvlText w:val="%6."/>
      <w:lvlJc w:val="right"/>
      <w:pPr>
        <w:ind w:left="4549" w:hanging="180"/>
      </w:pPr>
    </w:lvl>
    <w:lvl w:ilvl="6" w:tplc="3809000F" w:tentative="1">
      <w:start w:val="1"/>
      <w:numFmt w:val="decimal"/>
      <w:lvlText w:val="%7."/>
      <w:lvlJc w:val="left"/>
      <w:pPr>
        <w:ind w:left="5269" w:hanging="360"/>
      </w:pPr>
    </w:lvl>
    <w:lvl w:ilvl="7" w:tplc="38090019" w:tentative="1">
      <w:start w:val="1"/>
      <w:numFmt w:val="lowerLetter"/>
      <w:lvlText w:val="%8."/>
      <w:lvlJc w:val="left"/>
      <w:pPr>
        <w:ind w:left="5989" w:hanging="360"/>
      </w:pPr>
    </w:lvl>
    <w:lvl w:ilvl="8" w:tplc="3809001B" w:tentative="1">
      <w:start w:val="1"/>
      <w:numFmt w:val="lowerRoman"/>
      <w:lvlText w:val="%9."/>
      <w:lvlJc w:val="right"/>
      <w:pPr>
        <w:ind w:left="6709" w:hanging="180"/>
      </w:pPr>
    </w:lvl>
  </w:abstractNum>
  <w:abstractNum w:abstractNumId="22" w15:restartNumberingAfterBreak="0">
    <w:nsid w:val="5EB934DC"/>
    <w:multiLevelType w:val="hybridMultilevel"/>
    <w:tmpl w:val="72C2FE9C"/>
    <w:lvl w:ilvl="0" w:tplc="D9682D76">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3" w15:restartNumberingAfterBreak="0">
    <w:nsid w:val="5F342214"/>
    <w:multiLevelType w:val="hybridMultilevel"/>
    <w:tmpl w:val="96605110"/>
    <w:lvl w:ilvl="0" w:tplc="1478BEB4">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4" w15:restartNumberingAfterBreak="0">
    <w:nsid w:val="60A314B4"/>
    <w:multiLevelType w:val="hybridMultilevel"/>
    <w:tmpl w:val="9BBAD47E"/>
    <w:lvl w:ilvl="0" w:tplc="69B4768E">
      <w:start w:val="1"/>
      <w:numFmt w:val="decimal"/>
      <w:lvlText w:val="%1."/>
      <w:lvlJc w:val="left"/>
      <w:pPr>
        <w:ind w:left="1353" w:hanging="360"/>
      </w:pPr>
      <w:rPr>
        <w:rFonts w:hint="default"/>
      </w:rPr>
    </w:lvl>
    <w:lvl w:ilvl="1" w:tplc="38090019" w:tentative="1">
      <w:start w:val="1"/>
      <w:numFmt w:val="lowerLetter"/>
      <w:lvlText w:val="%2."/>
      <w:lvlJc w:val="left"/>
      <w:pPr>
        <w:ind w:left="2073" w:hanging="360"/>
      </w:pPr>
    </w:lvl>
    <w:lvl w:ilvl="2" w:tplc="3809001B" w:tentative="1">
      <w:start w:val="1"/>
      <w:numFmt w:val="lowerRoman"/>
      <w:lvlText w:val="%3."/>
      <w:lvlJc w:val="right"/>
      <w:pPr>
        <w:ind w:left="2793" w:hanging="180"/>
      </w:pPr>
    </w:lvl>
    <w:lvl w:ilvl="3" w:tplc="3809000F" w:tentative="1">
      <w:start w:val="1"/>
      <w:numFmt w:val="decimal"/>
      <w:lvlText w:val="%4."/>
      <w:lvlJc w:val="left"/>
      <w:pPr>
        <w:ind w:left="3513" w:hanging="360"/>
      </w:pPr>
    </w:lvl>
    <w:lvl w:ilvl="4" w:tplc="38090019" w:tentative="1">
      <w:start w:val="1"/>
      <w:numFmt w:val="lowerLetter"/>
      <w:lvlText w:val="%5."/>
      <w:lvlJc w:val="left"/>
      <w:pPr>
        <w:ind w:left="4233" w:hanging="360"/>
      </w:pPr>
    </w:lvl>
    <w:lvl w:ilvl="5" w:tplc="3809001B" w:tentative="1">
      <w:start w:val="1"/>
      <w:numFmt w:val="lowerRoman"/>
      <w:lvlText w:val="%6."/>
      <w:lvlJc w:val="right"/>
      <w:pPr>
        <w:ind w:left="4953" w:hanging="180"/>
      </w:pPr>
    </w:lvl>
    <w:lvl w:ilvl="6" w:tplc="3809000F" w:tentative="1">
      <w:start w:val="1"/>
      <w:numFmt w:val="decimal"/>
      <w:lvlText w:val="%7."/>
      <w:lvlJc w:val="left"/>
      <w:pPr>
        <w:ind w:left="5673" w:hanging="360"/>
      </w:pPr>
    </w:lvl>
    <w:lvl w:ilvl="7" w:tplc="38090019" w:tentative="1">
      <w:start w:val="1"/>
      <w:numFmt w:val="lowerLetter"/>
      <w:lvlText w:val="%8."/>
      <w:lvlJc w:val="left"/>
      <w:pPr>
        <w:ind w:left="6393" w:hanging="360"/>
      </w:pPr>
    </w:lvl>
    <w:lvl w:ilvl="8" w:tplc="3809001B" w:tentative="1">
      <w:start w:val="1"/>
      <w:numFmt w:val="lowerRoman"/>
      <w:lvlText w:val="%9."/>
      <w:lvlJc w:val="right"/>
      <w:pPr>
        <w:ind w:left="7113" w:hanging="180"/>
      </w:pPr>
    </w:lvl>
  </w:abstractNum>
  <w:abstractNum w:abstractNumId="25" w15:restartNumberingAfterBreak="0">
    <w:nsid w:val="662E51E1"/>
    <w:multiLevelType w:val="multilevel"/>
    <w:tmpl w:val="32FAF0A2"/>
    <w:lvl w:ilvl="0">
      <w:start w:val="1"/>
      <w:numFmt w:val="decimal"/>
      <w:lvlText w:val="%1."/>
      <w:lvlJc w:val="left"/>
      <w:pPr>
        <w:ind w:left="1080" w:hanging="360"/>
      </w:pPr>
      <w:rPr>
        <w:rFonts w:asciiTheme="majorBidi" w:eastAsiaTheme="minorHAnsi" w:hAnsiTheme="majorBidi" w:cstheme="majorBidi"/>
      </w:rPr>
    </w:lvl>
    <w:lvl w:ilvl="1">
      <w:start w:val="5"/>
      <w:numFmt w:val="decimal"/>
      <w:isLgl/>
      <w:lvlText w:val="%1.%2"/>
      <w:lvlJc w:val="left"/>
      <w:pPr>
        <w:ind w:left="1200" w:hanging="48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6BA45F4"/>
    <w:multiLevelType w:val="hybridMultilevel"/>
    <w:tmpl w:val="575CF1C4"/>
    <w:lvl w:ilvl="0" w:tplc="9A460376">
      <w:start w:val="1"/>
      <w:numFmt w:val="decimal"/>
      <w:lvlText w:val="%1."/>
      <w:lvlJc w:val="left"/>
      <w:pPr>
        <w:ind w:left="1440" w:hanging="360"/>
      </w:pPr>
      <w:rPr>
        <w:rFonts w:asciiTheme="majorBidi" w:eastAsiaTheme="minorHAnsi" w:hAnsiTheme="majorBidi" w:cstheme="majorBidi"/>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7" w15:restartNumberingAfterBreak="0">
    <w:nsid w:val="6A626F8F"/>
    <w:multiLevelType w:val="hybridMultilevel"/>
    <w:tmpl w:val="2F08BC36"/>
    <w:lvl w:ilvl="0" w:tplc="C4324442">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8" w15:restartNumberingAfterBreak="0">
    <w:nsid w:val="6D1F164B"/>
    <w:multiLevelType w:val="multilevel"/>
    <w:tmpl w:val="2480D0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7764DE"/>
    <w:multiLevelType w:val="multilevel"/>
    <w:tmpl w:val="4E545A90"/>
    <w:lvl w:ilvl="0">
      <w:start w:val="1"/>
      <w:numFmt w:val="decimal"/>
      <w:lvlText w:val="%1."/>
      <w:lvlJc w:val="left"/>
      <w:pPr>
        <w:ind w:left="1080"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7217309C"/>
    <w:multiLevelType w:val="multilevel"/>
    <w:tmpl w:val="398C140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76865703">
    <w:abstractNumId w:val="11"/>
  </w:num>
  <w:num w:numId="2" w16cid:durableId="2105685878">
    <w:abstractNumId w:val="22"/>
  </w:num>
  <w:num w:numId="3" w16cid:durableId="1082334791">
    <w:abstractNumId w:val="25"/>
  </w:num>
  <w:num w:numId="4" w16cid:durableId="1196306739">
    <w:abstractNumId w:val="24"/>
  </w:num>
  <w:num w:numId="5" w16cid:durableId="1464735435">
    <w:abstractNumId w:val="1"/>
  </w:num>
  <w:num w:numId="6" w16cid:durableId="739981086">
    <w:abstractNumId w:val="29"/>
  </w:num>
  <w:num w:numId="7" w16cid:durableId="623733905">
    <w:abstractNumId w:val="4"/>
  </w:num>
  <w:num w:numId="8" w16cid:durableId="831875284">
    <w:abstractNumId w:val="3"/>
  </w:num>
  <w:num w:numId="9" w16cid:durableId="1764304959">
    <w:abstractNumId w:val="8"/>
  </w:num>
  <w:num w:numId="10" w16cid:durableId="1076513217">
    <w:abstractNumId w:val="12"/>
  </w:num>
  <w:num w:numId="11" w16cid:durableId="306595144">
    <w:abstractNumId w:val="5"/>
  </w:num>
  <w:num w:numId="12" w16cid:durableId="1657687836">
    <w:abstractNumId w:val="13"/>
  </w:num>
  <w:num w:numId="13" w16cid:durableId="1864243115">
    <w:abstractNumId w:val="6"/>
  </w:num>
  <w:num w:numId="14" w16cid:durableId="789710065">
    <w:abstractNumId w:val="30"/>
  </w:num>
  <w:num w:numId="15" w16cid:durableId="1932738468">
    <w:abstractNumId w:val="0"/>
  </w:num>
  <w:num w:numId="16" w16cid:durableId="1615020271">
    <w:abstractNumId w:val="19"/>
  </w:num>
  <w:num w:numId="17" w16cid:durableId="1290864476">
    <w:abstractNumId w:val="2"/>
  </w:num>
  <w:num w:numId="18" w16cid:durableId="880050070">
    <w:abstractNumId w:val="16"/>
  </w:num>
  <w:num w:numId="19" w16cid:durableId="2105638857">
    <w:abstractNumId w:val="23"/>
  </w:num>
  <w:num w:numId="20" w16cid:durableId="1297643496">
    <w:abstractNumId w:val="10"/>
  </w:num>
  <w:num w:numId="21" w16cid:durableId="302927793">
    <w:abstractNumId w:val="26"/>
  </w:num>
  <w:num w:numId="22" w16cid:durableId="1519393857">
    <w:abstractNumId w:val="14"/>
  </w:num>
  <w:num w:numId="23" w16cid:durableId="392850030">
    <w:abstractNumId w:val="17"/>
  </w:num>
  <w:num w:numId="24" w16cid:durableId="1019090627">
    <w:abstractNumId w:val="27"/>
  </w:num>
  <w:num w:numId="25" w16cid:durableId="1083406986">
    <w:abstractNumId w:val="7"/>
  </w:num>
  <w:num w:numId="26" w16cid:durableId="2022126938">
    <w:abstractNumId w:val="28"/>
  </w:num>
  <w:num w:numId="27" w16cid:durableId="1811092827">
    <w:abstractNumId w:val="18"/>
  </w:num>
  <w:num w:numId="28" w16cid:durableId="605694054">
    <w:abstractNumId w:val="15"/>
  </w:num>
  <w:num w:numId="29" w16cid:durableId="585580589">
    <w:abstractNumId w:val="21"/>
  </w:num>
  <w:num w:numId="30" w16cid:durableId="2070421174">
    <w:abstractNumId w:val="9"/>
  </w:num>
  <w:num w:numId="31" w16cid:durableId="1198153592">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B29"/>
    <w:rsid w:val="0000768D"/>
    <w:rsid w:val="000113F1"/>
    <w:rsid w:val="000127AB"/>
    <w:rsid w:val="00022154"/>
    <w:rsid w:val="0002426D"/>
    <w:rsid w:val="00024AA9"/>
    <w:rsid w:val="00033BD9"/>
    <w:rsid w:val="00042617"/>
    <w:rsid w:val="00043B94"/>
    <w:rsid w:val="00054979"/>
    <w:rsid w:val="00056B62"/>
    <w:rsid w:val="0005736F"/>
    <w:rsid w:val="00065644"/>
    <w:rsid w:val="00066E89"/>
    <w:rsid w:val="00070A2E"/>
    <w:rsid w:val="00071CD1"/>
    <w:rsid w:val="00075226"/>
    <w:rsid w:val="00084CEA"/>
    <w:rsid w:val="000909DA"/>
    <w:rsid w:val="00092FB6"/>
    <w:rsid w:val="000949B9"/>
    <w:rsid w:val="000A16F6"/>
    <w:rsid w:val="000A650F"/>
    <w:rsid w:val="000B2D5A"/>
    <w:rsid w:val="000B579B"/>
    <w:rsid w:val="000B76CA"/>
    <w:rsid w:val="000C6A89"/>
    <w:rsid w:val="000D2145"/>
    <w:rsid w:val="000D5FFF"/>
    <w:rsid w:val="000E25B1"/>
    <w:rsid w:val="000E4458"/>
    <w:rsid w:val="000E56BE"/>
    <w:rsid w:val="000E6939"/>
    <w:rsid w:val="000F015C"/>
    <w:rsid w:val="000F4895"/>
    <w:rsid w:val="000F577D"/>
    <w:rsid w:val="000F6D1B"/>
    <w:rsid w:val="00101862"/>
    <w:rsid w:val="00104054"/>
    <w:rsid w:val="00105A92"/>
    <w:rsid w:val="0010721F"/>
    <w:rsid w:val="001107CB"/>
    <w:rsid w:val="001114A2"/>
    <w:rsid w:val="001128A0"/>
    <w:rsid w:val="001162A3"/>
    <w:rsid w:val="00120B7F"/>
    <w:rsid w:val="00122D5D"/>
    <w:rsid w:val="00127E26"/>
    <w:rsid w:val="00131912"/>
    <w:rsid w:val="00132084"/>
    <w:rsid w:val="001344B0"/>
    <w:rsid w:val="001349A5"/>
    <w:rsid w:val="00142DC5"/>
    <w:rsid w:val="00146029"/>
    <w:rsid w:val="0014621B"/>
    <w:rsid w:val="00146B59"/>
    <w:rsid w:val="00153250"/>
    <w:rsid w:val="00153EF4"/>
    <w:rsid w:val="0015799F"/>
    <w:rsid w:val="001603FD"/>
    <w:rsid w:val="0016065A"/>
    <w:rsid w:val="00170403"/>
    <w:rsid w:val="00170EF6"/>
    <w:rsid w:val="001716C0"/>
    <w:rsid w:val="00171854"/>
    <w:rsid w:val="00175259"/>
    <w:rsid w:val="00175BE6"/>
    <w:rsid w:val="001925D7"/>
    <w:rsid w:val="001927A9"/>
    <w:rsid w:val="001951D5"/>
    <w:rsid w:val="001A4A06"/>
    <w:rsid w:val="001B3417"/>
    <w:rsid w:val="001C0AC1"/>
    <w:rsid w:val="001C57CD"/>
    <w:rsid w:val="001C7774"/>
    <w:rsid w:val="001D15F7"/>
    <w:rsid w:val="001D4191"/>
    <w:rsid w:val="001D6B49"/>
    <w:rsid w:val="001E2E38"/>
    <w:rsid w:val="001F420D"/>
    <w:rsid w:val="001F58D5"/>
    <w:rsid w:val="001F6686"/>
    <w:rsid w:val="00200ABE"/>
    <w:rsid w:val="00202800"/>
    <w:rsid w:val="00202A6F"/>
    <w:rsid w:val="00204906"/>
    <w:rsid w:val="00213FC6"/>
    <w:rsid w:val="002172C7"/>
    <w:rsid w:val="0022029A"/>
    <w:rsid w:val="00220D41"/>
    <w:rsid w:val="00230385"/>
    <w:rsid w:val="00230F66"/>
    <w:rsid w:val="0023592F"/>
    <w:rsid w:val="00242D07"/>
    <w:rsid w:val="00246FBC"/>
    <w:rsid w:val="00262415"/>
    <w:rsid w:val="00264C59"/>
    <w:rsid w:val="00267018"/>
    <w:rsid w:val="00267FF8"/>
    <w:rsid w:val="00270980"/>
    <w:rsid w:val="00273CF6"/>
    <w:rsid w:val="0027636A"/>
    <w:rsid w:val="00280565"/>
    <w:rsid w:val="00280811"/>
    <w:rsid w:val="00280EB1"/>
    <w:rsid w:val="00281950"/>
    <w:rsid w:val="00282C11"/>
    <w:rsid w:val="002838AF"/>
    <w:rsid w:val="002853D2"/>
    <w:rsid w:val="002919F6"/>
    <w:rsid w:val="00296655"/>
    <w:rsid w:val="002A33E2"/>
    <w:rsid w:val="002A7056"/>
    <w:rsid w:val="002A76C9"/>
    <w:rsid w:val="002B0738"/>
    <w:rsid w:val="002B103F"/>
    <w:rsid w:val="002B26FC"/>
    <w:rsid w:val="002B35B8"/>
    <w:rsid w:val="002B3EA9"/>
    <w:rsid w:val="002B79F1"/>
    <w:rsid w:val="002C15F1"/>
    <w:rsid w:val="002C4F4B"/>
    <w:rsid w:val="002C6466"/>
    <w:rsid w:val="002C6813"/>
    <w:rsid w:val="002D2DE3"/>
    <w:rsid w:val="002D4867"/>
    <w:rsid w:val="002D64AD"/>
    <w:rsid w:val="002D667B"/>
    <w:rsid w:val="002E1290"/>
    <w:rsid w:val="002E2C89"/>
    <w:rsid w:val="002E5952"/>
    <w:rsid w:val="002E5E6F"/>
    <w:rsid w:val="002E6478"/>
    <w:rsid w:val="002E6B51"/>
    <w:rsid w:val="002E7062"/>
    <w:rsid w:val="002E7308"/>
    <w:rsid w:val="003000B4"/>
    <w:rsid w:val="0030061A"/>
    <w:rsid w:val="00300747"/>
    <w:rsid w:val="00300BCB"/>
    <w:rsid w:val="00301230"/>
    <w:rsid w:val="00301974"/>
    <w:rsid w:val="00306190"/>
    <w:rsid w:val="00306B3F"/>
    <w:rsid w:val="0031009E"/>
    <w:rsid w:val="0031036E"/>
    <w:rsid w:val="00320A2B"/>
    <w:rsid w:val="00325C4B"/>
    <w:rsid w:val="0032625C"/>
    <w:rsid w:val="00335B29"/>
    <w:rsid w:val="0033621F"/>
    <w:rsid w:val="003378A8"/>
    <w:rsid w:val="00360260"/>
    <w:rsid w:val="003647D0"/>
    <w:rsid w:val="00364BA9"/>
    <w:rsid w:val="00365F24"/>
    <w:rsid w:val="003676D8"/>
    <w:rsid w:val="003677EA"/>
    <w:rsid w:val="0037397F"/>
    <w:rsid w:val="00376B6C"/>
    <w:rsid w:val="00376CFE"/>
    <w:rsid w:val="00377CB4"/>
    <w:rsid w:val="0038152E"/>
    <w:rsid w:val="003824D8"/>
    <w:rsid w:val="00386FBE"/>
    <w:rsid w:val="00387F30"/>
    <w:rsid w:val="0039280C"/>
    <w:rsid w:val="00395FE0"/>
    <w:rsid w:val="00397B8B"/>
    <w:rsid w:val="003A2F31"/>
    <w:rsid w:val="003B7ECA"/>
    <w:rsid w:val="003D05B8"/>
    <w:rsid w:val="003D2604"/>
    <w:rsid w:val="003D6A39"/>
    <w:rsid w:val="003E5A4D"/>
    <w:rsid w:val="003E7DB2"/>
    <w:rsid w:val="003F0DDF"/>
    <w:rsid w:val="003F1FF2"/>
    <w:rsid w:val="003F322C"/>
    <w:rsid w:val="003F3B7F"/>
    <w:rsid w:val="003F6DFF"/>
    <w:rsid w:val="00400F52"/>
    <w:rsid w:val="004014DD"/>
    <w:rsid w:val="00401F49"/>
    <w:rsid w:val="0040279D"/>
    <w:rsid w:val="004068A1"/>
    <w:rsid w:val="00411F8D"/>
    <w:rsid w:val="00416A23"/>
    <w:rsid w:val="004170FE"/>
    <w:rsid w:val="0041758A"/>
    <w:rsid w:val="00420766"/>
    <w:rsid w:val="00420B70"/>
    <w:rsid w:val="00422882"/>
    <w:rsid w:val="004256F2"/>
    <w:rsid w:val="0042591F"/>
    <w:rsid w:val="00432CBC"/>
    <w:rsid w:val="004332FB"/>
    <w:rsid w:val="00434444"/>
    <w:rsid w:val="004355FD"/>
    <w:rsid w:val="00440591"/>
    <w:rsid w:val="00441F00"/>
    <w:rsid w:val="004501BC"/>
    <w:rsid w:val="004524A9"/>
    <w:rsid w:val="00452609"/>
    <w:rsid w:val="00453FCC"/>
    <w:rsid w:val="00462470"/>
    <w:rsid w:val="0046352D"/>
    <w:rsid w:val="00465E36"/>
    <w:rsid w:val="00466664"/>
    <w:rsid w:val="00466851"/>
    <w:rsid w:val="00466863"/>
    <w:rsid w:val="00467309"/>
    <w:rsid w:val="00474389"/>
    <w:rsid w:val="00481EE6"/>
    <w:rsid w:val="00482FE5"/>
    <w:rsid w:val="00484DA9"/>
    <w:rsid w:val="00487240"/>
    <w:rsid w:val="0049215F"/>
    <w:rsid w:val="00493D22"/>
    <w:rsid w:val="004970CB"/>
    <w:rsid w:val="004A09EF"/>
    <w:rsid w:val="004A17D8"/>
    <w:rsid w:val="004A4A5E"/>
    <w:rsid w:val="004B5B92"/>
    <w:rsid w:val="004C00B1"/>
    <w:rsid w:val="004C03C0"/>
    <w:rsid w:val="004C0DD7"/>
    <w:rsid w:val="004C4A0A"/>
    <w:rsid w:val="004C4ED7"/>
    <w:rsid w:val="004C5A4C"/>
    <w:rsid w:val="004D4B36"/>
    <w:rsid w:val="004D746D"/>
    <w:rsid w:val="004E1ACA"/>
    <w:rsid w:val="004E1CE1"/>
    <w:rsid w:val="004E7082"/>
    <w:rsid w:val="004F11B5"/>
    <w:rsid w:val="004F54B1"/>
    <w:rsid w:val="004F6C85"/>
    <w:rsid w:val="004F6D8C"/>
    <w:rsid w:val="00504F95"/>
    <w:rsid w:val="00506A40"/>
    <w:rsid w:val="0051620D"/>
    <w:rsid w:val="005258ED"/>
    <w:rsid w:val="00533AD2"/>
    <w:rsid w:val="00534BC5"/>
    <w:rsid w:val="005369F8"/>
    <w:rsid w:val="005411C7"/>
    <w:rsid w:val="00552874"/>
    <w:rsid w:val="0056140A"/>
    <w:rsid w:val="00562659"/>
    <w:rsid w:val="00563ECE"/>
    <w:rsid w:val="005653FC"/>
    <w:rsid w:val="00567F38"/>
    <w:rsid w:val="0057295F"/>
    <w:rsid w:val="005758C1"/>
    <w:rsid w:val="0058206F"/>
    <w:rsid w:val="00584AD7"/>
    <w:rsid w:val="005859FE"/>
    <w:rsid w:val="00586331"/>
    <w:rsid w:val="00586ECD"/>
    <w:rsid w:val="00596E3E"/>
    <w:rsid w:val="00597E2F"/>
    <w:rsid w:val="005A306F"/>
    <w:rsid w:val="005A46E0"/>
    <w:rsid w:val="005A7789"/>
    <w:rsid w:val="005B2A4C"/>
    <w:rsid w:val="005B4C0B"/>
    <w:rsid w:val="005B590C"/>
    <w:rsid w:val="005B626F"/>
    <w:rsid w:val="005C06BF"/>
    <w:rsid w:val="005C17D0"/>
    <w:rsid w:val="005C306E"/>
    <w:rsid w:val="005C5A3A"/>
    <w:rsid w:val="005C7FE9"/>
    <w:rsid w:val="005D13CC"/>
    <w:rsid w:val="005D26C6"/>
    <w:rsid w:val="005F78F3"/>
    <w:rsid w:val="006002A7"/>
    <w:rsid w:val="00600E55"/>
    <w:rsid w:val="00602A79"/>
    <w:rsid w:val="00611753"/>
    <w:rsid w:val="00613994"/>
    <w:rsid w:val="00615F88"/>
    <w:rsid w:val="006202C9"/>
    <w:rsid w:val="00630406"/>
    <w:rsid w:val="0063163D"/>
    <w:rsid w:val="00634CF3"/>
    <w:rsid w:val="006458DA"/>
    <w:rsid w:val="00645DDB"/>
    <w:rsid w:val="006513C2"/>
    <w:rsid w:val="0065254D"/>
    <w:rsid w:val="006639EB"/>
    <w:rsid w:val="00671444"/>
    <w:rsid w:val="006729D1"/>
    <w:rsid w:val="00676ACA"/>
    <w:rsid w:val="00681267"/>
    <w:rsid w:val="006815F6"/>
    <w:rsid w:val="00685810"/>
    <w:rsid w:val="00686EDE"/>
    <w:rsid w:val="00687A52"/>
    <w:rsid w:val="006906D8"/>
    <w:rsid w:val="006916FD"/>
    <w:rsid w:val="00692130"/>
    <w:rsid w:val="006963D1"/>
    <w:rsid w:val="006A2FBA"/>
    <w:rsid w:val="006A36D1"/>
    <w:rsid w:val="006A4691"/>
    <w:rsid w:val="006B5AC9"/>
    <w:rsid w:val="006B648C"/>
    <w:rsid w:val="006B6E04"/>
    <w:rsid w:val="006C0614"/>
    <w:rsid w:val="006C4607"/>
    <w:rsid w:val="006C5817"/>
    <w:rsid w:val="006C63C2"/>
    <w:rsid w:val="006C6B9B"/>
    <w:rsid w:val="006C7242"/>
    <w:rsid w:val="006D221F"/>
    <w:rsid w:val="006D4925"/>
    <w:rsid w:val="006D5960"/>
    <w:rsid w:val="006D64F3"/>
    <w:rsid w:val="006D6DA0"/>
    <w:rsid w:val="006D7276"/>
    <w:rsid w:val="006D7E54"/>
    <w:rsid w:val="006E626C"/>
    <w:rsid w:val="006E6689"/>
    <w:rsid w:val="006F2719"/>
    <w:rsid w:val="006F4884"/>
    <w:rsid w:val="006F4CB2"/>
    <w:rsid w:val="006F4D2C"/>
    <w:rsid w:val="006F6C68"/>
    <w:rsid w:val="006F79AF"/>
    <w:rsid w:val="0070022E"/>
    <w:rsid w:val="00710303"/>
    <w:rsid w:val="00711EBA"/>
    <w:rsid w:val="00713991"/>
    <w:rsid w:val="00721A2E"/>
    <w:rsid w:val="00724D7C"/>
    <w:rsid w:val="007252B6"/>
    <w:rsid w:val="0072691E"/>
    <w:rsid w:val="00727CD0"/>
    <w:rsid w:val="00730967"/>
    <w:rsid w:val="0073174D"/>
    <w:rsid w:val="0073222A"/>
    <w:rsid w:val="00733DAF"/>
    <w:rsid w:val="0073573B"/>
    <w:rsid w:val="00735C88"/>
    <w:rsid w:val="00736B5C"/>
    <w:rsid w:val="00737DBD"/>
    <w:rsid w:val="00750463"/>
    <w:rsid w:val="00751B3C"/>
    <w:rsid w:val="00756ED4"/>
    <w:rsid w:val="00760E13"/>
    <w:rsid w:val="00763B3E"/>
    <w:rsid w:val="00771F62"/>
    <w:rsid w:val="007763B2"/>
    <w:rsid w:val="007775A1"/>
    <w:rsid w:val="00780318"/>
    <w:rsid w:val="00781572"/>
    <w:rsid w:val="00790320"/>
    <w:rsid w:val="00791237"/>
    <w:rsid w:val="00793150"/>
    <w:rsid w:val="00793C89"/>
    <w:rsid w:val="00795242"/>
    <w:rsid w:val="007A1D4D"/>
    <w:rsid w:val="007A215A"/>
    <w:rsid w:val="007A40CA"/>
    <w:rsid w:val="007A4D5F"/>
    <w:rsid w:val="007A73D8"/>
    <w:rsid w:val="007A7E0E"/>
    <w:rsid w:val="007B4047"/>
    <w:rsid w:val="007B517F"/>
    <w:rsid w:val="007C54DA"/>
    <w:rsid w:val="007C57C5"/>
    <w:rsid w:val="007C5906"/>
    <w:rsid w:val="007E368F"/>
    <w:rsid w:val="007E3EC7"/>
    <w:rsid w:val="007E493E"/>
    <w:rsid w:val="007F0752"/>
    <w:rsid w:val="007F1C3F"/>
    <w:rsid w:val="007F33B1"/>
    <w:rsid w:val="007F7C0B"/>
    <w:rsid w:val="0080664A"/>
    <w:rsid w:val="00810BD8"/>
    <w:rsid w:val="00810CB2"/>
    <w:rsid w:val="00811D1F"/>
    <w:rsid w:val="00812133"/>
    <w:rsid w:val="00815DA3"/>
    <w:rsid w:val="0081655C"/>
    <w:rsid w:val="00816F9E"/>
    <w:rsid w:val="00824941"/>
    <w:rsid w:val="00824B15"/>
    <w:rsid w:val="00825953"/>
    <w:rsid w:val="00826689"/>
    <w:rsid w:val="00826ACC"/>
    <w:rsid w:val="008276DD"/>
    <w:rsid w:val="008307E8"/>
    <w:rsid w:val="008312D7"/>
    <w:rsid w:val="00834B34"/>
    <w:rsid w:val="008353A7"/>
    <w:rsid w:val="00837626"/>
    <w:rsid w:val="00840D04"/>
    <w:rsid w:val="008432F5"/>
    <w:rsid w:val="00843BB9"/>
    <w:rsid w:val="00852568"/>
    <w:rsid w:val="008630EF"/>
    <w:rsid w:val="00865112"/>
    <w:rsid w:val="00872403"/>
    <w:rsid w:val="008736EA"/>
    <w:rsid w:val="00873DE7"/>
    <w:rsid w:val="00875965"/>
    <w:rsid w:val="00877500"/>
    <w:rsid w:val="00883A7B"/>
    <w:rsid w:val="0088560D"/>
    <w:rsid w:val="008856B3"/>
    <w:rsid w:val="008914F5"/>
    <w:rsid w:val="00891D66"/>
    <w:rsid w:val="00892919"/>
    <w:rsid w:val="008A00A5"/>
    <w:rsid w:val="008A18F9"/>
    <w:rsid w:val="008B0642"/>
    <w:rsid w:val="008B2471"/>
    <w:rsid w:val="008B2DD2"/>
    <w:rsid w:val="008B5C91"/>
    <w:rsid w:val="008B6455"/>
    <w:rsid w:val="008C47DC"/>
    <w:rsid w:val="008C507D"/>
    <w:rsid w:val="008D03A5"/>
    <w:rsid w:val="008D0DF7"/>
    <w:rsid w:val="008D119B"/>
    <w:rsid w:val="008D28D9"/>
    <w:rsid w:val="008D3CE0"/>
    <w:rsid w:val="008D6AA2"/>
    <w:rsid w:val="008E0752"/>
    <w:rsid w:val="008E0AEA"/>
    <w:rsid w:val="008E4A66"/>
    <w:rsid w:val="008E7135"/>
    <w:rsid w:val="008E7E43"/>
    <w:rsid w:val="008F33C3"/>
    <w:rsid w:val="008F3BF6"/>
    <w:rsid w:val="008F5558"/>
    <w:rsid w:val="008F5C2F"/>
    <w:rsid w:val="008F6B49"/>
    <w:rsid w:val="009018E1"/>
    <w:rsid w:val="009075CC"/>
    <w:rsid w:val="0091193C"/>
    <w:rsid w:val="00911B25"/>
    <w:rsid w:val="0092042B"/>
    <w:rsid w:val="0092073F"/>
    <w:rsid w:val="00925216"/>
    <w:rsid w:val="009269E7"/>
    <w:rsid w:val="00927B39"/>
    <w:rsid w:val="00930782"/>
    <w:rsid w:val="00930A3C"/>
    <w:rsid w:val="00930DF9"/>
    <w:rsid w:val="0093131A"/>
    <w:rsid w:val="00932E79"/>
    <w:rsid w:val="00933244"/>
    <w:rsid w:val="00941D2C"/>
    <w:rsid w:val="00942114"/>
    <w:rsid w:val="00943543"/>
    <w:rsid w:val="00947C46"/>
    <w:rsid w:val="00947CBB"/>
    <w:rsid w:val="00950249"/>
    <w:rsid w:val="0095268B"/>
    <w:rsid w:val="00955135"/>
    <w:rsid w:val="00956BC9"/>
    <w:rsid w:val="00960EEC"/>
    <w:rsid w:val="00963480"/>
    <w:rsid w:val="00972509"/>
    <w:rsid w:val="00985600"/>
    <w:rsid w:val="009874CE"/>
    <w:rsid w:val="00987A8E"/>
    <w:rsid w:val="00990133"/>
    <w:rsid w:val="00991A8D"/>
    <w:rsid w:val="00991E7C"/>
    <w:rsid w:val="00992DB1"/>
    <w:rsid w:val="00995176"/>
    <w:rsid w:val="00996ECE"/>
    <w:rsid w:val="00996F75"/>
    <w:rsid w:val="009A2C18"/>
    <w:rsid w:val="009A5521"/>
    <w:rsid w:val="009A5558"/>
    <w:rsid w:val="009B0C3B"/>
    <w:rsid w:val="009B5521"/>
    <w:rsid w:val="009B563B"/>
    <w:rsid w:val="009B6DEE"/>
    <w:rsid w:val="009C0296"/>
    <w:rsid w:val="009C6E7B"/>
    <w:rsid w:val="009D47BB"/>
    <w:rsid w:val="009D5ACC"/>
    <w:rsid w:val="009D7602"/>
    <w:rsid w:val="009E0DEE"/>
    <w:rsid w:val="009E3DCE"/>
    <w:rsid w:val="009E6567"/>
    <w:rsid w:val="009E6C99"/>
    <w:rsid w:val="009E6F4B"/>
    <w:rsid w:val="009F5161"/>
    <w:rsid w:val="00A02071"/>
    <w:rsid w:val="00A0392A"/>
    <w:rsid w:val="00A0656C"/>
    <w:rsid w:val="00A0681B"/>
    <w:rsid w:val="00A077C9"/>
    <w:rsid w:val="00A20331"/>
    <w:rsid w:val="00A206E6"/>
    <w:rsid w:val="00A21146"/>
    <w:rsid w:val="00A21C6D"/>
    <w:rsid w:val="00A22B90"/>
    <w:rsid w:val="00A237DE"/>
    <w:rsid w:val="00A255A4"/>
    <w:rsid w:val="00A26E1A"/>
    <w:rsid w:val="00A3365A"/>
    <w:rsid w:val="00A34379"/>
    <w:rsid w:val="00A34E7D"/>
    <w:rsid w:val="00A3534D"/>
    <w:rsid w:val="00A37B6C"/>
    <w:rsid w:val="00A42616"/>
    <w:rsid w:val="00A4276F"/>
    <w:rsid w:val="00A53BD1"/>
    <w:rsid w:val="00A53E32"/>
    <w:rsid w:val="00A70124"/>
    <w:rsid w:val="00A70F50"/>
    <w:rsid w:val="00A730E5"/>
    <w:rsid w:val="00A73343"/>
    <w:rsid w:val="00A73BB3"/>
    <w:rsid w:val="00A74B05"/>
    <w:rsid w:val="00A75A5D"/>
    <w:rsid w:val="00A81A6A"/>
    <w:rsid w:val="00A84149"/>
    <w:rsid w:val="00A8607D"/>
    <w:rsid w:val="00A91876"/>
    <w:rsid w:val="00A9544C"/>
    <w:rsid w:val="00AA1961"/>
    <w:rsid w:val="00AA254C"/>
    <w:rsid w:val="00AB3A12"/>
    <w:rsid w:val="00AB3D95"/>
    <w:rsid w:val="00AC0A79"/>
    <w:rsid w:val="00AC0E4A"/>
    <w:rsid w:val="00AC544E"/>
    <w:rsid w:val="00AC54E4"/>
    <w:rsid w:val="00AC5783"/>
    <w:rsid w:val="00AD00F8"/>
    <w:rsid w:val="00AD46AB"/>
    <w:rsid w:val="00AD51F5"/>
    <w:rsid w:val="00AE0A70"/>
    <w:rsid w:val="00AE0D0E"/>
    <w:rsid w:val="00AE0DB1"/>
    <w:rsid w:val="00AE4163"/>
    <w:rsid w:val="00AE5D8B"/>
    <w:rsid w:val="00AF1464"/>
    <w:rsid w:val="00AF5A30"/>
    <w:rsid w:val="00AF61B3"/>
    <w:rsid w:val="00AF777E"/>
    <w:rsid w:val="00B018F1"/>
    <w:rsid w:val="00B02578"/>
    <w:rsid w:val="00B1250B"/>
    <w:rsid w:val="00B13CD7"/>
    <w:rsid w:val="00B14FD0"/>
    <w:rsid w:val="00B160CD"/>
    <w:rsid w:val="00B17575"/>
    <w:rsid w:val="00B21A4A"/>
    <w:rsid w:val="00B22F14"/>
    <w:rsid w:val="00B2771C"/>
    <w:rsid w:val="00B30105"/>
    <w:rsid w:val="00B305B0"/>
    <w:rsid w:val="00B347E8"/>
    <w:rsid w:val="00B37267"/>
    <w:rsid w:val="00B3782E"/>
    <w:rsid w:val="00B406B1"/>
    <w:rsid w:val="00B451DA"/>
    <w:rsid w:val="00B50B6C"/>
    <w:rsid w:val="00B51544"/>
    <w:rsid w:val="00B518B2"/>
    <w:rsid w:val="00B56E0F"/>
    <w:rsid w:val="00B574C6"/>
    <w:rsid w:val="00B627E5"/>
    <w:rsid w:val="00B62A1E"/>
    <w:rsid w:val="00B62B5B"/>
    <w:rsid w:val="00B665A8"/>
    <w:rsid w:val="00B67350"/>
    <w:rsid w:val="00B731D6"/>
    <w:rsid w:val="00B76FA2"/>
    <w:rsid w:val="00B7747A"/>
    <w:rsid w:val="00B823AE"/>
    <w:rsid w:val="00B8276F"/>
    <w:rsid w:val="00B830C6"/>
    <w:rsid w:val="00B8380C"/>
    <w:rsid w:val="00B839FE"/>
    <w:rsid w:val="00B8506F"/>
    <w:rsid w:val="00B903EC"/>
    <w:rsid w:val="00B9251A"/>
    <w:rsid w:val="00B93607"/>
    <w:rsid w:val="00B9747F"/>
    <w:rsid w:val="00BA04E1"/>
    <w:rsid w:val="00BA2B7E"/>
    <w:rsid w:val="00BA63A3"/>
    <w:rsid w:val="00BB0543"/>
    <w:rsid w:val="00BB1A9E"/>
    <w:rsid w:val="00BB1B83"/>
    <w:rsid w:val="00BB1E88"/>
    <w:rsid w:val="00BB39CC"/>
    <w:rsid w:val="00BB72E7"/>
    <w:rsid w:val="00BC3C5B"/>
    <w:rsid w:val="00BC4977"/>
    <w:rsid w:val="00BC5A82"/>
    <w:rsid w:val="00BD0279"/>
    <w:rsid w:val="00BD6EF0"/>
    <w:rsid w:val="00BE0174"/>
    <w:rsid w:val="00BE0DD2"/>
    <w:rsid w:val="00BF31C1"/>
    <w:rsid w:val="00BF573C"/>
    <w:rsid w:val="00BF57DA"/>
    <w:rsid w:val="00BF5B06"/>
    <w:rsid w:val="00BF6D00"/>
    <w:rsid w:val="00BF77EF"/>
    <w:rsid w:val="00C03126"/>
    <w:rsid w:val="00C03B3A"/>
    <w:rsid w:val="00C073DE"/>
    <w:rsid w:val="00C11A4A"/>
    <w:rsid w:val="00C12233"/>
    <w:rsid w:val="00C126BC"/>
    <w:rsid w:val="00C20BCA"/>
    <w:rsid w:val="00C215F2"/>
    <w:rsid w:val="00C2303A"/>
    <w:rsid w:val="00C25950"/>
    <w:rsid w:val="00C259DE"/>
    <w:rsid w:val="00C272EE"/>
    <w:rsid w:val="00C34D3E"/>
    <w:rsid w:val="00C40188"/>
    <w:rsid w:val="00C41D83"/>
    <w:rsid w:val="00C4528A"/>
    <w:rsid w:val="00C45B9B"/>
    <w:rsid w:val="00C46EDF"/>
    <w:rsid w:val="00C4721A"/>
    <w:rsid w:val="00C50670"/>
    <w:rsid w:val="00C51761"/>
    <w:rsid w:val="00C56AED"/>
    <w:rsid w:val="00C616B5"/>
    <w:rsid w:val="00C65BDD"/>
    <w:rsid w:val="00C71441"/>
    <w:rsid w:val="00C72842"/>
    <w:rsid w:val="00C80F31"/>
    <w:rsid w:val="00C8194E"/>
    <w:rsid w:val="00C86BC1"/>
    <w:rsid w:val="00C879EC"/>
    <w:rsid w:val="00C915B8"/>
    <w:rsid w:val="00C92AE8"/>
    <w:rsid w:val="00CA1E89"/>
    <w:rsid w:val="00CA5095"/>
    <w:rsid w:val="00CB172C"/>
    <w:rsid w:val="00CB4C0A"/>
    <w:rsid w:val="00CB67EB"/>
    <w:rsid w:val="00CB7DA5"/>
    <w:rsid w:val="00CB7F20"/>
    <w:rsid w:val="00CC2E64"/>
    <w:rsid w:val="00CD1033"/>
    <w:rsid w:val="00CD1293"/>
    <w:rsid w:val="00CD3E48"/>
    <w:rsid w:val="00CD5702"/>
    <w:rsid w:val="00CD70DB"/>
    <w:rsid w:val="00CE04D4"/>
    <w:rsid w:val="00CE0991"/>
    <w:rsid w:val="00CE0E1B"/>
    <w:rsid w:val="00CE4D97"/>
    <w:rsid w:val="00CE6303"/>
    <w:rsid w:val="00CF18C7"/>
    <w:rsid w:val="00CF2B0C"/>
    <w:rsid w:val="00CF47EC"/>
    <w:rsid w:val="00CF5285"/>
    <w:rsid w:val="00CF7AA9"/>
    <w:rsid w:val="00D00FFD"/>
    <w:rsid w:val="00D036DE"/>
    <w:rsid w:val="00D048A4"/>
    <w:rsid w:val="00D05837"/>
    <w:rsid w:val="00D07240"/>
    <w:rsid w:val="00D077CE"/>
    <w:rsid w:val="00D07956"/>
    <w:rsid w:val="00D103B4"/>
    <w:rsid w:val="00D11C1B"/>
    <w:rsid w:val="00D125B0"/>
    <w:rsid w:val="00D1413E"/>
    <w:rsid w:val="00D17A2E"/>
    <w:rsid w:val="00D21DFD"/>
    <w:rsid w:val="00D2245C"/>
    <w:rsid w:val="00D25792"/>
    <w:rsid w:val="00D2760E"/>
    <w:rsid w:val="00D36298"/>
    <w:rsid w:val="00D414A5"/>
    <w:rsid w:val="00D443C6"/>
    <w:rsid w:val="00D45273"/>
    <w:rsid w:val="00D51B6E"/>
    <w:rsid w:val="00D64F26"/>
    <w:rsid w:val="00D66395"/>
    <w:rsid w:val="00D73BA0"/>
    <w:rsid w:val="00D7560A"/>
    <w:rsid w:val="00D772E9"/>
    <w:rsid w:val="00D905B8"/>
    <w:rsid w:val="00D91227"/>
    <w:rsid w:val="00D9196C"/>
    <w:rsid w:val="00D9254F"/>
    <w:rsid w:val="00D95B6C"/>
    <w:rsid w:val="00DA2D10"/>
    <w:rsid w:val="00DA36D0"/>
    <w:rsid w:val="00DA55AE"/>
    <w:rsid w:val="00DA5D8F"/>
    <w:rsid w:val="00DA737B"/>
    <w:rsid w:val="00DA7C42"/>
    <w:rsid w:val="00DA7C81"/>
    <w:rsid w:val="00DB54FA"/>
    <w:rsid w:val="00DB6374"/>
    <w:rsid w:val="00DB7CC6"/>
    <w:rsid w:val="00DC25C8"/>
    <w:rsid w:val="00DC28BB"/>
    <w:rsid w:val="00DD15E8"/>
    <w:rsid w:val="00DD4BAC"/>
    <w:rsid w:val="00DE1D5D"/>
    <w:rsid w:val="00DF5B72"/>
    <w:rsid w:val="00E006C1"/>
    <w:rsid w:val="00E01645"/>
    <w:rsid w:val="00E0174F"/>
    <w:rsid w:val="00E02741"/>
    <w:rsid w:val="00E1060F"/>
    <w:rsid w:val="00E1235F"/>
    <w:rsid w:val="00E15FD7"/>
    <w:rsid w:val="00E1650B"/>
    <w:rsid w:val="00E17038"/>
    <w:rsid w:val="00E20A1E"/>
    <w:rsid w:val="00E23066"/>
    <w:rsid w:val="00E26FEF"/>
    <w:rsid w:val="00E31033"/>
    <w:rsid w:val="00E321E8"/>
    <w:rsid w:val="00E338F9"/>
    <w:rsid w:val="00E423F1"/>
    <w:rsid w:val="00E47935"/>
    <w:rsid w:val="00E47DAC"/>
    <w:rsid w:val="00E517D7"/>
    <w:rsid w:val="00E53D4B"/>
    <w:rsid w:val="00E540A7"/>
    <w:rsid w:val="00E55410"/>
    <w:rsid w:val="00E57986"/>
    <w:rsid w:val="00E6170D"/>
    <w:rsid w:val="00E61D52"/>
    <w:rsid w:val="00E72D89"/>
    <w:rsid w:val="00E75117"/>
    <w:rsid w:val="00E808FD"/>
    <w:rsid w:val="00E85538"/>
    <w:rsid w:val="00E85EEB"/>
    <w:rsid w:val="00E86486"/>
    <w:rsid w:val="00E86C1A"/>
    <w:rsid w:val="00E91007"/>
    <w:rsid w:val="00E94A62"/>
    <w:rsid w:val="00E957BA"/>
    <w:rsid w:val="00EA22F7"/>
    <w:rsid w:val="00EA350D"/>
    <w:rsid w:val="00EA3D07"/>
    <w:rsid w:val="00EB0AA3"/>
    <w:rsid w:val="00EB26B2"/>
    <w:rsid w:val="00EB6351"/>
    <w:rsid w:val="00EB7547"/>
    <w:rsid w:val="00EB7CBD"/>
    <w:rsid w:val="00EC0225"/>
    <w:rsid w:val="00EC11E7"/>
    <w:rsid w:val="00ED5418"/>
    <w:rsid w:val="00ED5A25"/>
    <w:rsid w:val="00ED7CF3"/>
    <w:rsid w:val="00EE2D8F"/>
    <w:rsid w:val="00EE5E00"/>
    <w:rsid w:val="00EF3499"/>
    <w:rsid w:val="00EF37BA"/>
    <w:rsid w:val="00EF6784"/>
    <w:rsid w:val="00EF6BB4"/>
    <w:rsid w:val="00F01261"/>
    <w:rsid w:val="00F03CA5"/>
    <w:rsid w:val="00F12AB5"/>
    <w:rsid w:val="00F143CE"/>
    <w:rsid w:val="00F341AD"/>
    <w:rsid w:val="00F3729D"/>
    <w:rsid w:val="00F40ABE"/>
    <w:rsid w:val="00F411D4"/>
    <w:rsid w:val="00F438AD"/>
    <w:rsid w:val="00F46F22"/>
    <w:rsid w:val="00F55B8F"/>
    <w:rsid w:val="00F75967"/>
    <w:rsid w:val="00F76794"/>
    <w:rsid w:val="00F77968"/>
    <w:rsid w:val="00F8059C"/>
    <w:rsid w:val="00F911E7"/>
    <w:rsid w:val="00F94DF3"/>
    <w:rsid w:val="00FA4D8B"/>
    <w:rsid w:val="00FA6EE7"/>
    <w:rsid w:val="00FA7DA3"/>
    <w:rsid w:val="00FB0CC9"/>
    <w:rsid w:val="00FB67BA"/>
    <w:rsid w:val="00FC335F"/>
    <w:rsid w:val="00FD3B66"/>
    <w:rsid w:val="00FE1F33"/>
    <w:rsid w:val="00FE2F88"/>
    <w:rsid w:val="00FE470D"/>
    <w:rsid w:val="00FE4C9B"/>
    <w:rsid w:val="00FE593C"/>
    <w:rsid w:val="00FE63CD"/>
    <w:rsid w:val="00FF3B97"/>
    <w:rsid w:val="00FF5856"/>
    <w:rsid w:val="00FF6109"/>
    <w:rsid w:val="00FF642C"/>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CA2EB78"/>
  <w15:chartTrackingRefBased/>
  <w15:docId w15:val="{7F1C036A-F283-4484-8085-6E29D40EB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B29"/>
  </w:style>
  <w:style w:type="paragraph" w:styleId="Heading1">
    <w:name w:val="heading 1"/>
    <w:basedOn w:val="Normal"/>
    <w:next w:val="Normal"/>
    <w:link w:val="Heading1Char"/>
    <w:uiPriority w:val="9"/>
    <w:qFormat/>
    <w:rsid w:val="00335B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5B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35B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5B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5B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5B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B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B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B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B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35B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35B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5B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5B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5B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B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B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B29"/>
    <w:rPr>
      <w:rFonts w:eastAsiaTheme="majorEastAsia" w:cstheme="majorBidi"/>
      <w:color w:val="272727" w:themeColor="text1" w:themeTint="D8"/>
    </w:rPr>
  </w:style>
  <w:style w:type="paragraph" w:styleId="Title">
    <w:name w:val="Title"/>
    <w:basedOn w:val="Normal"/>
    <w:next w:val="Normal"/>
    <w:link w:val="TitleChar"/>
    <w:uiPriority w:val="10"/>
    <w:qFormat/>
    <w:rsid w:val="00335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B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B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B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B29"/>
    <w:pPr>
      <w:spacing w:before="160"/>
      <w:jc w:val="center"/>
    </w:pPr>
    <w:rPr>
      <w:i/>
      <w:iCs/>
      <w:color w:val="404040" w:themeColor="text1" w:themeTint="BF"/>
    </w:rPr>
  </w:style>
  <w:style w:type="character" w:customStyle="1" w:styleId="QuoteChar">
    <w:name w:val="Quote Char"/>
    <w:basedOn w:val="DefaultParagraphFont"/>
    <w:link w:val="Quote"/>
    <w:uiPriority w:val="29"/>
    <w:rsid w:val="00335B29"/>
    <w:rPr>
      <w:i/>
      <w:iCs/>
      <w:color w:val="404040" w:themeColor="text1" w:themeTint="BF"/>
    </w:rPr>
  </w:style>
  <w:style w:type="paragraph" w:styleId="ListParagraph">
    <w:name w:val="List Paragraph"/>
    <w:basedOn w:val="Normal"/>
    <w:uiPriority w:val="1"/>
    <w:qFormat/>
    <w:rsid w:val="00335B29"/>
    <w:pPr>
      <w:ind w:left="720"/>
      <w:contextualSpacing/>
    </w:pPr>
  </w:style>
  <w:style w:type="character" w:styleId="IntenseEmphasis">
    <w:name w:val="Intense Emphasis"/>
    <w:basedOn w:val="DefaultParagraphFont"/>
    <w:uiPriority w:val="21"/>
    <w:qFormat/>
    <w:rsid w:val="00335B29"/>
    <w:rPr>
      <w:i/>
      <w:iCs/>
      <w:color w:val="2F5496" w:themeColor="accent1" w:themeShade="BF"/>
    </w:rPr>
  </w:style>
  <w:style w:type="paragraph" w:styleId="IntenseQuote">
    <w:name w:val="Intense Quote"/>
    <w:basedOn w:val="Normal"/>
    <w:next w:val="Normal"/>
    <w:link w:val="IntenseQuoteChar"/>
    <w:uiPriority w:val="30"/>
    <w:qFormat/>
    <w:rsid w:val="00335B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5B29"/>
    <w:rPr>
      <w:i/>
      <w:iCs/>
      <w:color w:val="2F5496" w:themeColor="accent1" w:themeShade="BF"/>
    </w:rPr>
  </w:style>
  <w:style w:type="character" w:styleId="IntenseReference">
    <w:name w:val="Intense Reference"/>
    <w:basedOn w:val="DefaultParagraphFont"/>
    <w:uiPriority w:val="32"/>
    <w:qFormat/>
    <w:rsid w:val="00335B29"/>
    <w:rPr>
      <w:b/>
      <w:bCs/>
      <w:smallCaps/>
      <w:color w:val="2F5496" w:themeColor="accent1" w:themeShade="BF"/>
      <w:spacing w:val="5"/>
    </w:rPr>
  </w:style>
  <w:style w:type="paragraph" w:styleId="FootnoteText">
    <w:name w:val="footnote text"/>
    <w:basedOn w:val="Normal"/>
    <w:link w:val="FootnoteTextChar"/>
    <w:uiPriority w:val="99"/>
    <w:semiHidden/>
    <w:unhideWhenUsed/>
    <w:rsid w:val="00335B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B29"/>
    <w:rPr>
      <w:sz w:val="20"/>
      <w:szCs w:val="20"/>
    </w:rPr>
  </w:style>
  <w:style w:type="character" w:styleId="FootnoteReference">
    <w:name w:val="footnote reference"/>
    <w:basedOn w:val="DefaultParagraphFont"/>
    <w:uiPriority w:val="99"/>
    <w:semiHidden/>
    <w:unhideWhenUsed/>
    <w:rsid w:val="00335B29"/>
    <w:rPr>
      <w:vertAlign w:val="superscript"/>
    </w:rPr>
  </w:style>
  <w:style w:type="paragraph" w:styleId="BodyText">
    <w:name w:val="Body Text"/>
    <w:basedOn w:val="Normal"/>
    <w:link w:val="BodyTextChar"/>
    <w:uiPriority w:val="1"/>
    <w:qFormat/>
    <w:rsid w:val="00335B29"/>
    <w:pPr>
      <w:widowControl w:val="0"/>
      <w:autoSpaceDE w:val="0"/>
      <w:autoSpaceDN w:val="0"/>
      <w:spacing w:after="0" w:line="240" w:lineRule="auto"/>
    </w:pPr>
    <w:rPr>
      <w:rFonts w:ascii="Times New Roman" w:eastAsia="Times New Roman" w:hAnsi="Times New Roman" w:cs="Times New Roman"/>
      <w:kern w:val="0"/>
      <w:lang w:val="id"/>
      <w14:ligatures w14:val="none"/>
    </w:rPr>
  </w:style>
  <w:style w:type="character" w:customStyle="1" w:styleId="BodyTextChar">
    <w:name w:val="Body Text Char"/>
    <w:basedOn w:val="DefaultParagraphFont"/>
    <w:link w:val="BodyText"/>
    <w:uiPriority w:val="1"/>
    <w:rsid w:val="00335B29"/>
    <w:rPr>
      <w:rFonts w:ascii="Times New Roman" w:eastAsia="Times New Roman" w:hAnsi="Times New Roman" w:cs="Times New Roman"/>
      <w:kern w:val="0"/>
      <w:lang w:val="id"/>
      <w14:ligatures w14:val="none"/>
    </w:rPr>
  </w:style>
  <w:style w:type="table" w:styleId="TableGrid">
    <w:name w:val="Table Grid"/>
    <w:basedOn w:val="TableNormal"/>
    <w:uiPriority w:val="39"/>
    <w:rsid w:val="00335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1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146"/>
  </w:style>
  <w:style w:type="paragraph" w:styleId="Footer">
    <w:name w:val="footer"/>
    <w:basedOn w:val="Normal"/>
    <w:link w:val="FooterChar"/>
    <w:uiPriority w:val="99"/>
    <w:unhideWhenUsed/>
    <w:rsid w:val="00A21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146"/>
  </w:style>
  <w:style w:type="paragraph" w:styleId="NormalWeb">
    <w:name w:val="Normal (Web)"/>
    <w:basedOn w:val="Normal"/>
    <w:uiPriority w:val="99"/>
    <w:semiHidden/>
    <w:unhideWhenUsed/>
    <w:rsid w:val="0065254D"/>
    <w:rPr>
      <w:rFonts w:ascii="Times New Roman" w:hAnsi="Times New Roman" w:cs="Times New Roman"/>
      <w:sz w:val="24"/>
      <w:szCs w:val="24"/>
    </w:rPr>
  </w:style>
  <w:style w:type="character" w:styleId="PlaceholderText">
    <w:name w:val="Placeholder Text"/>
    <w:basedOn w:val="DefaultParagraphFont"/>
    <w:uiPriority w:val="99"/>
    <w:semiHidden/>
    <w:rsid w:val="000909DA"/>
    <w:rPr>
      <w:color w:val="666666"/>
    </w:rPr>
  </w:style>
  <w:style w:type="character" w:styleId="Hyperlink">
    <w:name w:val="Hyperlink"/>
    <w:basedOn w:val="DefaultParagraphFont"/>
    <w:uiPriority w:val="99"/>
    <w:unhideWhenUsed/>
    <w:rsid w:val="001925D7"/>
    <w:rPr>
      <w:color w:val="0563C1" w:themeColor="hyperlink"/>
      <w:u w:val="single"/>
    </w:rPr>
  </w:style>
  <w:style w:type="character" w:styleId="UnresolvedMention">
    <w:name w:val="Unresolved Mention"/>
    <w:basedOn w:val="DefaultParagraphFont"/>
    <w:uiPriority w:val="99"/>
    <w:semiHidden/>
    <w:unhideWhenUsed/>
    <w:rsid w:val="001925D7"/>
    <w:rPr>
      <w:color w:val="605E5C"/>
      <w:shd w:val="clear" w:color="auto" w:fill="E1DFDD"/>
    </w:rPr>
  </w:style>
  <w:style w:type="paragraph" w:styleId="Caption">
    <w:name w:val="caption"/>
    <w:basedOn w:val="Normal"/>
    <w:next w:val="Normal"/>
    <w:uiPriority w:val="35"/>
    <w:unhideWhenUsed/>
    <w:qFormat/>
    <w:rsid w:val="00AA196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F7C0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F7C0B"/>
    <w:pPr>
      <w:spacing w:after="100"/>
    </w:pPr>
  </w:style>
  <w:style w:type="paragraph" w:styleId="TOC2">
    <w:name w:val="toc 2"/>
    <w:basedOn w:val="Normal"/>
    <w:next w:val="Normal"/>
    <w:autoRedefine/>
    <w:uiPriority w:val="39"/>
    <w:unhideWhenUsed/>
    <w:rsid w:val="008307E8"/>
    <w:pPr>
      <w:tabs>
        <w:tab w:val="left" w:pos="960"/>
        <w:tab w:val="right" w:leader="dot" w:pos="9016"/>
      </w:tabs>
      <w:spacing w:after="100"/>
      <w:ind w:left="220"/>
    </w:pPr>
    <w:rPr>
      <w:rFonts w:asciiTheme="majorBidi" w:hAnsiTheme="majorBidi"/>
      <w:noProof/>
      <w:lang w:val="pt-BR"/>
    </w:rPr>
  </w:style>
  <w:style w:type="paragraph" w:styleId="TOC3">
    <w:name w:val="toc 3"/>
    <w:basedOn w:val="Normal"/>
    <w:next w:val="Normal"/>
    <w:autoRedefine/>
    <w:uiPriority w:val="39"/>
    <w:unhideWhenUsed/>
    <w:rsid w:val="007F7C0B"/>
    <w:pPr>
      <w:spacing w:after="100"/>
      <w:ind w:left="440"/>
    </w:pPr>
  </w:style>
  <w:style w:type="paragraph" w:styleId="TableofFigures">
    <w:name w:val="table of figures"/>
    <w:basedOn w:val="Normal"/>
    <w:next w:val="Normal"/>
    <w:uiPriority w:val="99"/>
    <w:unhideWhenUsed/>
    <w:rsid w:val="006F2719"/>
    <w:pPr>
      <w:spacing w:after="0"/>
    </w:pPr>
  </w:style>
  <w:style w:type="paragraph" w:customStyle="1" w:styleId="TableParagraph">
    <w:name w:val="Table Paragraph"/>
    <w:basedOn w:val="Normal"/>
    <w:uiPriority w:val="1"/>
    <w:qFormat/>
    <w:rsid w:val="003D2604"/>
    <w:pPr>
      <w:widowControl w:val="0"/>
      <w:autoSpaceDE w:val="0"/>
      <w:autoSpaceDN w:val="0"/>
      <w:spacing w:after="0" w:line="270" w:lineRule="exact"/>
      <w:jc w:val="center"/>
    </w:pPr>
    <w:rPr>
      <w:rFonts w:ascii="Times New Roman" w:eastAsia="Times New Roman" w:hAnsi="Times New Roman" w:cs="Times New Roman"/>
      <w:kern w:val="0"/>
      <w:lang w:val="m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44279">
      <w:bodyDiv w:val="1"/>
      <w:marLeft w:val="0"/>
      <w:marRight w:val="0"/>
      <w:marTop w:val="0"/>
      <w:marBottom w:val="0"/>
      <w:divBdr>
        <w:top w:val="none" w:sz="0" w:space="0" w:color="auto"/>
        <w:left w:val="none" w:sz="0" w:space="0" w:color="auto"/>
        <w:bottom w:val="none" w:sz="0" w:space="0" w:color="auto"/>
        <w:right w:val="none" w:sz="0" w:space="0" w:color="auto"/>
      </w:divBdr>
    </w:div>
    <w:div w:id="76291044">
      <w:bodyDiv w:val="1"/>
      <w:marLeft w:val="0"/>
      <w:marRight w:val="0"/>
      <w:marTop w:val="0"/>
      <w:marBottom w:val="0"/>
      <w:divBdr>
        <w:top w:val="none" w:sz="0" w:space="0" w:color="auto"/>
        <w:left w:val="none" w:sz="0" w:space="0" w:color="auto"/>
        <w:bottom w:val="none" w:sz="0" w:space="0" w:color="auto"/>
        <w:right w:val="none" w:sz="0" w:space="0" w:color="auto"/>
      </w:divBdr>
    </w:div>
    <w:div w:id="110973682">
      <w:bodyDiv w:val="1"/>
      <w:marLeft w:val="0"/>
      <w:marRight w:val="0"/>
      <w:marTop w:val="0"/>
      <w:marBottom w:val="0"/>
      <w:divBdr>
        <w:top w:val="none" w:sz="0" w:space="0" w:color="auto"/>
        <w:left w:val="none" w:sz="0" w:space="0" w:color="auto"/>
        <w:bottom w:val="none" w:sz="0" w:space="0" w:color="auto"/>
        <w:right w:val="none" w:sz="0" w:space="0" w:color="auto"/>
      </w:divBdr>
    </w:div>
    <w:div w:id="179974168">
      <w:bodyDiv w:val="1"/>
      <w:marLeft w:val="0"/>
      <w:marRight w:val="0"/>
      <w:marTop w:val="0"/>
      <w:marBottom w:val="0"/>
      <w:divBdr>
        <w:top w:val="none" w:sz="0" w:space="0" w:color="auto"/>
        <w:left w:val="none" w:sz="0" w:space="0" w:color="auto"/>
        <w:bottom w:val="none" w:sz="0" w:space="0" w:color="auto"/>
        <w:right w:val="none" w:sz="0" w:space="0" w:color="auto"/>
      </w:divBdr>
    </w:div>
    <w:div w:id="226573255">
      <w:bodyDiv w:val="1"/>
      <w:marLeft w:val="0"/>
      <w:marRight w:val="0"/>
      <w:marTop w:val="0"/>
      <w:marBottom w:val="0"/>
      <w:divBdr>
        <w:top w:val="none" w:sz="0" w:space="0" w:color="auto"/>
        <w:left w:val="none" w:sz="0" w:space="0" w:color="auto"/>
        <w:bottom w:val="none" w:sz="0" w:space="0" w:color="auto"/>
        <w:right w:val="none" w:sz="0" w:space="0" w:color="auto"/>
      </w:divBdr>
    </w:div>
    <w:div w:id="231745587">
      <w:bodyDiv w:val="1"/>
      <w:marLeft w:val="0"/>
      <w:marRight w:val="0"/>
      <w:marTop w:val="0"/>
      <w:marBottom w:val="0"/>
      <w:divBdr>
        <w:top w:val="none" w:sz="0" w:space="0" w:color="auto"/>
        <w:left w:val="none" w:sz="0" w:space="0" w:color="auto"/>
        <w:bottom w:val="none" w:sz="0" w:space="0" w:color="auto"/>
        <w:right w:val="none" w:sz="0" w:space="0" w:color="auto"/>
      </w:divBdr>
    </w:div>
    <w:div w:id="274597589">
      <w:bodyDiv w:val="1"/>
      <w:marLeft w:val="0"/>
      <w:marRight w:val="0"/>
      <w:marTop w:val="0"/>
      <w:marBottom w:val="0"/>
      <w:divBdr>
        <w:top w:val="none" w:sz="0" w:space="0" w:color="auto"/>
        <w:left w:val="none" w:sz="0" w:space="0" w:color="auto"/>
        <w:bottom w:val="none" w:sz="0" w:space="0" w:color="auto"/>
        <w:right w:val="none" w:sz="0" w:space="0" w:color="auto"/>
      </w:divBdr>
    </w:div>
    <w:div w:id="292709419">
      <w:bodyDiv w:val="1"/>
      <w:marLeft w:val="0"/>
      <w:marRight w:val="0"/>
      <w:marTop w:val="0"/>
      <w:marBottom w:val="0"/>
      <w:divBdr>
        <w:top w:val="none" w:sz="0" w:space="0" w:color="auto"/>
        <w:left w:val="none" w:sz="0" w:space="0" w:color="auto"/>
        <w:bottom w:val="none" w:sz="0" w:space="0" w:color="auto"/>
        <w:right w:val="none" w:sz="0" w:space="0" w:color="auto"/>
      </w:divBdr>
    </w:div>
    <w:div w:id="311637149">
      <w:bodyDiv w:val="1"/>
      <w:marLeft w:val="0"/>
      <w:marRight w:val="0"/>
      <w:marTop w:val="0"/>
      <w:marBottom w:val="0"/>
      <w:divBdr>
        <w:top w:val="none" w:sz="0" w:space="0" w:color="auto"/>
        <w:left w:val="none" w:sz="0" w:space="0" w:color="auto"/>
        <w:bottom w:val="none" w:sz="0" w:space="0" w:color="auto"/>
        <w:right w:val="none" w:sz="0" w:space="0" w:color="auto"/>
      </w:divBdr>
    </w:div>
    <w:div w:id="358776366">
      <w:bodyDiv w:val="1"/>
      <w:marLeft w:val="0"/>
      <w:marRight w:val="0"/>
      <w:marTop w:val="0"/>
      <w:marBottom w:val="0"/>
      <w:divBdr>
        <w:top w:val="none" w:sz="0" w:space="0" w:color="auto"/>
        <w:left w:val="none" w:sz="0" w:space="0" w:color="auto"/>
        <w:bottom w:val="none" w:sz="0" w:space="0" w:color="auto"/>
        <w:right w:val="none" w:sz="0" w:space="0" w:color="auto"/>
      </w:divBdr>
    </w:div>
    <w:div w:id="427193079">
      <w:bodyDiv w:val="1"/>
      <w:marLeft w:val="0"/>
      <w:marRight w:val="0"/>
      <w:marTop w:val="0"/>
      <w:marBottom w:val="0"/>
      <w:divBdr>
        <w:top w:val="none" w:sz="0" w:space="0" w:color="auto"/>
        <w:left w:val="none" w:sz="0" w:space="0" w:color="auto"/>
        <w:bottom w:val="none" w:sz="0" w:space="0" w:color="auto"/>
        <w:right w:val="none" w:sz="0" w:space="0" w:color="auto"/>
      </w:divBdr>
    </w:div>
    <w:div w:id="448015193">
      <w:bodyDiv w:val="1"/>
      <w:marLeft w:val="0"/>
      <w:marRight w:val="0"/>
      <w:marTop w:val="0"/>
      <w:marBottom w:val="0"/>
      <w:divBdr>
        <w:top w:val="none" w:sz="0" w:space="0" w:color="auto"/>
        <w:left w:val="none" w:sz="0" w:space="0" w:color="auto"/>
        <w:bottom w:val="none" w:sz="0" w:space="0" w:color="auto"/>
        <w:right w:val="none" w:sz="0" w:space="0" w:color="auto"/>
      </w:divBdr>
    </w:div>
    <w:div w:id="624310451">
      <w:bodyDiv w:val="1"/>
      <w:marLeft w:val="0"/>
      <w:marRight w:val="0"/>
      <w:marTop w:val="0"/>
      <w:marBottom w:val="0"/>
      <w:divBdr>
        <w:top w:val="none" w:sz="0" w:space="0" w:color="auto"/>
        <w:left w:val="none" w:sz="0" w:space="0" w:color="auto"/>
        <w:bottom w:val="none" w:sz="0" w:space="0" w:color="auto"/>
        <w:right w:val="none" w:sz="0" w:space="0" w:color="auto"/>
      </w:divBdr>
      <w:divsChild>
        <w:div w:id="1037699306">
          <w:marLeft w:val="0"/>
          <w:marRight w:val="0"/>
          <w:marTop w:val="0"/>
          <w:marBottom w:val="0"/>
          <w:divBdr>
            <w:top w:val="none" w:sz="0" w:space="0" w:color="auto"/>
            <w:left w:val="none" w:sz="0" w:space="0" w:color="auto"/>
            <w:bottom w:val="none" w:sz="0" w:space="0" w:color="auto"/>
            <w:right w:val="none" w:sz="0" w:space="0" w:color="auto"/>
          </w:divBdr>
        </w:div>
      </w:divsChild>
    </w:div>
    <w:div w:id="628627559">
      <w:bodyDiv w:val="1"/>
      <w:marLeft w:val="0"/>
      <w:marRight w:val="0"/>
      <w:marTop w:val="0"/>
      <w:marBottom w:val="0"/>
      <w:divBdr>
        <w:top w:val="none" w:sz="0" w:space="0" w:color="auto"/>
        <w:left w:val="none" w:sz="0" w:space="0" w:color="auto"/>
        <w:bottom w:val="none" w:sz="0" w:space="0" w:color="auto"/>
        <w:right w:val="none" w:sz="0" w:space="0" w:color="auto"/>
      </w:divBdr>
    </w:div>
    <w:div w:id="712385573">
      <w:bodyDiv w:val="1"/>
      <w:marLeft w:val="0"/>
      <w:marRight w:val="0"/>
      <w:marTop w:val="0"/>
      <w:marBottom w:val="0"/>
      <w:divBdr>
        <w:top w:val="none" w:sz="0" w:space="0" w:color="auto"/>
        <w:left w:val="none" w:sz="0" w:space="0" w:color="auto"/>
        <w:bottom w:val="none" w:sz="0" w:space="0" w:color="auto"/>
        <w:right w:val="none" w:sz="0" w:space="0" w:color="auto"/>
      </w:divBdr>
    </w:div>
    <w:div w:id="786585003">
      <w:bodyDiv w:val="1"/>
      <w:marLeft w:val="0"/>
      <w:marRight w:val="0"/>
      <w:marTop w:val="0"/>
      <w:marBottom w:val="0"/>
      <w:divBdr>
        <w:top w:val="none" w:sz="0" w:space="0" w:color="auto"/>
        <w:left w:val="none" w:sz="0" w:space="0" w:color="auto"/>
        <w:bottom w:val="none" w:sz="0" w:space="0" w:color="auto"/>
        <w:right w:val="none" w:sz="0" w:space="0" w:color="auto"/>
      </w:divBdr>
    </w:div>
    <w:div w:id="789007678">
      <w:bodyDiv w:val="1"/>
      <w:marLeft w:val="0"/>
      <w:marRight w:val="0"/>
      <w:marTop w:val="0"/>
      <w:marBottom w:val="0"/>
      <w:divBdr>
        <w:top w:val="none" w:sz="0" w:space="0" w:color="auto"/>
        <w:left w:val="none" w:sz="0" w:space="0" w:color="auto"/>
        <w:bottom w:val="none" w:sz="0" w:space="0" w:color="auto"/>
        <w:right w:val="none" w:sz="0" w:space="0" w:color="auto"/>
      </w:divBdr>
    </w:div>
    <w:div w:id="834145948">
      <w:bodyDiv w:val="1"/>
      <w:marLeft w:val="0"/>
      <w:marRight w:val="0"/>
      <w:marTop w:val="0"/>
      <w:marBottom w:val="0"/>
      <w:divBdr>
        <w:top w:val="none" w:sz="0" w:space="0" w:color="auto"/>
        <w:left w:val="none" w:sz="0" w:space="0" w:color="auto"/>
        <w:bottom w:val="none" w:sz="0" w:space="0" w:color="auto"/>
        <w:right w:val="none" w:sz="0" w:space="0" w:color="auto"/>
      </w:divBdr>
    </w:div>
    <w:div w:id="858667987">
      <w:bodyDiv w:val="1"/>
      <w:marLeft w:val="0"/>
      <w:marRight w:val="0"/>
      <w:marTop w:val="0"/>
      <w:marBottom w:val="0"/>
      <w:divBdr>
        <w:top w:val="none" w:sz="0" w:space="0" w:color="auto"/>
        <w:left w:val="none" w:sz="0" w:space="0" w:color="auto"/>
        <w:bottom w:val="none" w:sz="0" w:space="0" w:color="auto"/>
        <w:right w:val="none" w:sz="0" w:space="0" w:color="auto"/>
      </w:divBdr>
    </w:div>
    <w:div w:id="861747301">
      <w:bodyDiv w:val="1"/>
      <w:marLeft w:val="0"/>
      <w:marRight w:val="0"/>
      <w:marTop w:val="0"/>
      <w:marBottom w:val="0"/>
      <w:divBdr>
        <w:top w:val="none" w:sz="0" w:space="0" w:color="auto"/>
        <w:left w:val="none" w:sz="0" w:space="0" w:color="auto"/>
        <w:bottom w:val="none" w:sz="0" w:space="0" w:color="auto"/>
        <w:right w:val="none" w:sz="0" w:space="0" w:color="auto"/>
      </w:divBdr>
    </w:div>
    <w:div w:id="867837056">
      <w:bodyDiv w:val="1"/>
      <w:marLeft w:val="0"/>
      <w:marRight w:val="0"/>
      <w:marTop w:val="0"/>
      <w:marBottom w:val="0"/>
      <w:divBdr>
        <w:top w:val="none" w:sz="0" w:space="0" w:color="auto"/>
        <w:left w:val="none" w:sz="0" w:space="0" w:color="auto"/>
        <w:bottom w:val="none" w:sz="0" w:space="0" w:color="auto"/>
        <w:right w:val="none" w:sz="0" w:space="0" w:color="auto"/>
      </w:divBdr>
    </w:div>
    <w:div w:id="882867526">
      <w:bodyDiv w:val="1"/>
      <w:marLeft w:val="0"/>
      <w:marRight w:val="0"/>
      <w:marTop w:val="0"/>
      <w:marBottom w:val="0"/>
      <w:divBdr>
        <w:top w:val="none" w:sz="0" w:space="0" w:color="auto"/>
        <w:left w:val="none" w:sz="0" w:space="0" w:color="auto"/>
        <w:bottom w:val="none" w:sz="0" w:space="0" w:color="auto"/>
        <w:right w:val="none" w:sz="0" w:space="0" w:color="auto"/>
      </w:divBdr>
    </w:div>
    <w:div w:id="1012419227">
      <w:bodyDiv w:val="1"/>
      <w:marLeft w:val="0"/>
      <w:marRight w:val="0"/>
      <w:marTop w:val="0"/>
      <w:marBottom w:val="0"/>
      <w:divBdr>
        <w:top w:val="none" w:sz="0" w:space="0" w:color="auto"/>
        <w:left w:val="none" w:sz="0" w:space="0" w:color="auto"/>
        <w:bottom w:val="none" w:sz="0" w:space="0" w:color="auto"/>
        <w:right w:val="none" w:sz="0" w:space="0" w:color="auto"/>
      </w:divBdr>
    </w:div>
    <w:div w:id="1026322749">
      <w:bodyDiv w:val="1"/>
      <w:marLeft w:val="0"/>
      <w:marRight w:val="0"/>
      <w:marTop w:val="0"/>
      <w:marBottom w:val="0"/>
      <w:divBdr>
        <w:top w:val="none" w:sz="0" w:space="0" w:color="auto"/>
        <w:left w:val="none" w:sz="0" w:space="0" w:color="auto"/>
        <w:bottom w:val="none" w:sz="0" w:space="0" w:color="auto"/>
        <w:right w:val="none" w:sz="0" w:space="0" w:color="auto"/>
      </w:divBdr>
    </w:div>
    <w:div w:id="1113554199">
      <w:bodyDiv w:val="1"/>
      <w:marLeft w:val="0"/>
      <w:marRight w:val="0"/>
      <w:marTop w:val="0"/>
      <w:marBottom w:val="0"/>
      <w:divBdr>
        <w:top w:val="none" w:sz="0" w:space="0" w:color="auto"/>
        <w:left w:val="none" w:sz="0" w:space="0" w:color="auto"/>
        <w:bottom w:val="none" w:sz="0" w:space="0" w:color="auto"/>
        <w:right w:val="none" w:sz="0" w:space="0" w:color="auto"/>
      </w:divBdr>
    </w:div>
    <w:div w:id="1134638006">
      <w:bodyDiv w:val="1"/>
      <w:marLeft w:val="0"/>
      <w:marRight w:val="0"/>
      <w:marTop w:val="0"/>
      <w:marBottom w:val="0"/>
      <w:divBdr>
        <w:top w:val="none" w:sz="0" w:space="0" w:color="auto"/>
        <w:left w:val="none" w:sz="0" w:space="0" w:color="auto"/>
        <w:bottom w:val="none" w:sz="0" w:space="0" w:color="auto"/>
        <w:right w:val="none" w:sz="0" w:space="0" w:color="auto"/>
      </w:divBdr>
    </w:div>
    <w:div w:id="1146900277">
      <w:bodyDiv w:val="1"/>
      <w:marLeft w:val="0"/>
      <w:marRight w:val="0"/>
      <w:marTop w:val="0"/>
      <w:marBottom w:val="0"/>
      <w:divBdr>
        <w:top w:val="none" w:sz="0" w:space="0" w:color="auto"/>
        <w:left w:val="none" w:sz="0" w:space="0" w:color="auto"/>
        <w:bottom w:val="none" w:sz="0" w:space="0" w:color="auto"/>
        <w:right w:val="none" w:sz="0" w:space="0" w:color="auto"/>
      </w:divBdr>
      <w:divsChild>
        <w:div w:id="1536573823">
          <w:marLeft w:val="0"/>
          <w:marRight w:val="0"/>
          <w:marTop w:val="0"/>
          <w:marBottom w:val="0"/>
          <w:divBdr>
            <w:top w:val="none" w:sz="0" w:space="0" w:color="auto"/>
            <w:left w:val="none" w:sz="0" w:space="0" w:color="auto"/>
            <w:bottom w:val="none" w:sz="0" w:space="0" w:color="auto"/>
            <w:right w:val="none" w:sz="0" w:space="0" w:color="auto"/>
          </w:divBdr>
        </w:div>
      </w:divsChild>
    </w:div>
    <w:div w:id="1180582659">
      <w:bodyDiv w:val="1"/>
      <w:marLeft w:val="0"/>
      <w:marRight w:val="0"/>
      <w:marTop w:val="0"/>
      <w:marBottom w:val="0"/>
      <w:divBdr>
        <w:top w:val="none" w:sz="0" w:space="0" w:color="auto"/>
        <w:left w:val="none" w:sz="0" w:space="0" w:color="auto"/>
        <w:bottom w:val="none" w:sz="0" w:space="0" w:color="auto"/>
        <w:right w:val="none" w:sz="0" w:space="0" w:color="auto"/>
      </w:divBdr>
      <w:divsChild>
        <w:div w:id="274992451">
          <w:marLeft w:val="0"/>
          <w:marRight w:val="0"/>
          <w:marTop w:val="0"/>
          <w:marBottom w:val="0"/>
          <w:divBdr>
            <w:top w:val="none" w:sz="0" w:space="0" w:color="auto"/>
            <w:left w:val="none" w:sz="0" w:space="0" w:color="auto"/>
            <w:bottom w:val="none" w:sz="0" w:space="0" w:color="auto"/>
            <w:right w:val="none" w:sz="0" w:space="0" w:color="auto"/>
          </w:divBdr>
        </w:div>
      </w:divsChild>
    </w:div>
    <w:div w:id="1200823531">
      <w:bodyDiv w:val="1"/>
      <w:marLeft w:val="0"/>
      <w:marRight w:val="0"/>
      <w:marTop w:val="0"/>
      <w:marBottom w:val="0"/>
      <w:divBdr>
        <w:top w:val="none" w:sz="0" w:space="0" w:color="auto"/>
        <w:left w:val="none" w:sz="0" w:space="0" w:color="auto"/>
        <w:bottom w:val="none" w:sz="0" w:space="0" w:color="auto"/>
        <w:right w:val="none" w:sz="0" w:space="0" w:color="auto"/>
      </w:divBdr>
    </w:div>
    <w:div w:id="1214272005">
      <w:bodyDiv w:val="1"/>
      <w:marLeft w:val="0"/>
      <w:marRight w:val="0"/>
      <w:marTop w:val="0"/>
      <w:marBottom w:val="0"/>
      <w:divBdr>
        <w:top w:val="none" w:sz="0" w:space="0" w:color="auto"/>
        <w:left w:val="none" w:sz="0" w:space="0" w:color="auto"/>
        <w:bottom w:val="none" w:sz="0" w:space="0" w:color="auto"/>
        <w:right w:val="none" w:sz="0" w:space="0" w:color="auto"/>
      </w:divBdr>
    </w:div>
    <w:div w:id="1232808645">
      <w:bodyDiv w:val="1"/>
      <w:marLeft w:val="0"/>
      <w:marRight w:val="0"/>
      <w:marTop w:val="0"/>
      <w:marBottom w:val="0"/>
      <w:divBdr>
        <w:top w:val="none" w:sz="0" w:space="0" w:color="auto"/>
        <w:left w:val="none" w:sz="0" w:space="0" w:color="auto"/>
        <w:bottom w:val="none" w:sz="0" w:space="0" w:color="auto"/>
        <w:right w:val="none" w:sz="0" w:space="0" w:color="auto"/>
      </w:divBdr>
    </w:div>
    <w:div w:id="1264613312">
      <w:bodyDiv w:val="1"/>
      <w:marLeft w:val="0"/>
      <w:marRight w:val="0"/>
      <w:marTop w:val="0"/>
      <w:marBottom w:val="0"/>
      <w:divBdr>
        <w:top w:val="none" w:sz="0" w:space="0" w:color="auto"/>
        <w:left w:val="none" w:sz="0" w:space="0" w:color="auto"/>
        <w:bottom w:val="none" w:sz="0" w:space="0" w:color="auto"/>
        <w:right w:val="none" w:sz="0" w:space="0" w:color="auto"/>
      </w:divBdr>
    </w:div>
    <w:div w:id="1296644464">
      <w:bodyDiv w:val="1"/>
      <w:marLeft w:val="0"/>
      <w:marRight w:val="0"/>
      <w:marTop w:val="0"/>
      <w:marBottom w:val="0"/>
      <w:divBdr>
        <w:top w:val="none" w:sz="0" w:space="0" w:color="auto"/>
        <w:left w:val="none" w:sz="0" w:space="0" w:color="auto"/>
        <w:bottom w:val="none" w:sz="0" w:space="0" w:color="auto"/>
        <w:right w:val="none" w:sz="0" w:space="0" w:color="auto"/>
      </w:divBdr>
    </w:div>
    <w:div w:id="1318219062">
      <w:bodyDiv w:val="1"/>
      <w:marLeft w:val="0"/>
      <w:marRight w:val="0"/>
      <w:marTop w:val="0"/>
      <w:marBottom w:val="0"/>
      <w:divBdr>
        <w:top w:val="none" w:sz="0" w:space="0" w:color="auto"/>
        <w:left w:val="none" w:sz="0" w:space="0" w:color="auto"/>
        <w:bottom w:val="none" w:sz="0" w:space="0" w:color="auto"/>
        <w:right w:val="none" w:sz="0" w:space="0" w:color="auto"/>
      </w:divBdr>
    </w:div>
    <w:div w:id="1525555756">
      <w:bodyDiv w:val="1"/>
      <w:marLeft w:val="0"/>
      <w:marRight w:val="0"/>
      <w:marTop w:val="0"/>
      <w:marBottom w:val="0"/>
      <w:divBdr>
        <w:top w:val="none" w:sz="0" w:space="0" w:color="auto"/>
        <w:left w:val="none" w:sz="0" w:space="0" w:color="auto"/>
        <w:bottom w:val="none" w:sz="0" w:space="0" w:color="auto"/>
        <w:right w:val="none" w:sz="0" w:space="0" w:color="auto"/>
      </w:divBdr>
      <w:divsChild>
        <w:div w:id="2068796777">
          <w:marLeft w:val="0"/>
          <w:marRight w:val="0"/>
          <w:marTop w:val="0"/>
          <w:marBottom w:val="0"/>
          <w:divBdr>
            <w:top w:val="none" w:sz="0" w:space="0" w:color="auto"/>
            <w:left w:val="none" w:sz="0" w:space="0" w:color="auto"/>
            <w:bottom w:val="none" w:sz="0" w:space="0" w:color="auto"/>
            <w:right w:val="none" w:sz="0" w:space="0" w:color="auto"/>
          </w:divBdr>
        </w:div>
      </w:divsChild>
    </w:div>
    <w:div w:id="1571847536">
      <w:bodyDiv w:val="1"/>
      <w:marLeft w:val="0"/>
      <w:marRight w:val="0"/>
      <w:marTop w:val="0"/>
      <w:marBottom w:val="0"/>
      <w:divBdr>
        <w:top w:val="none" w:sz="0" w:space="0" w:color="auto"/>
        <w:left w:val="none" w:sz="0" w:space="0" w:color="auto"/>
        <w:bottom w:val="none" w:sz="0" w:space="0" w:color="auto"/>
        <w:right w:val="none" w:sz="0" w:space="0" w:color="auto"/>
      </w:divBdr>
    </w:div>
    <w:div w:id="1577477070">
      <w:bodyDiv w:val="1"/>
      <w:marLeft w:val="0"/>
      <w:marRight w:val="0"/>
      <w:marTop w:val="0"/>
      <w:marBottom w:val="0"/>
      <w:divBdr>
        <w:top w:val="none" w:sz="0" w:space="0" w:color="auto"/>
        <w:left w:val="none" w:sz="0" w:space="0" w:color="auto"/>
        <w:bottom w:val="none" w:sz="0" w:space="0" w:color="auto"/>
        <w:right w:val="none" w:sz="0" w:space="0" w:color="auto"/>
      </w:divBdr>
    </w:div>
    <w:div w:id="1581988289">
      <w:bodyDiv w:val="1"/>
      <w:marLeft w:val="0"/>
      <w:marRight w:val="0"/>
      <w:marTop w:val="0"/>
      <w:marBottom w:val="0"/>
      <w:divBdr>
        <w:top w:val="none" w:sz="0" w:space="0" w:color="auto"/>
        <w:left w:val="none" w:sz="0" w:space="0" w:color="auto"/>
        <w:bottom w:val="none" w:sz="0" w:space="0" w:color="auto"/>
        <w:right w:val="none" w:sz="0" w:space="0" w:color="auto"/>
      </w:divBdr>
    </w:div>
    <w:div w:id="1640761255">
      <w:bodyDiv w:val="1"/>
      <w:marLeft w:val="0"/>
      <w:marRight w:val="0"/>
      <w:marTop w:val="0"/>
      <w:marBottom w:val="0"/>
      <w:divBdr>
        <w:top w:val="none" w:sz="0" w:space="0" w:color="auto"/>
        <w:left w:val="none" w:sz="0" w:space="0" w:color="auto"/>
        <w:bottom w:val="none" w:sz="0" w:space="0" w:color="auto"/>
        <w:right w:val="none" w:sz="0" w:space="0" w:color="auto"/>
      </w:divBdr>
    </w:div>
    <w:div w:id="1652638514">
      <w:bodyDiv w:val="1"/>
      <w:marLeft w:val="0"/>
      <w:marRight w:val="0"/>
      <w:marTop w:val="0"/>
      <w:marBottom w:val="0"/>
      <w:divBdr>
        <w:top w:val="none" w:sz="0" w:space="0" w:color="auto"/>
        <w:left w:val="none" w:sz="0" w:space="0" w:color="auto"/>
        <w:bottom w:val="none" w:sz="0" w:space="0" w:color="auto"/>
        <w:right w:val="none" w:sz="0" w:space="0" w:color="auto"/>
      </w:divBdr>
    </w:div>
    <w:div w:id="1698853807">
      <w:bodyDiv w:val="1"/>
      <w:marLeft w:val="0"/>
      <w:marRight w:val="0"/>
      <w:marTop w:val="0"/>
      <w:marBottom w:val="0"/>
      <w:divBdr>
        <w:top w:val="none" w:sz="0" w:space="0" w:color="auto"/>
        <w:left w:val="none" w:sz="0" w:space="0" w:color="auto"/>
        <w:bottom w:val="none" w:sz="0" w:space="0" w:color="auto"/>
        <w:right w:val="none" w:sz="0" w:space="0" w:color="auto"/>
      </w:divBdr>
      <w:divsChild>
        <w:div w:id="856189220">
          <w:marLeft w:val="0"/>
          <w:marRight w:val="0"/>
          <w:marTop w:val="0"/>
          <w:marBottom w:val="0"/>
          <w:divBdr>
            <w:top w:val="none" w:sz="0" w:space="0" w:color="auto"/>
            <w:left w:val="none" w:sz="0" w:space="0" w:color="auto"/>
            <w:bottom w:val="none" w:sz="0" w:space="0" w:color="auto"/>
            <w:right w:val="none" w:sz="0" w:space="0" w:color="auto"/>
          </w:divBdr>
        </w:div>
      </w:divsChild>
    </w:div>
    <w:div w:id="1747218481">
      <w:bodyDiv w:val="1"/>
      <w:marLeft w:val="0"/>
      <w:marRight w:val="0"/>
      <w:marTop w:val="0"/>
      <w:marBottom w:val="0"/>
      <w:divBdr>
        <w:top w:val="none" w:sz="0" w:space="0" w:color="auto"/>
        <w:left w:val="none" w:sz="0" w:space="0" w:color="auto"/>
        <w:bottom w:val="none" w:sz="0" w:space="0" w:color="auto"/>
        <w:right w:val="none" w:sz="0" w:space="0" w:color="auto"/>
      </w:divBdr>
      <w:divsChild>
        <w:div w:id="1046416941">
          <w:marLeft w:val="0"/>
          <w:marRight w:val="0"/>
          <w:marTop w:val="0"/>
          <w:marBottom w:val="0"/>
          <w:divBdr>
            <w:top w:val="none" w:sz="0" w:space="0" w:color="auto"/>
            <w:left w:val="none" w:sz="0" w:space="0" w:color="auto"/>
            <w:bottom w:val="none" w:sz="0" w:space="0" w:color="auto"/>
            <w:right w:val="none" w:sz="0" w:space="0" w:color="auto"/>
          </w:divBdr>
        </w:div>
      </w:divsChild>
    </w:div>
    <w:div w:id="1867138190">
      <w:bodyDiv w:val="1"/>
      <w:marLeft w:val="0"/>
      <w:marRight w:val="0"/>
      <w:marTop w:val="0"/>
      <w:marBottom w:val="0"/>
      <w:divBdr>
        <w:top w:val="none" w:sz="0" w:space="0" w:color="auto"/>
        <w:left w:val="none" w:sz="0" w:space="0" w:color="auto"/>
        <w:bottom w:val="none" w:sz="0" w:space="0" w:color="auto"/>
        <w:right w:val="none" w:sz="0" w:space="0" w:color="auto"/>
      </w:divBdr>
    </w:div>
    <w:div w:id="1870293840">
      <w:bodyDiv w:val="1"/>
      <w:marLeft w:val="0"/>
      <w:marRight w:val="0"/>
      <w:marTop w:val="0"/>
      <w:marBottom w:val="0"/>
      <w:divBdr>
        <w:top w:val="none" w:sz="0" w:space="0" w:color="auto"/>
        <w:left w:val="none" w:sz="0" w:space="0" w:color="auto"/>
        <w:bottom w:val="none" w:sz="0" w:space="0" w:color="auto"/>
        <w:right w:val="none" w:sz="0" w:space="0" w:color="auto"/>
      </w:divBdr>
    </w:div>
    <w:div w:id="1870294295">
      <w:bodyDiv w:val="1"/>
      <w:marLeft w:val="0"/>
      <w:marRight w:val="0"/>
      <w:marTop w:val="0"/>
      <w:marBottom w:val="0"/>
      <w:divBdr>
        <w:top w:val="none" w:sz="0" w:space="0" w:color="auto"/>
        <w:left w:val="none" w:sz="0" w:space="0" w:color="auto"/>
        <w:bottom w:val="none" w:sz="0" w:space="0" w:color="auto"/>
        <w:right w:val="none" w:sz="0" w:space="0" w:color="auto"/>
      </w:divBdr>
    </w:div>
    <w:div w:id="1900942730">
      <w:bodyDiv w:val="1"/>
      <w:marLeft w:val="0"/>
      <w:marRight w:val="0"/>
      <w:marTop w:val="0"/>
      <w:marBottom w:val="0"/>
      <w:divBdr>
        <w:top w:val="none" w:sz="0" w:space="0" w:color="auto"/>
        <w:left w:val="none" w:sz="0" w:space="0" w:color="auto"/>
        <w:bottom w:val="none" w:sz="0" w:space="0" w:color="auto"/>
        <w:right w:val="none" w:sz="0" w:space="0" w:color="auto"/>
      </w:divBdr>
    </w:div>
    <w:div w:id="1933272215">
      <w:bodyDiv w:val="1"/>
      <w:marLeft w:val="0"/>
      <w:marRight w:val="0"/>
      <w:marTop w:val="0"/>
      <w:marBottom w:val="0"/>
      <w:divBdr>
        <w:top w:val="none" w:sz="0" w:space="0" w:color="auto"/>
        <w:left w:val="none" w:sz="0" w:space="0" w:color="auto"/>
        <w:bottom w:val="none" w:sz="0" w:space="0" w:color="auto"/>
        <w:right w:val="none" w:sz="0" w:space="0" w:color="auto"/>
      </w:divBdr>
    </w:div>
    <w:div w:id="1948734256">
      <w:bodyDiv w:val="1"/>
      <w:marLeft w:val="0"/>
      <w:marRight w:val="0"/>
      <w:marTop w:val="0"/>
      <w:marBottom w:val="0"/>
      <w:divBdr>
        <w:top w:val="none" w:sz="0" w:space="0" w:color="auto"/>
        <w:left w:val="none" w:sz="0" w:space="0" w:color="auto"/>
        <w:bottom w:val="none" w:sz="0" w:space="0" w:color="auto"/>
        <w:right w:val="none" w:sz="0" w:space="0" w:color="auto"/>
      </w:divBdr>
    </w:div>
    <w:div w:id="1949266034">
      <w:bodyDiv w:val="1"/>
      <w:marLeft w:val="0"/>
      <w:marRight w:val="0"/>
      <w:marTop w:val="0"/>
      <w:marBottom w:val="0"/>
      <w:divBdr>
        <w:top w:val="none" w:sz="0" w:space="0" w:color="auto"/>
        <w:left w:val="none" w:sz="0" w:space="0" w:color="auto"/>
        <w:bottom w:val="none" w:sz="0" w:space="0" w:color="auto"/>
        <w:right w:val="none" w:sz="0" w:space="0" w:color="auto"/>
      </w:divBdr>
    </w:div>
    <w:div w:id="1979650228">
      <w:bodyDiv w:val="1"/>
      <w:marLeft w:val="0"/>
      <w:marRight w:val="0"/>
      <w:marTop w:val="0"/>
      <w:marBottom w:val="0"/>
      <w:divBdr>
        <w:top w:val="none" w:sz="0" w:space="0" w:color="auto"/>
        <w:left w:val="none" w:sz="0" w:space="0" w:color="auto"/>
        <w:bottom w:val="none" w:sz="0" w:space="0" w:color="auto"/>
        <w:right w:val="none" w:sz="0" w:space="0" w:color="auto"/>
      </w:divBdr>
      <w:divsChild>
        <w:div w:id="1844197234">
          <w:marLeft w:val="0"/>
          <w:marRight w:val="0"/>
          <w:marTop w:val="0"/>
          <w:marBottom w:val="0"/>
          <w:divBdr>
            <w:top w:val="none" w:sz="0" w:space="0" w:color="auto"/>
            <w:left w:val="none" w:sz="0" w:space="0" w:color="auto"/>
            <w:bottom w:val="none" w:sz="0" w:space="0" w:color="auto"/>
            <w:right w:val="none" w:sz="0" w:space="0" w:color="auto"/>
          </w:divBdr>
        </w:div>
      </w:divsChild>
    </w:div>
    <w:div w:id="2035500855">
      <w:bodyDiv w:val="1"/>
      <w:marLeft w:val="0"/>
      <w:marRight w:val="0"/>
      <w:marTop w:val="0"/>
      <w:marBottom w:val="0"/>
      <w:divBdr>
        <w:top w:val="none" w:sz="0" w:space="0" w:color="auto"/>
        <w:left w:val="none" w:sz="0" w:space="0" w:color="auto"/>
        <w:bottom w:val="none" w:sz="0" w:space="0" w:color="auto"/>
        <w:right w:val="none" w:sz="0" w:space="0" w:color="auto"/>
      </w:divBdr>
      <w:divsChild>
        <w:div w:id="1062025060">
          <w:marLeft w:val="0"/>
          <w:marRight w:val="0"/>
          <w:marTop w:val="0"/>
          <w:marBottom w:val="0"/>
          <w:divBdr>
            <w:top w:val="none" w:sz="0" w:space="0" w:color="auto"/>
            <w:left w:val="none" w:sz="0" w:space="0" w:color="auto"/>
            <w:bottom w:val="none" w:sz="0" w:space="0" w:color="auto"/>
            <w:right w:val="none" w:sz="0" w:space="0" w:color="auto"/>
          </w:divBdr>
        </w:div>
      </w:divsChild>
    </w:div>
    <w:div w:id="2037458994">
      <w:bodyDiv w:val="1"/>
      <w:marLeft w:val="0"/>
      <w:marRight w:val="0"/>
      <w:marTop w:val="0"/>
      <w:marBottom w:val="0"/>
      <w:divBdr>
        <w:top w:val="none" w:sz="0" w:space="0" w:color="auto"/>
        <w:left w:val="none" w:sz="0" w:space="0" w:color="auto"/>
        <w:bottom w:val="none" w:sz="0" w:space="0" w:color="auto"/>
        <w:right w:val="none" w:sz="0" w:space="0" w:color="auto"/>
      </w:divBdr>
    </w:div>
    <w:div w:id="2037462492">
      <w:bodyDiv w:val="1"/>
      <w:marLeft w:val="0"/>
      <w:marRight w:val="0"/>
      <w:marTop w:val="0"/>
      <w:marBottom w:val="0"/>
      <w:divBdr>
        <w:top w:val="none" w:sz="0" w:space="0" w:color="auto"/>
        <w:left w:val="none" w:sz="0" w:space="0" w:color="auto"/>
        <w:bottom w:val="none" w:sz="0" w:space="0" w:color="auto"/>
        <w:right w:val="none" w:sz="0" w:space="0" w:color="auto"/>
      </w:divBdr>
    </w:div>
    <w:div w:id="212017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9.emf"/><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2.emf"/><Relationship Id="rId34" Type="http://schemas.openxmlformats.org/officeDocument/2006/relationships/image" Target="media/image24.emf"/><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emf"/><Relationship Id="rId25" Type="http://schemas.openxmlformats.org/officeDocument/2006/relationships/hyperlink" Target="http://www.bankmuamalat.co.id" TargetMode="External"/><Relationship Id="rId33" Type="http://schemas.openxmlformats.org/officeDocument/2006/relationships/image" Target="media/image23.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emf"/><Relationship Id="rId32" Type="http://schemas.openxmlformats.org/officeDocument/2006/relationships/image" Target="media/image22.emf"/><Relationship Id="rId37"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image" Target="media/image18.emf"/><Relationship Id="rId36" Type="http://schemas.openxmlformats.org/officeDocument/2006/relationships/image" Target="media/image26.emf"/><Relationship Id="rId10" Type="http://schemas.openxmlformats.org/officeDocument/2006/relationships/image" Target="media/image3.jpeg"/><Relationship Id="rId19" Type="http://schemas.openxmlformats.org/officeDocument/2006/relationships/image" Target="media/image10.emf"/><Relationship Id="rId31" Type="http://schemas.openxmlformats.org/officeDocument/2006/relationships/image" Target="media/image21.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13.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4A48C-C6F5-46A3-809B-2165D81DB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7627</TotalTime>
  <Pages>1</Pages>
  <Words>21873</Words>
  <Characters>124680</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Asna Suraya</dc:creator>
  <cp:keywords/>
  <dc:description/>
  <cp:lastModifiedBy>Asna Suraya</cp:lastModifiedBy>
  <cp:revision>7</cp:revision>
  <cp:lastPrinted>2025-07-07T03:55:00Z</cp:lastPrinted>
  <dcterms:created xsi:type="dcterms:W3CDTF">2025-03-02T17:47:00Z</dcterms:created>
  <dcterms:modified xsi:type="dcterms:W3CDTF">2025-07-07T03:57:00Z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3ab65a96-7459-3b05-8b8e-c4fe9cef4564</vt:lpwstr>
  </property>
  <property fmtid="{D5CDD505-2E9C-101B-9397-08002B2CF9AE}" pid="4" name="Mendeley Citation Style_1">
    <vt:lpwstr>http://www.zotero.org/styles/turabian-fullnote-bibliography</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11th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9th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9th edition (full note)</vt:lpwstr>
  </property>
</Properties>
</file>